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D2E09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  <w:r>
        <w:rPr>
          <w:i/>
          <w:iCs/>
          <w:color w:val="000000" w:themeColor="text1"/>
          <w:lang w:val="en-IE"/>
        </w:rPr>
        <w:t xml:space="preserve">Supplementary Table 1: Baseline </w:t>
      </w:r>
      <w:r>
        <w:rPr>
          <w:color w:val="000000" w:themeColor="text1"/>
        </w:rPr>
        <w:t>SUV</w:t>
      </w:r>
      <w:r>
        <w:rPr>
          <w:color w:val="000000" w:themeColor="text1"/>
          <w:vertAlign w:val="subscript"/>
        </w:rPr>
        <w:t>90-110</w:t>
      </w:r>
      <w:r>
        <w:rPr>
          <w:i/>
          <w:iCs/>
          <w:color w:val="000000" w:themeColor="text1"/>
          <w:lang w:val="en-IE"/>
        </w:rPr>
        <w:t xml:space="preserve">, corrected for partial volume (PVC) with the iterative Yang method (for 4 </w:t>
      </w:r>
      <w:proofErr w:type="spellStart"/>
      <w:r>
        <w:rPr>
          <w:i/>
          <w:iCs/>
          <w:color w:val="000000" w:themeColor="text1"/>
          <w:lang w:val="en-IE"/>
        </w:rPr>
        <w:t>yCN</w:t>
      </w:r>
      <w:proofErr w:type="spellEnd"/>
      <w:r>
        <w:rPr>
          <w:i/>
          <w:iCs/>
          <w:color w:val="000000" w:themeColor="text1"/>
          <w:lang w:val="en-IE"/>
        </w:rPr>
        <w:t xml:space="preserve">, 10 </w:t>
      </w:r>
      <w:proofErr w:type="spellStart"/>
      <w:r>
        <w:rPr>
          <w:i/>
          <w:iCs/>
          <w:color w:val="000000" w:themeColor="text1"/>
          <w:lang w:val="en-IE"/>
        </w:rPr>
        <w:t>oCN</w:t>
      </w:r>
      <w:proofErr w:type="spellEnd"/>
      <w:r>
        <w:rPr>
          <w:i/>
          <w:iCs/>
          <w:color w:val="000000" w:themeColor="text1"/>
          <w:lang w:val="en-IE"/>
        </w:rPr>
        <w:t xml:space="preserve">, and 3 AD subject), and corresponding </w:t>
      </w:r>
      <w:r>
        <w:rPr>
          <w:color w:val="000000" w:themeColor="text1"/>
        </w:rPr>
        <w:t>SUV</w:t>
      </w:r>
      <w:r>
        <w:rPr>
          <w:color w:val="000000" w:themeColor="text1"/>
          <w:vertAlign w:val="subscript"/>
        </w:rPr>
        <w:t>90-</w:t>
      </w:r>
      <w:proofErr w:type="gramStart"/>
      <w:r>
        <w:rPr>
          <w:color w:val="000000" w:themeColor="text1"/>
          <w:vertAlign w:val="subscript"/>
        </w:rPr>
        <w:t>110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  <w:lang w:val="en-IE"/>
        </w:rPr>
        <w:t xml:space="preserve"> T</w:t>
      </w:r>
      <w:proofErr w:type="gramEnd"/>
      <w:r>
        <w:rPr>
          <w:i/>
          <w:iCs/>
          <w:color w:val="000000" w:themeColor="text1"/>
          <w:lang w:val="en-IE"/>
        </w:rPr>
        <w:t xml:space="preserve">-RT(%). Retest PET includes 7 </w:t>
      </w:r>
      <w:proofErr w:type="spellStart"/>
      <w:r>
        <w:rPr>
          <w:i/>
          <w:iCs/>
          <w:color w:val="000000" w:themeColor="text1"/>
          <w:lang w:val="en-IE"/>
        </w:rPr>
        <w:t>oCN</w:t>
      </w:r>
      <w:proofErr w:type="spellEnd"/>
      <w:r>
        <w:rPr>
          <w:i/>
          <w:iCs/>
          <w:color w:val="000000" w:themeColor="text1"/>
          <w:lang w:val="en-IE"/>
        </w:rPr>
        <w:t xml:space="preserve"> and one AD subject (no </w:t>
      </w:r>
      <w:proofErr w:type="spellStart"/>
      <w:r>
        <w:rPr>
          <w:i/>
          <w:iCs/>
          <w:color w:val="000000" w:themeColor="text1"/>
          <w:lang w:val="en-IE"/>
        </w:rPr>
        <w:t>yCN</w:t>
      </w:r>
      <w:proofErr w:type="spellEnd"/>
      <w:r>
        <w:rPr>
          <w:i/>
          <w:iCs/>
          <w:color w:val="000000" w:themeColor="text1"/>
          <w:lang w:val="en-IE"/>
        </w:rPr>
        <w:t xml:space="preserve"> subjects underwent Retest PET). Values are expressed as </w:t>
      </w:r>
      <w:proofErr w:type="spellStart"/>
      <w:r>
        <w:rPr>
          <w:i/>
          <w:iCs/>
          <w:color w:val="000000" w:themeColor="text1"/>
          <w:lang w:val="en-IE"/>
        </w:rPr>
        <w:t>mean±standard</w:t>
      </w:r>
      <w:proofErr w:type="spellEnd"/>
      <w:r>
        <w:rPr>
          <w:i/>
          <w:iCs/>
          <w:color w:val="000000" w:themeColor="text1"/>
          <w:lang w:val="en-IE"/>
        </w:rPr>
        <w:t xml:space="preserve"> deviation. PVC was not performed for the eroded reference regions (i.e., CerGM3mm and WM4mm) as erosion constitutes a different approach to eliminate spill-in signal in those regions.  </w:t>
      </w:r>
    </w:p>
    <w:tbl>
      <w:tblPr>
        <w:tblStyle w:val="TableGrid"/>
        <w:tblpPr w:leftFromText="180" w:rightFromText="180" w:vertAnchor="page" w:horzAnchor="margin" w:tblpXSpec="center" w:tblpY="4381"/>
        <w:tblW w:w="1039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8"/>
        <w:gridCol w:w="1687"/>
        <w:gridCol w:w="1688"/>
        <w:gridCol w:w="1688"/>
        <w:gridCol w:w="1688"/>
        <w:gridCol w:w="1597"/>
      </w:tblGrid>
      <w:tr w:rsidR="000F0CBD" w14:paraId="24D59986" w14:textId="77777777" w:rsidTr="000F0CBD">
        <w:trPr>
          <w:trHeight w:hRule="exact" w:val="629"/>
        </w:trPr>
        <w:tc>
          <w:tcPr>
            <w:tcW w:w="2048" w:type="dxa"/>
            <w:vMerge w:val="restart"/>
            <w:tcBorders>
              <w:top w:val="nil"/>
              <w:left w:val="nil"/>
              <w:bottom w:val="single" w:sz="12" w:space="0" w:color="auto"/>
              <w:right w:val="double" w:sz="4" w:space="0" w:color="auto"/>
            </w:tcBorders>
            <w:vAlign w:val="center"/>
            <w:hideMark/>
          </w:tcPr>
          <w:p w14:paraId="2C4BD627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Region</w:t>
            </w:r>
          </w:p>
        </w:tc>
        <w:tc>
          <w:tcPr>
            <w:tcW w:w="8348" w:type="dxa"/>
            <w:gridSpan w:val="5"/>
            <w:tcBorders>
              <w:top w:val="nil"/>
              <w:left w:val="double" w:sz="4" w:space="0" w:color="auto"/>
              <w:bottom w:val="single" w:sz="12" w:space="0" w:color="auto"/>
              <w:right w:val="triple" w:sz="4" w:space="0" w:color="auto"/>
            </w:tcBorders>
            <w:vAlign w:val="center"/>
            <w:hideMark/>
          </w:tcPr>
          <w:p w14:paraId="7463698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t xml:space="preserve">PVC iterative Yang </w:t>
            </w:r>
          </w:p>
        </w:tc>
      </w:tr>
      <w:tr w:rsidR="000F0CBD" w14:paraId="069592F1" w14:textId="77777777" w:rsidTr="000F0CBD">
        <w:trPr>
          <w:trHeight w:hRule="exact" w:val="629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double" w:sz="4" w:space="0" w:color="auto"/>
            </w:tcBorders>
            <w:vAlign w:val="center"/>
            <w:hideMark/>
          </w:tcPr>
          <w:p w14:paraId="316F65D9" w14:textId="77777777" w:rsidR="000F0CBD" w:rsidRDefault="000F0CBD">
            <w:pPr>
              <w:rPr>
                <w:color w:val="000000" w:themeColor="text1"/>
              </w:rPr>
            </w:pP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single" w:sz="12" w:space="0" w:color="auto"/>
              <w:right w:val="triple" w:sz="4" w:space="0" w:color="auto"/>
            </w:tcBorders>
            <w:vAlign w:val="center"/>
            <w:hideMark/>
          </w:tcPr>
          <w:p w14:paraId="19A30A3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SUV (g/mL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  <w:r>
              <w:rPr>
                <w:color w:val="000000" w:themeColor="text1"/>
              </w:rPr>
              <w:t>, n=4)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FFFFFF" w:themeFill="background1"/>
            <w:hideMark/>
          </w:tcPr>
          <w:p w14:paraId="1ECB349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SUV (g/mL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  <w:r>
              <w:rPr>
                <w:color w:val="000000" w:themeColor="text1"/>
              </w:rPr>
              <w:t>, n=10)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single" w:sz="12" w:space="0" w:color="000000"/>
              <w:right w:val="triple" w:sz="4" w:space="0" w:color="auto"/>
            </w:tcBorders>
            <w:shd w:val="clear" w:color="auto" w:fill="FFFFFF" w:themeFill="background1"/>
            <w:hideMark/>
          </w:tcPr>
          <w:p w14:paraId="74ADA4E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SUV T-RT (%,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  <w:r>
              <w:rPr>
                <w:color w:val="000000" w:themeColor="text1"/>
              </w:rPr>
              <w:t>, n=7)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14:paraId="449C0B2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SUV (g/mL AD, n=3)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12" w:space="0" w:color="000000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3164E44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SUV T-RT (%, AD, n=1)</w:t>
            </w:r>
          </w:p>
        </w:tc>
      </w:tr>
      <w:tr w:rsidR="000F0CBD" w14:paraId="302C982E" w14:textId="77777777" w:rsidTr="000F0CBD">
        <w:trPr>
          <w:trHeight w:hRule="exact" w:val="353"/>
        </w:trPr>
        <w:tc>
          <w:tcPr>
            <w:tcW w:w="2048" w:type="dxa"/>
            <w:tcBorders>
              <w:top w:val="single" w:sz="12" w:space="0" w:color="auto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3332EEA9" w14:textId="77777777" w:rsidR="000F0CBD" w:rsidRDefault="000F0CBD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CerGM</w:t>
            </w:r>
            <w:proofErr w:type="spellEnd"/>
          </w:p>
        </w:tc>
        <w:tc>
          <w:tcPr>
            <w:tcW w:w="1687" w:type="dxa"/>
            <w:tcBorders>
              <w:top w:val="single" w:sz="12" w:space="0" w:color="auto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43FA8B5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0.59±0.19</w:t>
            </w:r>
          </w:p>
        </w:tc>
        <w:tc>
          <w:tcPr>
            <w:tcW w:w="1688" w:type="dxa"/>
            <w:tcBorders>
              <w:top w:val="single" w:sz="12" w:space="0" w:color="000000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DC00FB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0.58±0.16</w:t>
            </w:r>
          </w:p>
        </w:tc>
        <w:tc>
          <w:tcPr>
            <w:tcW w:w="1688" w:type="dxa"/>
            <w:tcBorders>
              <w:top w:val="single" w:sz="12" w:space="0" w:color="000000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4C280FD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9.6±7.2</w:t>
            </w:r>
          </w:p>
        </w:tc>
        <w:tc>
          <w:tcPr>
            <w:tcW w:w="1688" w:type="dxa"/>
            <w:tcBorders>
              <w:top w:val="single" w:sz="12" w:space="0" w:color="000000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F55B3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0.68±0.15</w:t>
            </w:r>
          </w:p>
        </w:tc>
        <w:tc>
          <w:tcPr>
            <w:tcW w:w="1597" w:type="dxa"/>
            <w:tcBorders>
              <w:top w:val="single" w:sz="12" w:space="0" w:color="000000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5ABA17B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11.5</w:t>
            </w:r>
          </w:p>
        </w:tc>
      </w:tr>
      <w:tr w:rsidR="000F0CBD" w14:paraId="18E94E84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39D6E83D" w14:textId="77777777" w:rsidR="000F0CBD" w:rsidRDefault="000F0CBD">
            <w:pPr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CerGM3mm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0498499A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14C3976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hideMark/>
          </w:tcPr>
          <w:p w14:paraId="44455DA0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hideMark/>
          </w:tcPr>
          <w:p w14:paraId="3425A355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hideMark/>
          </w:tcPr>
          <w:p w14:paraId="22F7D669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N/A</w:t>
            </w:r>
          </w:p>
        </w:tc>
      </w:tr>
      <w:tr w:rsidR="000F0CBD" w14:paraId="3BC3AEAB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4975E5A9" w14:textId="77777777" w:rsidR="000F0CBD" w:rsidRDefault="000F0CBD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WholeCer</w:t>
            </w:r>
            <w:proofErr w:type="spellEnd"/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4AF857B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0.54±0.17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449E0B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0.55±0.16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</w:tcPr>
          <w:p w14:paraId="113ED98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9.6±6.1</w:t>
            </w:r>
          </w:p>
          <w:p w14:paraId="332AB122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DA309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0.61±0.14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588685B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11.9</w:t>
            </w:r>
          </w:p>
        </w:tc>
      </w:tr>
      <w:tr w:rsidR="000F0CBD" w14:paraId="4DA286E5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5D10A804" w14:textId="77777777" w:rsidR="000F0CBD" w:rsidRDefault="000F0CBD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CerWM</w:t>
            </w:r>
            <w:proofErr w:type="spellEnd"/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630A8FB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0.32±0.08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27397A9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0.42±0.13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hideMark/>
          </w:tcPr>
          <w:p w14:paraId="6321A5E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13.7±11.0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hideMark/>
          </w:tcPr>
          <w:p w14:paraId="1CE6C36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0.39±0.12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hideMark/>
          </w:tcPr>
          <w:p w14:paraId="5BE3CFAA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13.1</w:t>
            </w:r>
          </w:p>
        </w:tc>
      </w:tr>
      <w:tr w:rsidR="000F0CBD" w14:paraId="6030D9F6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6F1DECBC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WM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6A0FD79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0.38±0.08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CCDA57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0.46±0.11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7851FDF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8.0±5.1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88622A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0.92±0.36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172ACE1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9.45</w:t>
            </w:r>
          </w:p>
        </w:tc>
      </w:tr>
      <w:tr w:rsidR="000F0CBD" w14:paraId="5B7E3FA2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4D26A681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WM4mm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5ECE918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5B1F31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hideMark/>
          </w:tcPr>
          <w:p w14:paraId="06C857C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hideMark/>
          </w:tcPr>
          <w:p w14:paraId="4EDD637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hideMark/>
          </w:tcPr>
          <w:p w14:paraId="1E3E6A3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</w:t>
            </w:r>
          </w:p>
        </w:tc>
      </w:tr>
      <w:tr w:rsidR="000F0CBD" w14:paraId="073A5056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triple" w:sz="4" w:space="0" w:color="auto"/>
              <w:right w:val="double" w:sz="4" w:space="0" w:color="auto"/>
            </w:tcBorders>
            <w:vAlign w:val="center"/>
            <w:hideMark/>
          </w:tcPr>
          <w:p w14:paraId="155C20C4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Pons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triple" w:sz="4" w:space="0" w:color="auto"/>
              <w:right w:val="triple" w:sz="4" w:space="0" w:color="auto"/>
            </w:tcBorders>
            <w:vAlign w:val="center"/>
            <w:hideMark/>
          </w:tcPr>
          <w:p w14:paraId="0A61BCC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0.31±0.07</w:t>
            </w:r>
            <w:r>
              <w:rPr>
                <w:color w:val="000000" w:themeColor="text1"/>
              </w:rPr>
              <w:br/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trip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949D6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0.39±0.11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FFFF" w:themeFill="background1"/>
            <w:hideMark/>
          </w:tcPr>
          <w:p w14:paraId="7A6824BA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7.2±4.7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triple" w:sz="4" w:space="0" w:color="auto"/>
              <w:right w:val="single" w:sz="4" w:space="0" w:color="auto"/>
            </w:tcBorders>
            <w:hideMark/>
          </w:tcPr>
          <w:p w14:paraId="0855F46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0.37±0.06</w:t>
            </w:r>
          </w:p>
        </w:tc>
        <w:tc>
          <w:tcPr>
            <w:tcW w:w="1597" w:type="dxa"/>
            <w:tcBorders>
              <w:top w:val="nil"/>
              <w:left w:val="nil"/>
              <w:bottom w:val="triple" w:sz="4" w:space="0" w:color="auto"/>
              <w:right w:val="triple" w:sz="4" w:space="0" w:color="auto"/>
            </w:tcBorders>
            <w:shd w:val="clear" w:color="auto" w:fill="FFFFFF" w:themeFill="background1"/>
            <w:hideMark/>
          </w:tcPr>
          <w:p w14:paraId="648CC3A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12.9</w:t>
            </w:r>
          </w:p>
        </w:tc>
      </w:tr>
      <w:tr w:rsidR="000F0CBD" w14:paraId="409E09E3" w14:textId="77777777" w:rsidTr="000F0CBD">
        <w:trPr>
          <w:trHeight w:hRule="exact" w:val="353"/>
        </w:trPr>
        <w:tc>
          <w:tcPr>
            <w:tcW w:w="2048" w:type="dxa"/>
            <w:tcBorders>
              <w:top w:val="triple" w:sz="4" w:space="0" w:color="auto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632899FA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Entorhinal</w:t>
            </w:r>
          </w:p>
        </w:tc>
        <w:tc>
          <w:tcPr>
            <w:tcW w:w="1687" w:type="dxa"/>
            <w:tcBorders>
              <w:top w:val="triple" w:sz="4" w:space="0" w:color="auto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27A8088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0.54±0.09</w:t>
            </w:r>
          </w:p>
        </w:tc>
        <w:tc>
          <w:tcPr>
            <w:tcW w:w="1688" w:type="dxa"/>
            <w:tcBorders>
              <w:top w:val="triple" w:sz="4" w:space="0" w:color="auto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5AF9E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0.68±0.33</w:t>
            </w:r>
          </w:p>
        </w:tc>
        <w:tc>
          <w:tcPr>
            <w:tcW w:w="1688" w:type="dxa"/>
            <w:tcBorders>
              <w:top w:val="triple" w:sz="4" w:space="0" w:color="auto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6132FAB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16.2±15.9</w:t>
            </w:r>
          </w:p>
        </w:tc>
        <w:tc>
          <w:tcPr>
            <w:tcW w:w="1688" w:type="dxa"/>
            <w:tcBorders>
              <w:top w:val="triple" w:sz="4" w:space="0" w:color="auto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C96E5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1.48±0.55</w:t>
            </w:r>
          </w:p>
        </w:tc>
        <w:tc>
          <w:tcPr>
            <w:tcW w:w="1597" w:type="dxa"/>
            <w:tcBorders>
              <w:top w:val="triple" w:sz="4" w:space="0" w:color="auto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799ABEF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4.3</w:t>
            </w:r>
          </w:p>
        </w:tc>
      </w:tr>
      <w:tr w:rsidR="000F0CBD" w14:paraId="6FA2F07C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09EE2DCC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Amygdala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115FA6E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0.17±0.09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92C3D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0.32±0.18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226EB88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23.1±23.1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A94B0A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0.88±0.45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55B0831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8.8</w:t>
            </w:r>
          </w:p>
        </w:tc>
      </w:tr>
      <w:tr w:rsidR="000F0CBD" w14:paraId="5C65EC24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58F0B60A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Hippocampus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2584742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0.19±0.09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69B45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0.37±0.24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23377CB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20.2±20.3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B7500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0.60±0.17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6D86833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10.5</w:t>
            </w:r>
          </w:p>
        </w:tc>
      </w:tr>
      <w:tr w:rsidR="000F0CBD" w14:paraId="3DA07C49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4D20FC6A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Fusiform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0580587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0.54±0.14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CE543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0.60±0.22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3180FE3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18.5±22.1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A688E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2.11±0.95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5BE00EB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5.3</w:t>
            </w:r>
          </w:p>
        </w:tc>
      </w:tr>
      <w:tr w:rsidR="000F0CBD" w14:paraId="4D945E0E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50CCCA25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Inf. Temporal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5B73CE2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0.65±0.14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B95AE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0.63±0.22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55E23A5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17.2±22.1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E532A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2.39±1.04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0DD55E6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9.2</w:t>
            </w:r>
          </w:p>
        </w:tc>
      </w:tr>
      <w:tr w:rsidR="000F0CBD" w14:paraId="5D836DC0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4FE90C7C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Precuneus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3A90E33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0.40±0.15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36A6E1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0.43±0.19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050EDE9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19.2±16.0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7D5BE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2.86±1.32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323CB1F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8.8</w:t>
            </w:r>
          </w:p>
        </w:tc>
      </w:tr>
      <w:tr w:rsidR="000F0CBD" w14:paraId="179C832A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  <w:hideMark/>
          </w:tcPr>
          <w:p w14:paraId="16163A9D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Insula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nil"/>
              <w:right w:val="triple" w:sz="4" w:space="0" w:color="auto"/>
            </w:tcBorders>
            <w:vAlign w:val="center"/>
            <w:hideMark/>
          </w:tcPr>
          <w:p w14:paraId="6DD3670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0.32±0.11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24A17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0.37±0.13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3253C40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15.5±16.7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93F9F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0.94±0.71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11E84B4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11.5</w:t>
            </w:r>
          </w:p>
        </w:tc>
      </w:tr>
      <w:tr w:rsidR="000F0CBD" w14:paraId="070A8CAE" w14:textId="77777777" w:rsidTr="000F0CBD">
        <w:trPr>
          <w:trHeight w:hRule="exact" w:val="353"/>
        </w:trPr>
        <w:tc>
          <w:tcPr>
            <w:tcW w:w="2048" w:type="dxa"/>
            <w:tcBorders>
              <w:top w:val="nil"/>
              <w:left w:val="nil"/>
              <w:bottom w:val="triple" w:sz="4" w:space="0" w:color="auto"/>
              <w:right w:val="double" w:sz="4" w:space="0" w:color="auto"/>
            </w:tcBorders>
            <w:vAlign w:val="center"/>
            <w:hideMark/>
          </w:tcPr>
          <w:p w14:paraId="6A60A7B7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Precentral</w:t>
            </w:r>
          </w:p>
        </w:tc>
        <w:tc>
          <w:tcPr>
            <w:tcW w:w="1687" w:type="dxa"/>
            <w:tcBorders>
              <w:top w:val="nil"/>
              <w:left w:val="double" w:sz="4" w:space="0" w:color="auto"/>
              <w:bottom w:val="triple" w:sz="4" w:space="0" w:color="auto"/>
              <w:right w:val="triple" w:sz="4" w:space="0" w:color="auto"/>
            </w:tcBorders>
            <w:vAlign w:val="center"/>
            <w:hideMark/>
          </w:tcPr>
          <w:p w14:paraId="190EFFE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0.44±0.18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trip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7D2F3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0.35±0.15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308A38F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32.5±31.5</w:t>
            </w:r>
          </w:p>
        </w:tc>
        <w:tc>
          <w:tcPr>
            <w:tcW w:w="1688" w:type="dxa"/>
            <w:tcBorders>
              <w:top w:val="nil"/>
              <w:left w:val="triple" w:sz="4" w:space="0" w:color="auto"/>
              <w:bottom w:val="triple" w:sz="4" w:space="0" w:color="auto"/>
              <w:right w:val="single" w:sz="4" w:space="0" w:color="auto"/>
            </w:tcBorders>
            <w:vAlign w:val="center"/>
            <w:hideMark/>
          </w:tcPr>
          <w:p w14:paraId="41B719B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1.12±0.50</w:t>
            </w:r>
          </w:p>
        </w:tc>
        <w:tc>
          <w:tcPr>
            <w:tcW w:w="1597" w:type="dxa"/>
            <w:tcBorders>
              <w:top w:val="nil"/>
              <w:left w:val="nil"/>
              <w:bottom w:val="triple" w:sz="4" w:space="0" w:color="auto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28635D9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5.8</w:t>
            </w:r>
          </w:p>
        </w:tc>
      </w:tr>
      <w:tr w:rsidR="000F0CBD" w14:paraId="456107FC" w14:textId="77777777" w:rsidTr="000F0CBD">
        <w:trPr>
          <w:trHeight w:hRule="exact" w:val="353"/>
        </w:trPr>
        <w:tc>
          <w:tcPr>
            <w:tcW w:w="2048" w:type="dxa"/>
            <w:tcBorders>
              <w:top w:val="trip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AC39760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Extracerebral</w:t>
            </w:r>
          </w:p>
        </w:tc>
        <w:tc>
          <w:tcPr>
            <w:tcW w:w="1687" w:type="dxa"/>
            <w:tcBorders>
              <w:top w:val="triple" w:sz="4" w:space="0" w:color="auto"/>
              <w:left w:val="double" w:sz="4" w:space="0" w:color="auto"/>
              <w:bottom w:val="single" w:sz="4" w:space="0" w:color="auto"/>
              <w:right w:val="triple" w:sz="4" w:space="0" w:color="auto"/>
            </w:tcBorders>
            <w:vAlign w:val="center"/>
          </w:tcPr>
          <w:p w14:paraId="7C92FF2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0.97±0.13</w:t>
            </w:r>
          </w:p>
          <w:p w14:paraId="2E52C393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38259A92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5A7A769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BCE2ED9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0FE83485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A338531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05898F7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±0.11</w:t>
            </w:r>
          </w:p>
        </w:tc>
        <w:tc>
          <w:tcPr>
            <w:tcW w:w="1688" w:type="dxa"/>
            <w:tcBorders>
              <w:top w:val="trip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51292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0.93±0.15</w:t>
            </w:r>
          </w:p>
        </w:tc>
        <w:tc>
          <w:tcPr>
            <w:tcW w:w="1688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09A3EEF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11.4±11.1</w:t>
            </w:r>
          </w:p>
        </w:tc>
        <w:tc>
          <w:tcPr>
            <w:tcW w:w="1688" w:type="dxa"/>
            <w:tcBorders>
              <w:top w:val="trip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27B7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1.04±0.29</w:t>
            </w:r>
          </w:p>
        </w:tc>
        <w:tc>
          <w:tcPr>
            <w:tcW w:w="1597" w:type="dxa"/>
            <w:tcBorders>
              <w:top w:val="triple" w:sz="4" w:space="0" w:color="auto"/>
              <w:left w:val="nil"/>
              <w:bottom w:val="single" w:sz="4" w:space="0" w:color="auto"/>
              <w:right w:val="triple" w:sz="4" w:space="0" w:color="auto"/>
            </w:tcBorders>
            <w:shd w:val="clear" w:color="auto" w:fill="FFFFFF" w:themeFill="background1"/>
            <w:vAlign w:val="center"/>
            <w:hideMark/>
          </w:tcPr>
          <w:p w14:paraId="6D17CEA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17.8</w:t>
            </w:r>
          </w:p>
        </w:tc>
      </w:tr>
    </w:tbl>
    <w:p w14:paraId="367C247E" w14:textId="77777777" w:rsidR="000F0CBD" w:rsidRDefault="000F0CBD" w:rsidP="000F0CBD"/>
    <w:p w14:paraId="5390B65C" w14:textId="77777777" w:rsidR="000F0CBD" w:rsidRDefault="000F0CBD" w:rsidP="000F0CBD"/>
    <w:p w14:paraId="71B0D749" w14:textId="77777777" w:rsidR="000F0CBD" w:rsidRDefault="000F0CBD" w:rsidP="000F0CBD"/>
    <w:p w14:paraId="284012FE" w14:textId="77777777" w:rsidR="000F0CBD" w:rsidRDefault="000F0CBD" w:rsidP="000F0CBD"/>
    <w:p w14:paraId="3D255D56" w14:textId="77777777" w:rsidR="000F0CBD" w:rsidRDefault="000F0CBD" w:rsidP="000F0CBD"/>
    <w:p w14:paraId="5D7A7585" w14:textId="77777777" w:rsidR="000F0CBD" w:rsidRDefault="000F0CBD" w:rsidP="000F0CBD"/>
    <w:p w14:paraId="3DFB61E2" w14:textId="77777777" w:rsidR="000F0CBD" w:rsidRDefault="000F0CBD" w:rsidP="000F0CBD"/>
    <w:p w14:paraId="6FE6EA86" w14:textId="77777777" w:rsidR="000F0CBD" w:rsidRDefault="000F0CBD" w:rsidP="000F0CBD"/>
    <w:p w14:paraId="08C00534" w14:textId="77777777" w:rsidR="000F0CBD" w:rsidRDefault="000F0CBD" w:rsidP="000F0CBD"/>
    <w:p w14:paraId="49944C5E" w14:textId="77777777" w:rsidR="000F0CBD" w:rsidRDefault="000F0CBD" w:rsidP="000F0CBD"/>
    <w:p w14:paraId="59429FFE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6C00B80D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72A1B053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3FF645AE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  <w:r>
        <w:rPr>
          <w:i/>
          <w:iCs/>
          <w:color w:val="000000" w:themeColor="text1"/>
          <w:lang w:val="en-IE"/>
        </w:rPr>
        <w:br w:type="page"/>
      </w:r>
    </w:p>
    <w:p w14:paraId="65DC02D8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4466021E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186C1716" w14:textId="77777777" w:rsidR="000F0CBD" w:rsidRDefault="000F0CBD" w:rsidP="000F0CBD">
      <w:pPr>
        <w:rPr>
          <w:color w:val="000000" w:themeColor="text1"/>
          <w:vertAlign w:val="subscript"/>
        </w:rPr>
      </w:pPr>
      <w:r>
        <w:rPr>
          <w:i/>
          <w:iCs/>
          <w:color w:val="000000" w:themeColor="text1"/>
          <w:lang w:val="en-IE"/>
        </w:rPr>
        <w:t>Supplementary Table 2:</w:t>
      </w:r>
      <w:r>
        <w:rPr>
          <w:color w:val="000000" w:themeColor="text1"/>
          <w:lang w:val="en-IE"/>
        </w:rPr>
        <w:t xml:space="preserve"> </w:t>
      </w:r>
      <w:r>
        <w:rPr>
          <w:color w:val="000000" w:themeColor="text1"/>
        </w:rPr>
        <w:t xml:space="preserve">Effect of normalization by different reference regions in </w:t>
      </w:r>
      <w:r>
        <w:rPr>
          <w:color w:val="000000" w:themeColor="text1"/>
          <w:lang w:val="en-IE"/>
        </w:rPr>
        <w:t>SUVR</w:t>
      </w:r>
      <w:r>
        <w:rPr>
          <w:color w:val="000000" w:themeColor="text1"/>
          <w:vertAlign w:val="subscript"/>
        </w:rPr>
        <w:t xml:space="preserve">90-110 and </w:t>
      </w:r>
      <w:r>
        <w:rPr>
          <w:color w:val="000000" w:themeColor="text1"/>
          <w:lang w:val="en-IE"/>
        </w:rPr>
        <w:t>SUVR</w:t>
      </w:r>
      <w:r>
        <w:rPr>
          <w:color w:val="000000" w:themeColor="text1"/>
          <w:vertAlign w:val="subscript"/>
        </w:rPr>
        <w:t xml:space="preserve">90-110 </w:t>
      </w:r>
      <w:r>
        <w:rPr>
          <w:color w:val="000000" w:themeColor="text1"/>
        </w:rPr>
        <w:t>T-RT.</w:t>
      </w:r>
    </w:p>
    <w:p w14:paraId="05BE66D6" w14:textId="77777777" w:rsidR="000F0CBD" w:rsidRDefault="000F0CBD" w:rsidP="000F0CBD"/>
    <w:p w14:paraId="747BC9ED" w14:textId="616214D9" w:rsidR="000F0CBD" w:rsidRDefault="000F0CBD" w:rsidP="000F0CBD">
      <w:pPr>
        <w:rPr>
          <w:i/>
          <w:iCs/>
          <w:color w:val="000000" w:themeColor="text1"/>
          <w:lang w:val="en-IE"/>
        </w:rPr>
      </w:pPr>
      <w:r>
        <w:rPr>
          <w:i/>
          <w:noProof/>
          <w:color w:val="000000" w:themeColor="text1"/>
          <w:lang w:val="en-IE"/>
        </w:rPr>
        <w:drawing>
          <wp:inline distT="0" distB="0" distL="0" distR="0" wp14:anchorId="7B83D11D" wp14:editId="04525005">
            <wp:extent cx="5943600" cy="3108960"/>
            <wp:effectExtent l="0" t="0" r="0" b="0"/>
            <wp:docPr id="1403939278" name="Picture 2" descr="A table with numbers and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table with numbers and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color w:val="000000" w:themeColor="text1"/>
          <w:lang w:val="en-IE"/>
        </w:rPr>
        <w:br w:type="page"/>
      </w:r>
    </w:p>
    <w:p w14:paraId="4BFE6D0D" w14:textId="77777777" w:rsidR="000F0CBD" w:rsidRDefault="000F0CBD" w:rsidP="000F0CBD">
      <w:pPr>
        <w:rPr>
          <w:color w:val="000000" w:themeColor="text1"/>
        </w:rPr>
      </w:pPr>
      <w:r>
        <w:rPr>
          <w:i/>
          <w:iCs/>
          <w:color w:val="000000" w:themeColor="text1"/>
          <w:lang w:val="en-IE"/>
        </w:rPr>
        <w:lastRenderedPageBreak/>
        <w:t>Supplementary Table 3: Target region PVC outcome measures (SUVR</w:t>
      </w:r>
      <w:r>
        <w:rPr>
          <w:i/>
          <w:iCs/>
          <w:color w:val="000000" w:themeColor="text1"/>
          <w:vertAlign w:val="subscript"/>
          <w:lang w:val="en-IE"/>
        </w:rPr>
        <w:t>90-110</w:t>
      </w:r>
      <w:r>
        <w:rPr>
          <w:i/>
          <w:iCs/>
          <w:color w:val="000000" w:themeColor="text1"/>
          <w:lang w:val="en-IE"/>
        </w:rPr>
        <w:t>, DVR, R</w:t>
      </w:r>
      <w:r>
        <w:rPr>
          <w:i/>
          <w:iCs/>
          <w:color w:val="000000" w:themeColor="text1"/>
          <w:vertAlign w:val="subscript"/>
          <w:lang w:val="en-IE"/>
        </w:rPr>
        <w:t>1</w:t>
      </w:r>
      <w:r>
        <w:rPr>
          <w:i/>
          <w:iCs/>
          <w:color w:val="000000" w:themeColor="text1"/>
          <w:lang w:val="en-IE"/>
        </w:rPr>
        <w:t xml:space="preserve">) and their corresponding T-RT (%). All outcomes were calculated using </w:t>
      </w:r>
      <w:proofErr w:type="spellStart"/>
      <w:r>
        <w:rPr>
          <w:i/>
          <w:iCs/>
          <w:color w:val="000000" w:themeColor="text1"/>
          <w:lang w:val="en-IE"/>
        </w:rPr>
        <w:t>CerGM</w:t>
      </w:r>
      <w:proofErr w:type="spellEnd"/>
      <w:r>
        <w:rPr>
          <w:i/>
          <w:iCs/>
          <w:color w:val="000000" w:themeColor="text1"/>
          <w:lang w:val="en-IE"/>
        </w:rPr>
        <w:t xml:space="preserve"> as reference and corrected for partial volume effects using the Iterative Yang method. Not all subjects underwent Retest PET (only one AD subject and none of the </w:t>
      </w:r>
      <w:proofErr w:type="spellStart"/>
      <w:r>
        <w:rPr>
          <w:i/>
          <w:iCs/>
          <w:color w:val="000000" w:themeColor="text1"/>
          <w:lang w:val="en-IE"/>
        </w:rPr>
        <w:t>yCN</w:t>
      </w:r>
      <w:proofErr w:type="spellEnd"/>
      <w:r>
        <w:rPr>
          <w:i/>
          <w:iCs/>
          <w:color w:val="000000" w:themeColor="text1"/>
          <w:lang w:val="en-IE"/>
        </w:rPr>
        <w:t xml:space="preserve">; consequently, T-RT data is unavailable for that group). Values are expressed as </w:t>
      </w:r>
      <w:proofErr w:type="spellStart"/>
      <w:r>
        <w:rPr>
          <w:i/>
          <w:iCs/>
          <w:color w:val="000000" w:themeColor="text1"/>
          <w:lang w:val="en-IE"/>
        </w:rPr>
        <w:t>mean±standard</w:t>
      </w:r>
      <w:proofErr w:type="spellEnd"/>
      <w:r>
        <w:rPr>
          <w:i/>
          <w:iCs/>
          <w:color w:val="000000" w:themeColor="text1"/>
          <w:lang w:val="en-IE"/>
        </w:rPr>
        <w:t xml:space="preserve"> deviation.</w:t>
      </w:r>
    </w:p>
    <w:p w14:paraId="7AAA718C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tbl>
      <w:tblPr>
        <w:tblStyle w:val="TableGrid"/>
        <w:tblW w:w="936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1350"/>
        <w:gridCol w:w="1260"/>
        <w:gridCol w:w="1260"/>
        <w:gridCol w:w="1350"/>
        <w:gridCol w:w="1260"/>
      </w:tblGrid>
      <w:tr w:rsidR="000F0CBD" w14:paraId="604197AB" w14:textId="77777777" w:rsidTr="000F0CBD">
        <w:trPr>
          <w:trHeight w:val="567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  <w:right w:val="triple" w:sz="4" w:space="0" w:color="auto"/>
            </w:tcBorders>
          </w:tcPr>
          <w:p w14:paraId="77D3024A" w14:textId="77777777" w:rsidR="000F0CBD" w:rsidRDefault="000F0CBD">
            <w:pPr>
              <w:rPr>
                <w:color w:val="000000" w:themeColor="text1"/>
              </w:rPr>
            </w:pP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trip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50BC99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PVC</w:t>
            </w:r>
            <w:r>
              <w:t xml:space="preserve"> iterative Yang</w:t>
            </w:r>
          </w:p>
        </w:tc>
      </w:tr>
      <w:tr w:rsidR="000F0CBD" w14:paraId="1F613C7B" w14:textId="77777777" w:rsidTr="000F0CBD">
        <w:trPr>
          <w:trHeight w:val="567"/>
          <w:jc w:val="center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12" w:space="0" w:color="auto"/>
              <w:right w:val="triple" w:sz="4" w:space="0" w:color="auto"/>
            </w:tcBorders>
            <w:hideMark/>
          </w:tcPr>
          <w:p w14:paraId="4F647807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Region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C5D7683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SUVR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89874D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SUVR</w:t>
            </w:r>
          </w:p>
          <w:p w14:paraId="5BC7B34C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T-RT 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hideMark/>
          </w:tcPr>
          <w:p w14:paraId="17365E3A" w14:textId="77777777" w:rsidR="000F0CBD" w:rsidRDefault="000F0CBD">
            <w:pPr>
              <w:tabs>
                <w:tab w:val="left" w:pos="328"/>
              </w:tabs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DVR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BC994F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DVR</w:t>
            </w:r>
          </w:p>
          <w:p w14:paraId="1F647C8F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T-RT (%)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hideMark/>
          </w:tcPr>
          <w:p w14:paraId="6D0B2F98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R</w:t>
            </w:r>
            <w:r>
              <w:rPr>
                <w:color w:val="000000" w:themeColor="text1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2DDC84" w14:textId="77777777" w:rsidR="000F0CBD" w:rsidRDefault="000F0CBD">
            <w:pPr>
              <w:jc w:val="center"/>
              <w:rPr>
                <w:color w:val="000000" w:themeColor="text1"/>
                <w:vertAlign w:val="subscript"/>
              </w:rPr>
            </w:pPr>
            <w:r>
              <w:rPr>
                <w:color w:val="000000" w:themeColor="text1"/>
              </w:rPr>
              <w:t>R</w:t>
            </w:r>
            <w:r>
              <w:rPr>
                <w:color w:val="000000" w:themeColor="text1"/>
                <w:vertAlign w:val="subscript"/>
              </w:rPr>
              <w:t>1</w:t>
            </w:r>
          </w:p>
          <w:p w14:paraId="3771AF5C" w14:textId="77777777" w:rsidR="000F0CBD" w:rsidRDefault="000F0CBD">
            <w:pPr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T-RT (%)</w:t>
            </w:r>
          </w:p>
        </w:tc>
      </w:tr>
      <w:tr w:rsidR="000F0CBD" w14:paraId="0B66C3A0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705A0F46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Entorhinal</w:t>
            </w:r>
          </w:p>
          <w:p w14:paraId="4A08F367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546EA3BD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338C6406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12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2BE61645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34F1119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0.99±0.36</w:t>
            </w:r>
          </w:p>
          <w:p w14:paraId="1F3D5E8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1.16±0.40</w:t>
            </w:r>
          </w:p>
          <w:p w14:paraId="105FEDC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2.27±0.88</w:t>
            </w:r>
          </w:p>
        </w:tc>
        <w:tc>
          <w:tcPr>
            <w:tcW w:w="13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31E6D9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47200D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9.9±9.7</w:t>
            </w:r>
          </w:p>
          <w:p w14:paraId="3496915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7.1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3A083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641818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0.94±0.28</w:t>
            </w:r>
          </w:p>
          <w:p w14:paraId="6A12096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1.12±0.31</w:t>
            </w:r>
          </w:p>
          <w:p w14:paraId="50FEAE1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2.17±0.88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68CE97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30CA5FD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8.5±3.6</w:t>
            </w:r>
          </w:p>
          <w:p w14:paraId="5ECB343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3.2</w:t>
            </w:r>
          </w:p>
        </w:tc>
        <w:tc>
          <w:tcPr>
            <w:tcW w:w="1350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EE08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4E19280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0.74±0.09</w:t>
            </w:r>
          </w:p>
          <w:p w14:paraId="3621BE8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0.70±0.11</w:t>
            </w:r>
          </w:p>
          <w:p w14:paraId="47982CE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0.71±0.02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FF28D4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ECE2C7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6.6±3.1</w:t>
            </w:r>
          </w:p>
          <w:p w14:paraId="268D078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</w:t>
            </w:r>
          </w:p>
        </w:tc>
      </w:tr>
      <w:tr w:rsidR="000F0CBD" w14:paraId="1148D118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006B9517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Amygdala</w:t>
            </w:r>
          </w:p>
          <w:p w14:paraId="3A433D2B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408E5BBC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30621AAF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3EA667D1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0E9984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0.29±0.13</w:t>
            </w:r>
          </w:p>
          <w:p w14:paraId="6C832C4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0.51±0.25</w:t>
            </w:r>
          </w:p>
          <w:p w14:paraId="7F46E69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1.33±0.62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08918F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09C4F40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21.5±16.8</w:t>
            </w:r>
          </w:p>
          <w:p w14:paraId="63D2FC5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7BE92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7FC6B18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0.64±0.17</w:t>
            </w:r>
          </w:p>
          <w:p w14:paraId="049503E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0.84±0.20</w:t>
            </w:r>
          </w:p>
          <w:p w14:paraId="63C44F0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1.30±0.53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186E4B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2D4C40A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8.0±5.0</w:t>
            </w:r>
          </w:p>
          <w:p w14:paraId="61587DC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D85C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3F62A26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0.74±0.14 0.92±0.16</w:t>
            </w:r>
          </w:p>
          <w:p w14:paraId="45FDF5B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0.87±0.04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C8E15F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477ADC9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7.2±5.8</w:t>
            </w:r>
          </w:p>
          <w:p w14:paraId="4F6C857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</w:t>
            </w:r>
          </w:p>
        </w:tc>
      </w:tr>
      <w:tr w:rsidR="000F0CBD" w14:paraId="1ED05D7E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318A354D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Hippocampus</w:t>
            </w:r>
          </w:p>
          <w:p w14:paraId="1E2B8B90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0795DCD2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1B451F09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45C45F55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98A092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0.33±0.12</w:t>
            </w:r>
          </w:p>
          <w:p w14:paraId="5F8E361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0.56±0.31</w:t>
            </w:r>
          </w:p>
          <w:p w14:paraId="6DBE2C8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0.88±0.09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BE3F62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2492697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18.5±12.7</w:t>
            </w:r>
          </w:p>
          <w:p w14:paraId="1FE401E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21.8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92F9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AF819B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0.63±0.16</w:t>
            </w:r>
          </w:p>
          <w:p w14:paraId="3AFEA73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0.93±0.25</w:t>
            </w:r>
          </w:p>
          <w:p w14:paraId="5660E15C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1.08±0.11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B2691A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2076ECC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8.3±4.7</w:t>
            </w:r>
          </w:p>
          <w:p w14:paraId="0D65679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21.3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36CD7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3B31FF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0.94±0.11 1.08±0.16</w:t>
            </w:r>
          </w:p>
          <w:p w14:paraId="69DD1DF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0.94±0.11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D47103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0B0074D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13.0±8.9</w:t>
            </w:r>
          </w:p>
          <w:p w14:paraId="2B8EC2B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</w:t>
            </w:r>
          </w:p>
        </w:tc>
      </w:tr>
      <w:tr w:rsidR="000F0CBD" w14:paraId="53EB7FCD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3A9F660B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Fusiform</w:t>
            </w:r>
          </w:p>
          <w:p w14:paraId="101A817A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63E5D1C0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02ACA7F1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34B37F53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528648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0.96±0.21</w:t>
            </w:r>
          </w:p>
          <w:p w14:paraId="59A5639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1.01±0.22</w:t>
            </w:r>
          </w:p>
          <w:p w14:paraId="38E960F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3.24±1.46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396214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7074999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17.5±14.5</w:t>
            </w:r>
          </w:p>
          <w:p w14:paraId="4436221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57D1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3323E51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1.04±0.15</w:t>
            </w:r>
          </w:p>
          <w:p w14:paraId="03194A8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1.10±0.11</w:t>
            </w:r>
          </w:p>
          <w:p w14:paraId="7C4BD67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3.20±1.58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4701F8E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C77402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6.3±3.3</w:t>
            </w:r>
          </w:p>
          <w:p w14:paraId="65E539D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AC60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086B79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1.03±0.08</w:t>
            </w:r>
          </w:p>
          <w:p w14:paraId="1B3DF81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1.05±0.15</w:t>
            </w:r>
          </w:p>
          <w:p w14:paraId="33637B3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0.94±0.14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A7A1C23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09961E9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4.7±3.8</w:t>
            </w:r>
          </w:p>
          <w:p w14:paraId="5F1F6ED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3.9</w:t>
            </w:r>
          </w:p>
        </w:tc>
      </w:tr>
      <w:tr w:rsidR="000F0CBD" w14:paraId="61BDD83C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0C92AB93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Inf. Temporal</w:t>
            </w:r>
          </w:p>
          <w:p w14:paraId="71CCE08B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5BCF32E6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36E08BE1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5F6306E9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750D001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1.15±0.22</w:t>
            </w:r>
          </w:p>
          <w:p w14:paraId="0ECA792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1.07±0.21</w:t>
            </w:r>
          </w:p>
          <w:p w14:paraId="0897C45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3.71±1.77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53DCED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494F471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10.8±15.8</w:t>
            </w:r>
          </w:p>
          <w:p w14:paraId="016712C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1277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9F9459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1.10±0.19</w:t>
            </w:r>
          </w:p>
          <w:p w14:paraId="1AEF4F1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1.10±0.11</w:t>
            </w:r>
          </w:p>
          <w:p w14:paraId="69B985F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3.84±1.91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550417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18A920B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7.1±5.0</w:t>
            </w:r>
          </w:p>
          <w:p w14:paraId="0C115F8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917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59F0FA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1.01±0.14</w:t>
            </w:r>
          </w:p>
          <w:p w14:paraId="22291A3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0.94±0.13</w:t>
            </w:r>
          </w:p>
          <w:p w14:paraId="1DDF9CE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0.80±0.08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940DF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8E946E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8.0±6.2</w:t>
            </w:r>
          </w:p>
          <w:p w14:paraId="4850E06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7.6</w:t>
            </w:r>
          </w:p>
        </w:tc>
      </w:tr>
      <w:tr w:rsidR="000F0CBD" w14:paraId="72F127F5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4B1D6990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Precuneus</w:t>
            </w:r>
          </w:p>
          <w:p w14:paraId="42678524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186B8907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707487F0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418FFD72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4BFAD09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0.71±0.22</w:t>
            </w:r>
          </w:p>
          <w:p w14:paraId="7021D47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0.69±0.21</w:t>
            </w:r>
          </w:p>
          <w:p w14:paraId="5CE1240F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4.68±3.10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314843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31AE130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17.1±9.6</w:t>
            </w:r>
          </w:p>
          <w:p w14:paraId="7E1BA69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B70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2621EAF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0.85±0.19</w:t>
            </w:r>
          </w:p>
          <w:p w14:paraId="7E3F50D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0.91±0.08</w:t>
            </w:r>
          </w:p>
          <w:p w14:paraId="5E0CCC1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4.92±3.30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BFDE6DF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468EB70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12.7±9.2</w:t>
            </w:r>
          </w:p>
          <w:p w14:paraId="6C1156D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D9699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05C76EC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1.28±0.15</w:t>
            </w:r>
          </w:p>
          <w:p w14:paraId="4EF1CA9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1.37±0.18</w:t>
            </w:r>
          </w:p>
          <w:p w14:paraId="2CF5FE3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1.06±0.09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255086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68F23C2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3.5±2.9</w:t>
            </w:r>
          </w:p>
          <w:p w14:paraId="4C5BA5B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7.1</w:t>
            </w:r>
          </w:p>
        </w:tc>
      </w:tr>
      <w:tr w:rsidR="000F0CBD" w14:paraId="68F20B79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2896D0F9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Insula</w:t>
            </w:r>
          </w:p>
          <w:p w14:paraId="3CDBBABF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54980681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673E69E3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6071204D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EF106F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0.56±0.13</w:t>
            </w:r>
          </w:p>
          <w:p w14:paraId="2FA4CEC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0.61±0.11</w:t>
            </w:r>
          </w:p>
          <w:p w14:paraId="609E7A9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1.37±0.89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D1F72E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2404710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15.6±10.9</w:t>
            </w:r>
          </w:p>
          <w:p w14:paraId="597036A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CEE0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C750C3D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0.87±0.25</w:t>
            </w:r>
          </w:p>
          <w:p w14:paraId="11635DC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0.81±0.16</w:t>
            </w:r>
          </w:p>
          <w:p w14:paraId="2C103D3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1.38±0.84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08E569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E55A7B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15.1±19.0</w:t>
            </w:r>
          </w:p>
          <w:p w14:paraId="5710D92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75854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3B459F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1.34±0.23</w:t>
            </w:r>
          </w:p>
          <w:p w14:paraId="18EC559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1.70±0.74</w:t>
            </w:r>
          </w:p>
          <w:p w14:paraId="3D9B405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1.05±0.10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FF3673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4D8972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6.5±3.8</w:t>
            </w:r>
          </w:p>
          <w:p w14:paraId="642B373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5.1</w:t>
            </w:r>
          </w:p>
        </w:tc>
      </w:tr>
      <w:tr w:rsidR="000F0CBD" w14:paraId="2A707489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28AF20A3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Precentral</w:t>
            </w:r>
          </w:p>
          <w:p w14:paraId="6183D478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197AF5D5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1D35B7FC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30DFFC97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1BE9EF9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0.74±0.20</w:t>
            </w:r>
          </w:p>
          <w:p w14:paraId="789A542A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0.58±0.16</w:t>
            </w:r>
          </w:p>
          <w:p w14:paraId="539BD24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1.83±1.22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DFEEB4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78D5263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26.2±25.8</w:t>
            </w:r>
          </w:p>
          <w:p w14:paraId="2428CA81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D7055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EFB52E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0.83±0.13</w:t>
            </w:r>
          </w:p>
          <w:p w14:paraId="3AA95D70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0.73±0.16</w:t>
            </w:r>
          </w:p>
          <w:p w14:paraId="0E725799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1.77±0.99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974E1D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E9C9DF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13.3±17.2</w:t>
            </w:r>
          </w:p>
          <w:p w14:paraId="0964774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1A0E8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6C6DF9C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1.10±0.18</w:t>
            </w:r>
          </w:p>
          <w:p w14:paraId="767D634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1.27±0.20</w:t>
            </w:r>
          </w:p>
          <w:p w14:paraId="43565B15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1.12±0.25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F108C6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53EA6D18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9.9±4.3</w:t>
            </w:r>
          </w:p>
          <w:p w14:paraId="6368116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13.8</w:t>
            </w:r>
          </w:p>
        </w:tc>
      </w:tr>
      <w:tr w:rsidR="000F0CBD" w14:paraId="43C7B99C" w14:textId="77777777" w:rsidTr="000F0CBD">
        <w:trPr>
          <w:trHeight w:val="360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hideMark/>
          </w:tcPr>
          <w:p w14:paraId="373376A0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Extracerebral</w:t>
            </w:r>
          </w:p>
          <w:p w14:paraId="4C5A9D35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</w:t>
            </w:r>
            <w:proofErr w:type="spellStart"/>
            <w:r>
              <w:rPr>
                <w:color w:val="000000" w:themeColor="text1"/>
              </w:rPr>
              <w:t>yCN</w:t>
            </w:r>
            <w:proofErr w:type="spellEnd"/>
          </w:p>
          <w:p w14:paraId="4B4DE63A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oCN</w:t>
            </w:r>
            <w:proofErr w:type="spellEnd"/>
          </w:p>
          <w:p w14:paraId="06860F19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AD</w:t>
            </w:r>
          </w:p>
        </w:tc>
        <w:tc>
          <w:tcPr>
            <w:tcW w:w="1260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</w:tcPr>
          <w:p w14:paraId="5FFDE542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2A50F124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1.77±0.571.82±0.95</w:t>
            </w:r>
          </w:p>
          <w:p w14:paraId="7E3FB596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1.66±0.90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262E94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  <w:p w14:paraId="6CD5E3F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N/A 15.1±18.6</w:t>
            </w:r>
          </w:p>
          <w:p w14:paraId="649772D7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1D828A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N/A</w:t>
            </w:r>
          </w:p>
          <w:p w14:paraId="0425B936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63EEE43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N/A </w:t>
            </w:r>
          </w:p>
          <w:p w14:paraId="2747492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CEE5BD" w14:textId="77777777" w:rsidR="000F0CBD" w:rsidRDefault="000F0CB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N/A</w:t>
            </w:r>
          </w:p>
          <w:p w14:paraId="40506BD0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844D09E" w14:textId="77777777" w:rsidR="000F0CBD" w:rsidRDefault="000F0CB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N/A </w:t>
            </w:r>
          </w:p>
          <w:p w14:paraId="3304373C" w14:textId="77777777" w:rsidR="000F0CBD" w:rsidRDefault="000F0CBD">
            <w:pPr>
              <w:jc w:val="center"/>
              <w:rPr>
                <w:color w:val="000000" w:themeColor="text1"/>
              </w:rPr>
            </w:pPr>
          </w:p>
        </w:tc>
      </w:tr>
    </w:tbl>
    <w:p w14:paraId="60287414" w14:textId="77777777" w:rsidR="000F0CBD" w:rsidRDefault="000F0CBD" w:rsidP="000F0CBD"/>
    <w:p w14:paraId="0AFA1E60" w14:textId="77777777" w:rsidR="000F0CBD" w:rsidRDefault="000F0CBD" w:rsidP="000F0CBD">
      <w:pPr>
        <w:rPr>
          <w:i/>
          <w:iCs/>
        </w:rPr>
      </w:pPr>
      <w:r>
        <w:rPr>
          <w:i/>
          <w:iCs/>
          <w:color w:val="000000" w:themeColor="text1"/>
          <w:lang w:val="en-IE"/>
        </w:rPr>
        <w:t>Supplementary Figure 1:</w:t>
      </w:r>
      <w:r>
        <w:rPr>
          <w:i/>
          <w:iCs/>
          <w:lang w:val="en-IE"/>
        </w:rPr>
        <w:t xml:space="preserve"> </w:t>
      </w:r>
      <w:r>
        <w:rPr>
          <w:i/>
          <w:iCs/>
        </w:rPr>
        <w:t>Intraclass correlation coefficients (ICC) and their corresponding [95% confidence interval] for regional SUV</w:t>
      </w:r>
      <w:r>
        <w:rPr>
          <w:i/>
          <w:iCs/>
          <w:vertAlign w:val="subscript"/>
        </w:rPr>
        <w:t>90-110</w:t>
      </w:r>
      <w:r>
        <w:rPr>
          <w:i/>
          <w:iCs/>
        </w:rPr>
        <w:t xml:space="preserve"> in the reference (left) and target (right) regions, with and without PVC.</w:t>
      </w:r>
      <w:r>
        <w:rPr>
          <w:i/>
          <w:iCs/>
          <w:color w:val="000000" w:themeColor="text1"/>
          <w:lang w:val="en-IE"/>
        </w:rPr>
        <w:t xml:space="preserve"> The </w:t>
      </w:r>
      <w:r>
        <w:rPr>
          <w:i/>
          <w:iCs/>
        </w:rPr>
        <w:t xml:space="preserve">ICC values were calculated for each ROI across </w:t>
      </w:r>
      <w:proofErr w:type="spellStart"/>
      <w:r>
        <w:rPr>
          <w:i/>
          <w:iCs/>
        </w:rPr>
        <w:t>oCN</w:t>
      </w:r>
      <w:proofErr w:type="spellEnd"/>
      <w:r>
        <w:rPr>
          <w:i/>
          <w:iCs/>
        </w:rPr>
        <w:t xml:space="preserve"> subjects who underwent the Retest scans (n=7). The AD subject was excluded from the ICC calculation to avoid an increase in variability explained by disease; no </w:t>
      </w:r>
      <w:proofErr w:type="spellStart"/>
      <w:r>
        <w:rPr>
          <w:i/>
          <w:iCs/>
        </w:rPr>
        <w:t>yCN</w:t>
      </w:r>
      <w:proofErr w:type="spellEnd"/>
      <w:r>
        <w:rPr>
          <w:i/>
          <w:iCs/>
        </w:rPr>
        <w:t xml:space="preserve"> subjects underwent Retest PET.</w:t>
      </w:r>
    </w:p>
    <w:p w14:paraId="386C0D0F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243DDD88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74685F27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63175693" w14:textId="52E8095B" w:rsidR="000F0CBD" w:rsidRDefault="000F0CBD" w:rsidP="000F0CBD">
      <w:pPr>
        <w:rPr>
          <w:i/>
          <w:iCs/>
          <w:color w:val="000000" w:themeColor="text1"/>
          <w:lang w:val="en-IE"/>
        </w:rPr>
      </w:pPr>
      <w:r>
        <w:rPr>
          <w:i/>
          <w:noProof/>
          <w:color w:val="000000" w:themeColor="text1"/>
          <w:lang w:val="en-IE"/>
        </w:rPr>
        <w:drawing>
          <wp:inline distT="0" distB="0" distL="0" distR="0" wp14:anchorId="0AFA376E" wp14:editId="0AC6B675">
            <wp:extent cx="5943600" cy="2790825"/>
            <wp:effectExtent l="0" t="0" r="0" b="9525"/>
            <wp:docPr id="2111997259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1258A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56E9D455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6383995E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4A9F98D8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67B76D4F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02E95D8C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4DB68246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6DB09D08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2B853870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30D2F655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2840E5F5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5CC2C1FE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36990CE2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28900B40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390C653A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2B9426C8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6DA08FC9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43B8F6A6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29DB160C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54E998BC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20953DFD" w14:textId="77777777" w:rsidR="000F0CBD" w:rsidRDefault="000F0CBD" w:rsidP="000F0CBD">
      <w:pPr>
        <w:rPr>
          <w:i/>
          <w:iCs/>
          <w:color w:val="000000" w:themeColor="text1"/>
          <w:lang w:val="en-IE"/>
        </w:rPr>
      </w:pPr>
    </w:p>
    <w:p w14:paraId="1877D6A6" w14:textId="77777777" w:rsidR="000F0CBD" w:rsidRDefault="000F0CBD" w:rsidP="000F0CBD">
      <w:pPr>
        <w:rPr>
          <w:b/>
          <w:bCs/>
          <w:color w:val="000000" w:themeColor="text1"/>
        </w:rPr>
      </w:pPr>
    </w:p>
    <w:p w14:paraId="42DF05F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CBD"/>
    <w:rsid w:val="000F0CBD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925F6"/>
  <w15:chartTrackingRefBased/>
  <w15:docId w15:val="{2295DC51-A7BE-4C73-8022-C9419989E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CB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0F0CBD"/>
    <w:pPr>
      <w:spacing w:after="0" w:line="240" w:lineRule="auto"/>
    </w:pPr>
    <w:rPr>
      <w:kern w:val="0"/>
      <w:sz w:val="24"/>
      <w:szCs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65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614</Words>
  <Characters>3500</Characters>
  <Application>Microsoft Office Word</Application>
  <DocSecurity>0</DocSecurity>
  <Lines>29</Lines>
  <Paragraphs>8</Paragraphs>
  <ScaleCrop>false</ScaleCrop>
  <Company>Springer Nature</Company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2024-04-22T12:00:00Z</dcterms:created>
  <dcterms:modified xsi:type="dcterms:W3CDTF">2024-04-22T12:01:00Z</dcterms:modified>
</cp:coreProperties>
</file>