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B59AB0" w14:textId="77777777" w:rsidR="00E75579" w:rsidRPr="00D85F40" w:rsidRDefault="00E75579" w:rsidP="00D85F40">
      <w:pPr>
        <w:pStyle w:val="a6"/>
        <w:rPr>
          <w:rFonts w:ascii="Times New Roman" w:hAnsi="Times New Roman" w:cs="Times New Roman"/>
          <w:b/>
          <w:bCs/>
        </w:rPr>
      </w:pPr>
      <w:r w:rsidRPr="00D85F40">
        <w:rPr>
          <w:rFonts w:ascii="Times New Roman" w:hAnsi="Times New Roman" w:cs="Times New Roman"/>
          <w:b/>
          <w:bCs/>
        </w:rPr>
        <w:t>Long-Term Risk of Autoimmune Diseases After mRNA-based COVID-19 Vaccination: A Korean Nationwide Population-based Cohort Study</w:t>
      </w:r>
    </w:p>
    <w:p w14:paraId="74FC3F8E" w14:textId="77777777" w:rsidR="00E75579" w:rsidRDefault="00E75579" w:rsidP="00E75579">
      <w:pPr>
        <w:wordWrap/>
        <w:snapToGrid w:val="0"/>
        <w:spacing w:after="0" w:line="480" w:lineRule="auto"/>
        <w:jc w:val="left"/>
        <w:rPr>
          <w:rFonts w:ascii="Times New Roman" w:eastAsia="바탕" w:hAnsi="Times New Roman" w:cs="Times New Roman"/>
          <w:b/>
          <w:szCs w:val="20"/>
        </w:rPr>
      </w:pPr>
    </w:p>
    <w:p w14:paraId="0C1F20E7" w14:textId="77777777" w:rsidR="00E75579" w:rsidRDefault="00E75579" w:rsidP="00E75579">
      <w:pPr>
        <w:wordWrap/>
        <w:snapToGrid w:val="0"/>
        <w:spacing w:after="0" w:line="480" w:lineRule="auto"/>
        <w:jc w:val="left"/>
        <w:rPr>
          <w:rFonts w:ascii="Times New Roman" w:eastAsia="바탕" w:hAnsi="Times New Roman" w:cs="Times New Roman"/>
          <w:b/>
          <w:szCs w:val="20"/>
        </w:rPr>
      </w:pPr>
      <w:r>
        <w:rPr>
          <w:rFonts w:ascii="Times New Roman" w:eastAsia="바탕" w:hAnsi="Times New Roman" w:cs="Times New Roman"/>
          <w:b/>
          <w:szCs w:val="20"/>
        </w:rPr>
        <w:t>Supplementary Information</w:t>
      </w:r>
    </w:p>
    <w:p w14:paraId="213DEA34" w14:textId="77777777" w:rsidR="00E75579" w:rsidRDefault="00E75579" w:rsidP="00E75579">
      <w:pPr>
        <w:wordWrap/>
        <w:snapToGrid w:val="0"/>
        <w:spacing w:after="0" w:line="480" w:lineRule="auto"/>
        <w:jc w:val="left"/>
        <w:rPr>
          <w:rFonts w:ascii="Times New Roman" w:eastAsia="바탕" w:hAnsi="Times New Roman" w:cs="Times New Roman"/>
          <w:b/>
          <w:szCs w:val="20"/>
        </w:rPr>
      </w:pPr>
    </w:p>
    <w:p w14:paraId="5F4E8DC7" w14:textId="77777777" w:rsidR="00E75579" w:rsidRDefault="00E75579" w:rsidP="00E75579">
      <w:pPr>
        <w:wordWrap/>
        <w:snapToGrid w:val="0"/>
        <w:spacing w:after="0" w:line="480" w:lineRule="auto"/>
        <w:jc w:val="left"/>
        <w:rPr>
          <w:rFonts w:ascii="Times New Roman" w:eastAsia="바탕" w:hAnsi="Times New Roman" w:cs="Times New Roman"/>
          <w:b/>
          <w:szCs w:val="20"/>
        </w:rPr>
      </w:pPr>
      <w:r>
        <w:rPr>
          <w:rFonts w:ascii="Times New Roman" w:eastAsia="바탕" w:hAnsi="Times New Roman" w:cs="Times New Roman"/>
          <w:b/>
          <w:szCs w:val="20"/>
        </w:rPr>
        <w:t xml:space="preserve">Corresponding author: </w:t>
      </w:r>
      <w:r w:rsidRPr="0072612D">
        <w:rPr>
          <w:rFonts w:ascii="Times New Roman" w:eastAsia="바탕" w:hAnsi="Times New Roman" w:cs="Times New Roman"/>
          <w:szCs w:val="20"/>
        </w:rPr>
        <w:t>Solam Lee</w:t>
      </w:r>
      <w:r w:rsidR="0072612D" w:rsidRPr="0072612D">
        <w:rPr>
          <w:rFonts w:ascii="Times New Roman" w:eastAsia="맑은 고딕" w:hAnsi="Times New Roman" w:cs="Times New Roman"/>
          <w:szCs w:val="20"/>
        </w:rPr>
        <w:t>, M.D., Ph.D.</w:t>
      </w:r>
    </w:p>
    <w:p w14:paraId="63A1F0AB" w14:textId="77777777" w:rsidR="00E75579" w:rsidRDefault="00E75579" w:rsidP="00E75579">
      <w:pPr>
        <w:wordWrap/>
        <w:snapToGrid w:val="0"/>
        <w:spacing w:after="0" w:line="480" w:lineRule="auto"/>
        <w:jc w:val="left"/>
        <w:rPr>
          <w:rFonts w:ascii="Times New Roman" w:eastAsia="바탕" w:hAnsi="Times New Roman" w:cs="Times New Roman"/>
          <w:b/>
          <w:szCs w:val="20"/>
        </w:rPr>
      </w:pPr>
      <w:r>
        <w:rPr>
          <w:rFonts w:ascii="Times New Roman" w:eastAsia="바탕" w:hAnsi="Times New Roman" w:cs="Times New Roman"/>
          <w:b/>
          <w:szCs w:val="20"/>
        </w:rPr>
        <w:t xml:space="preserve">Email: </w:t>
      </w:r>
      <w:r w:rsidRPr="0072612D">
        <w:rPr>
          <w:rFonts w:ascii="Times New Roman" w:eastAsia="바탕" w:hAnsi="Times New Roman" w:cs="Times New Roman"/>
          <w:szCs w:val="20"/>
        </w:rPr>
        <w:t>solam@yonsei.ac.kr</w:t>
      </w:r>
    </w:p>
    <w:p w14:paraId="0FBA7133" w14:textId="77777777" w:rsidR="00D85F40" w:rsidRDefault="00D85F40">
      <w:pPr>
        <w:widowControl/>
        <w:wordWrap/>
        <w:autoSpaceDE/>
        <w:autoSpaceDN/>
        <w:rPr>
          <w:rFonts w:ascii="Times New Roman" w:eastAsia="바탕" w:hAnsi="Times New Roman" w:cs="Times New Roman"/>
          <w:b/>
          <w:szCs w:val="20"/>
        </w:rPr>
      </w:pPr>
      <w:r>
        <w:rPr>
          <w:rFonts w:ascii="Times New Roman" w:eastAsia="바탕" w:hAnsi="Times New Roman" w:cs="Times New Roman"/>
          <w:b/>
          <w:szCs w:val="20"/>
        </w:rPr>
        <w:br w:type="page"/>
      </w:r>
    </w:p>
    <w:p w14:paraId="350E2A2C" w14:textId="1FDA2B43" w:rsidR="00E75579" w:rsidRDefault="00E75579" w:rsidP="00E75579">
      <w:pPr>
        <w:wordWrap/>
        <w:snapToGrid w:val="0"/>
        <w:spacing w:after="0" w:line="480" w:lineRule="auto"/>
        <w:jc w:val="left"/>
        <w:rPr>
          <w:rFonts w:ascii="Times New Roman" w:eastAsia="바탕" w:hAnsi="Times New Roman" w:cs="Times New Roman"/>
          <w:b/>
          <w:szCs w:val="20"/>
        </w:rPr>
      </w:pPr>
      <w:r>
        <w:rPr>
          <w:rFonts w:ascii="Times New Roman" w:eastAsia="바탕" w:hAnsi="Times New Roman" w:cs="Times New Roman"/>
          <w:b/>
          <w:szCs w:val="20"/>
        </w:rPr>
        <w:lastRenderedPageBreak/>
        <w:t>List of Contents</w:t>
      </w:r>
    </w:p>
    <w:p w14:paraId="7B74A489" w14:textId="77777777" w:rsidR="00E75579" w:rsidRPr="00E75579" w:rsidRDefault="00E75579" w:rsidP="00E75579">
      <w:pPr>
        <w:pStyle w:val="a4"/>
        <w:numPr>
          <w:ilvl w:val="0"/>
          <w:numId w:val="2"/>
        </w:numPr>
        <w:wordWrap/>
        <w:snapToGrid w:val="0"/>
        <w:spacing w:after="0" w:line="480" w:lineRule="auto"/>
        <w:ind w:leftChars="0"/>
        <w:jc w:val="left"/>
        <w:rPr>
          <w:rFonts w:ascii="Times New Roman" w:eastAsia="바탕" w:hAnsi="Times New Roman" w:cs="Times New Roman"/>
          <w:b/>
          <w:szCs w:val="20"/>
        </w:rPr>
      </w:pPr>
      <w:r w:rsidRPr="00E75579">
        <w:rPr>
          <w:rFonts w:ascii="Times New Roman" w:eastAsia="바탕" w:hAnsi="Times New Roman" w:cs="Times New Roman"/>
          <w:b/>
          <w:szCs w:val="20"/>
        </w:rPr>
        <w:t xml:space="preserve">Supplementary Figure 1. </w:t>
      </w:r>
      <w:r w:rsidRPr="00E75579">
        <w:rPr>
          <w:rFonts w:ascii="Times New Roman" w:eastAsia="바탕" w:hAnsi="Times New Roman" w:cs="Times New Roman"/>
          <w:szCs w:val="20"/>
        </w:rPr>
        <w:t>Covariate balance after applying inverse probability weighting between mRNA-based COVID-19 vaccination cohort and historical control cohort</w:t>
      </w:r>
    </w:p>
    <w:p w14:paraId="44D911B5" w14:textId="77777777" w:rsidR="00E75579" w:rsidRPr="00E75579" w:rsidRDefault="00E75579" w:rsidP="00E75579">
      <w:pPr>
        <w:pStyle w:val="a4"/>
        <w:numPr>
          <w:ilvl w:val="0"/>
          <w:numId w:val="2"/>
        </w:numPr>
        <w:wordWrap/>
        <w:snapToGrid w:val="0"/>
        <w:spacing w:after="0" w:line="480" w:lineRule="auto"/>
        <w:ind w:leftChars="0"/>
        <w:jc w:val="left"/>
        <w:rPr>
          <w:rFonts w:ascii="Times New Roman" w:eastAsia="바탕" w:hAnsi="Times New Roman" w:cs="Times New Roman"/>
          <w:b/>
          <w:szCs w:val="20"/>
        </w:rPr>
      </w:pPr>
      <w:r w:rsidRPr="00E75579">
        <w:rPr>
          <w:rFonts w:ascii="Times New Roman" w:eastAsia="바탕" w:hAnsi="Times New Roman" w:cs="Times New Roman"/>
          <w:b/>
          <w:szCs w:val="20"/>
        </w:rPr>
        <w:t xml:space="preserve">Supplementary Figure 2. </w:t>
      </w:r>
      <w:r w:rsidRPr="00E75579">
        <w:rPr>
          <w:rFonts w:ascii="Times New Roman" w:eastAsia="바탕" w:hAnsi="Times New Roman" w:cs="Times New Roman"/>
          <w:szCs w:val="20"/>
        </w:rPr>
        <w:t xml:space="preserve">Cumulative </w:t>
      </w:r>
      <w:r w:rsidR="0072612D">
        <w:rPr>
          <w:rFonts w:ascii="Times New Roman" w:eastAsia="바탕" w:hAnsi="Times New Roman" w:cs="Times New Roman"/>
          <w:szCs w:val="20"/>
        </w:rPr>
        <w:t>i</w:t>
      </w:r>
      <w:r w:rsidRPr="00E75579">
        <w:rPr>
          <w:rFonts w:ascii="Times New Roman" w:eastAsia="바탕" w:hAnsi="Times New Roman" w:cs="Times New Roman"/>
          <w:szCs w:val="20"/>
        </w:rPr>
        <w:t xml:space="preserve">ncidences of </w:t>
      </w:r>
      <w:r w:rsidR="0072612D">
        <w:rPr>
          <w:rFonts w:ascii="Times New Roman" w:eastAsia="바탕" w:hAnsi="Times New Roman" w:cs="Times New Roman"/>
          <w:szCs w:val="20"/>
        </w:rPr>
        <w:t>a</w:t>
      </w:r>
      <w:r w:rsidRPr="00E75579">
        <w:rPr>
          <w:rFonts w:ascii="Times New Roman" w:eastAsia="바탕" w:hAnsi="Times New Roman" w:cs="Times New Roman"/>
          <w:szCs w:val="20"/>
        </w:rPr>
        <w:t xml:space="preserve">utoimmune </w:t>
      </w:r>
      <w:r w:rsidR="0072612D">
        <w:rPr>
          <w:rFonts w:ascii="Times New Roman" w:eastAsia="바탕" w:hAnsi="Times New Roman" w:cs="Times New Roman"/>
          <w:szCs w:val="20"/>
        </w:rPr>
        <w:t>c</w:t>
      </w:r>
      <w:r w:rsidRPr="00E75579">
        <w:rPr>
          <w:rFonts w:ascii="Times New Roman" w:eastAsia="바탕" w:hAnsi="Times New Roman" w:cs="Times New Roman"/>
          <w:szCs w:val="20"/>
        </w:rPr>
        <w:t xml:space="preserve">onnective </w:t>
      </w:r>
      <w:r w:rsidR="0072612D">
        <w:rPr>
          <w:rFonts w:ascii="Times New Roman" w:eastAsia="바탕" w:hAnsi="Times New Roman" w:cs="Times New Roman"/>
          <w:szCs w:val="20"/>
        </w:rPr>
        <w:t>t</w:t>
      </w:r>
      <w:r w:rsidRPr="00E75579">
        <w:rPr>
          <w:rFonts w:ascii="Times New Roman" w:eastAsia="바탕" w:hAnsi="Times New Roman" w:cs="Times New Roman"/>
          <w:szCs w:val="20"/>
        </w:rPr>
        <w:t xml:space="preserve">issue </w:t>
      </w:r>
      <w:r w:rsidR="0072612D">
        <w:rPr>
          <w:rFonts w:ascii="Times New Roman" w:eastAsia="바탕" w:hAnsi="Times New Roman" w:cs="Times New Roman"/>
          <w:szCs w:val="20"/>
        </w:rPr>
        <w:t>diseases o</w:t>
      </w:r>
      <w:r w:rsidRPr="00E75579">
        <w:rPr>
          <w:rFonts w:ascii="Times New Roman" w:eastAsia="바탕" w:hAnsi="Times New Roman" w:cs="Times New Roman"/>
          <w:szCs w:val="20"/>
        </w:rPr>
        <w:t>utcomes</w:t>
      </w:r>
    </w:p>
    <w:p w14:paraId="568922FF" w14:textId="77777777" w:rsidR="00E75579" w:rsidRPr="00E75579" w:rsidRDefault="00E75579" w:rsidP="00E75579">
      <w:pPr>
        <w:pStyle w:val="a4"/>
        <w:numPr>
          <w:ilvl w:val="0"/>
          <w:numId w:val="2"/>
        </w:numPr>
        <w:wordWrap/>
        <w:snapToGrid w:val="0"/>
        <w:spacing w:after="0" w:line="480" w:lineRule="auto"/>
        <w:ind w:leftChars="0"/>
        <w:jc w:val="left"/>
        <w:rPr>
          <w:rFonts w:ascii="Times New Roman" w:eastAsia="바탕" w:hAnsi="Times New Roman" w:cs="Times New Roman"/>
          <w:b/>
          <w:szCs w:val="20"/>
        </w:rPr>
      </w:pPr>
      <w:r w:rsidRPr="00E75579">
        <w:rPr>
          <w:rFonts w:ascii="Times New Roman" w:eastAsia="바탕" w:hAnsi="Times New Roman" w:cs="Times New Roman"/>
          <w:b/>
          <w:szCs w:val="20"/>
        </w:rPr>
        <w:t xml:space="preserve">Supplementary Figure 3. </w:t>
      </w:r>
      <w:r w:rsidRPr="00E75579">
        <w:rPr>
          <w:rFonts w:ascii="Times New Roman" w:eastAsia="바탕" w:hAnsi="Times New Roman" w:cs="Times New Roman"/>
          <w:szCs w:val="20"/>
        </w:rPr>
        <w:t>Subgroup analyses of the risks of incident autoimmune connective tissue dis</w:t>
      </w:r>
      <w:r w:rsidR="0072612D">
        <w:rPr>
          <w:rFonts w:ascii="Times New Roman" w:eastAsia="바탕" w:hAnsi="Times New Roman" w:cs="Times New Roman"/>
          <w:szCs w:val="20"/>
        </w:rPr>
        <w:t>eases</w:t>
      </w:r>
      <w:r w:rsidRPr="00E75579">
        <w:rPr>
          <w:rFonts w:ascii="Times New Roman" w:eastAsia="바탕" w:hAnsi="Times New Roman" w:cs="Times New Roman"/>
          <w:szCs w:val="20"/>
        </w:rPr>
        <w:t xml:space="preserve"> in mRNA-based COVID-19 vaccination cohort compared to the historical control cohort according to the prior history of non-mRNA vaccination before the study index and prior history of booster vaccination</w:t>
      </w:r>
    </w:p>
    <w:p w14:paraId="66106D19" w14:textId="77777777" w:rsidR="00E75579" w:rsidRDefault="00E75579" w:rsidP="00E75579">
      <w:pPr>
        <w:pStyle w:val="a4"/>
        <w:numPr>
          <w:ilvl w:val="0"/>
          <w:numId w:val="2"/>
        </w:numPr>
        <w:wordWrap/>
        <w:snapToGrid w:val="0"/>
        <w:spacing w:after="0" w:line="480" w:lineRule="auto"/>
        <w:ind w:leftChars="0"/>
        <w:jc w:val="left"/>
        <w:rPr>
          <w:rFonts w:ascii="Times New Roman" w:eastAsia="바탕" w:hAnsi="Times New Roman" w:cs="Times New Roman"/>
          <w:b/>
          <w:szCs w:val="20"/>
        </w:rPr>
      </w:pPr>
      <w:r w:rsidRPr="00E75579">
        <w:rPr>
          <w:rFonts w:ascii="Times New Roman" w:eastAsia="바탕" w:hAnsi="Times New Roman" w:cs="Times New Roman"/>
          <w:b/>
          <w:szCs w:val="20"/>
        </w:rPr>
        <w:t xml:space="preserve">Supplementary Table 1. </w:t>
      </w:r>
      <w:r w:rsidRPr="00E75579">
        <w:rPr>
          <w:rFonts w:ascii="Times New Roman" w:eastAsia="바탕" w:hAnsi="Times New Roman" w:cs="Times New Roman"/>
          <w:szCs w:val="20"/>
        </w:rPr>
        <w:t>COVID-19 vaccination profiles of the vaccination cohort</w:t>
      </w:r>
    </w:p>
    <w:p w14:paraId="1F363778" w14:textId="77777777" w:rsidR="00E75579" w:rsidRDefault="00E75579" w:rsidP="00E75579">
      <w:pPr>
        <w:pStyle w:val="a4"/>
        <w:numPr>
          <w:ilvl w:val="0"/>
          <w:numId w:val="2"/>
        </w:numPr>
        <w:wordWrap/>
        <w:snapToGrid w:val="0"/>
        <w:spacing w:after="0" w:line="480" w:lineRule="auto"/>
        <w:ind w:leftChars="0"/>
        <w:jc w:val="left"/>
        <w:rPr>
          <w:rFonts w:ascii="Times New Roman" w:eastAsia="바탕" w:hAnsi="Times New Roman" w:cs="Times New Roman"/>
          <w:b/>
          <w:szCs w:val="20"/>
        </w:rPr>
      </w:pPr>
      <w:r w:rsidRPr="00E75579">
        <w:rPr>
          <w:rFonts w:ascii="Times New Roman" w:eastAsia="바탕" w:hAnsi="Times New Roman" w:cs="Times New Roman"/>
          <w:b/>
          <w:szCs w:val="20"/>
        </w:rPr>
        <w:t xml:space="preserve">Supplementary Table 2. </w:t>
      </w:r>
      <w:r w:rsidRPr="00E75579">
        <w:rPr>
          <w:rFonts w:ascii="Times New Roman" w:eastAsia="바탕" w:hAnsi="Times New Roman" w:cs="Times New Roman"/>
          <w:i/>
          <w:szCs w:val="20"/>
        </w:rPr>
        <w:t>International Statistical Classification of Diseases</w:t>
      </w:r>
      <w:r w:rsidRPr="00E75579">
        <w:rPr>
          <w:rFonts w:ascii="Times New Roman" w:eastAsia="바탕" w:hAnsi="Times New Roman" w:cs="Times New Roman"/>
          <w:szCs w:val="20"/>
        </w:rPr>
        <w:t xml:space="preserve">, Tenth Revision (ICD-10) </w:t>
      </w:r>
      <w:r w:rsidR="0072612D">
        <w:rPr>
          <w:rFonts w:ascii="Times New Roman" w:eastAsia="바탕" w:hAnsi="Times New Roman" w:cs="Times New Roman"/>
          <w:szCs w:val="20"/>
        </w:rPr>
        <w:t>c</w:t>
      </w:r>
      <w:r w:rsidRPr="00E75579">
        <w:rPr>
          <w:rFonts w:ascii="Times New Roman" w:eastAsia="바탕" w:hAnsi="Times New Roman" w:cs="Times New Roman"/>
          <w:szCs w:val="20"/>
        </w:rPr>
        <w:t xml:space="preserve">odes of the </w:t>
      </w:r>
      <w:r w:rsidR="0072612D">
        <w:rPr>
          <w:rFonts w:ascii="Times New Roman" w:eastAsia="바탕" w:hAnsi="Times New Roman" w:cs="Times New Roman"/>
          <w:szCs w:val="20"/>
        </w:rPr>
        <w:t>i</w:t>
      </w:r>
      <w:r w:rsidRPr="00E75579">
        <w:rPr>
          <w:rFonts w:ascii="Times New Roman" w:eastAsia="바탕" w:hAnsi="Times New Roman" w:cs="Times New Roman"/>
          <w:szCs w:val="20"/>
        </w:rPr>
        <w:t xml:space="preserve">ncluded </w:t>
      </w:r>
      <w:r w:rsidR="0072612D">
        <w:rPr>
          <w:rFonts w:ascii="Times New Roman" w:eastAsia="바탕" w:hAnsi="Times New Roman" w:cs="Times New Roman"/>
          <w:szCs w:val="20"/>
        </w:rPr>
        <w:t>d</w:t>
      </w:r>
      <w:r w:rsidRPr="00E75579">
        <w:rPr>
          <w:rFonts w:ascii="Times New Roman" w:eastAsia="바탕" w:hAnsi="Times New Roman" w:cs="Times New Roman"/>
          <w:szCs w:val="20"/>
        </w:rPr>
        <w:t>iseases</w:t>
      </w:r>
    </w:p>
    <w:p w14:paraId="715DB0F4" w14:textId="1CAB2889" w:rsidR="00D85F40" w:rsidRDefault="00D85F40">
      <w:pPr>
        <w:widowControl/>
        <w:wordWrap/>
        <w:autoSpaceDE/>
        <w:autoSpaceDN/>
        <w:rPr>
          <w:rFonts w:ascii="Times New Roman" w:eastAsia="바탕" w:hAnsi="Times New Roman" w:cs="Times New Roman"/>
          <w:b/>
          <w:szCs w:val="20"/>
        </w:rPr>
      </w:pPr>
      <w:r>
        <w:rPr>
          <w:rFonts w:ascii="Times New Roman" w:eastAsia="바탕" w:hAnsi="Times New Roman" w:cs="Times New Roman"/>
          <w:b/>
          <w:szCs w:val="20"/>
        </w:rPr>
        <w:br w:type="page"/>
      </w:r>
    </w:p>
    <w:p w14:paraId="325A7E72" w14:textId="77777777" w:rsidR="00E75579" w:rsidRPr="00E75579" w:rsidRDefault="00E75579" w:rsidP="00E75579">
      <w:pPr>
        <w:widowControl/>
        <w:wordWrap/>
        <w:autoSpaceDE/>
        <w:autoSpaceDN/>
        <w:snapToGrid w:val="0"/>
        <w:spacing w:line="480" w:lineRule="auto"/>
        <w:jc w:val="left"/>
        <w:rPr>
          <w:rFonts w:ascii="Times New Roman" w:eastAsia="바탕" w:hAnsi="Times New Roman" w:cs="Times New Roman"/>
          <w:b/>
          <w:szCs w:val="20"/>
        </w:rPr>
      </w:pPr>
      <w:r w:rsidRPr="00E75579">
        <w:rPr>
          <w:rFonts w:ascii="Times New Roman" w:eastAsia="바탕" w:hAnsi="Times New Roman" w:cs="Times New Roman"/>
          <w:b/>
          <w:szCs w:val="20"/>
        </w:rPr>
        <w:lastRenderedPageBreak/>
        <w:t>Supplementary Figure 1. Covariate balance after applying inverse probability weighting between mRNA-based COVID-19 vaccination cohort and historical control cohort</w:t>
      </w:r>
    </w:p>
    <w:p w14:paraId="54B1B45A" w14:textId="77777777" w:rsidR="00E75579" w:rsidRPr="00E75579" w:rsidRDefault="00E75579" w:rsidP="00E75579">
      <w:pPr>
        <w:widowControl/>
        <w:wordWrap/>
        <w:autoSpaceDE/>
        <w:autoSpaceDN/>
        <w:snapToGrid w:val="0"/>
        <w:spacing w:line="480" w:lineRule="auto"/>
        <w:jc w:val="left"/>
        <w:rPr>
          <w:rFonts w:ascii="Times New Roman" w:eastAsia="바탕" w:hAnsi="Times New Roman" w:cs="Times New Roman"/>
          <w:szCs w:val="20"/>
        </w:rPr>
      </w:pPr>
      <w:r w:rsidRPr="00E75579">
        <w:rPr>
          <w:rFonts w:ascii="Times New Roman" w:eastAsia="바탕" w:hAnsi="Times New Roman" w:cs="Times New Roman"/>
          <w:szCs w:val="20"/>
        </w:rPr>
        <w:t>Abbreviation: COVID-19, coronavirus disease 2019; SMD, standardized mean difference.</w:t>
      </w:r>
    </w:p>
    <w:p w14:paraId="4060D1D6" w14:textId="34BCAC31" w:rsidR="00E75579" w:rsidRPr="00E75579" w:rsidRDefault="00D85F40" w:rsidP="00E75579">
      <w:pPr>
        <w:widowControl/>
        <w:wordWrap/>
        <w:autoSpaceDE/>
        <w:autoSpaceDN/>
        <w:snapToGrid w:val="0"/>
        <w:spacing w:line="480" w:lineRule="auto"/>
        <w:jc w:val="left"/>
        <w:rPr>
          <w:rFonts w:ascii="Times New Roman" w:eastAsia="바탕" w:hAnsi="Times New Roman" w:cs="Times New Roman"/>
          <w:b/>
          <w:szCs w:val="20"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5269B48" wp14:editId="75A4F8DD">
            <wp:extent cx="5731510" cy="5766435"/>
            <wp:effectExtent l="0" t="0" r="2540" b="5715"/>
            <wp:docPr id="122172700" name="그림 1" descr="텍스트, 스크린샷, 폰트, 번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172700" name="그림 1" descr="텍스트, 스크린샷, 폰트, 번호이(가) 표시된 사진&#10;&#10;자동 생성된 설명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6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EE338" w14:textId="0B9EC15E" w:rsidR="00D85F40" w:rsidRDefault="00D85F40">
      <w:pPr>
        <w:widowControl/>
        <w:wordWrap/>
        <w:autoSpaceDE/>
        <w:autoSpaceDN/>
        <w:rPr>
          <w:rFonts w:ascii="Times New Roman" w:eastAsia="바탕" w:hAnsi="Times New Roman" w:cs="Times New Roman"/>
          <w:b/>
          <w:szCs w:val="20"/>
        </w:rPr>
      </w:pPr>
      <w:r>
        <w:rPr>
          <w:rFonts w:ascii="Times New Roman" w:eastAsia="바탕" w:hAnsi="Times New Roman" w:cs="Times New Roman"/>
          <w:b/>
          <w:szCs w:val="20"/>
        </w:rPr>
        <w:br w:type="page"/>
      </w:r>
    </w:p>
    <w:p w14:paraId="1C3FCB70" w14:textId="77777777" w:rsidR="00E75579" w:rsidRPr="00E75579" w:rsidRDefault="00E75579" w:rsidP="00E75579">
      <w:pPr>
        <w:widowControl/>
        <w:wordWrap/>
        <w:autoSpaceDE/>
        <w:autoSpaceDN/>
        <w:snapToGrid w:val="0"/>
        <w:spacing w:line="480" w:lineRule="auto"/>
        <w:jc w:val="left"/>
        <w:rPr>
          <w:rFonts w:ascii="Times New Roman" w:eastAsia="바탕" w:hAnsi="Times New Roman" w:cs="Times New Roman"/>
          <w:b/>
          <w:szCs w:val="20"/>
        </w:rPr>
      </w:pPr>
      <w:r w:rsidRPr="00E75579">
        <w:rPr>
          <w:rFonts w:ascii="Times New Roman" w:eastAsia="바탕" w:hAnsi="Times New Roman" w:cs="Times New Roman"/>
          <w:b/>
          <w:szCs w:val="20"/>
        </w:rPr>
        <w:lastRenderedPageBreak/>
        <w:t xml:space="preserve">Supplementary Figure 2. </w:t>
      </w:r>
      <w:r w:rsidR="0072612D" w:rsidRPr="0072612D">
        <w:rPr>
          <w:rFonts w:ascii="Times New Roman" w:eastAsia="바탕" w:hAnsi="Times New Roman" w:cs="Times New Roman"/>
          <w:b/>
          <w:szCs w:val="20"/>
        </w:rPr>
        <w:t xml:space="preserve">Cumulative incidences of autoimmune connective tissue diseases outcomes </w:t>
      </w:r>
    </w:p>
    <w:p w14:paraId="566C5756" w14:textId="77777777" w:rsidR="00E75579" w:rsidRPr="00E75579" w:rsidRDefault="00E75579" w:rsidP="00E75579">
      <w:pPr>
        <w:widowControl/>
        <w:wordWrap/>
        <w:autoSpaceDE/>
        <w:autoSpaceDN/>
        <w:snapToGrid w:val="0"/>
        <w:spacing w:line="480" w:lineRule="auto"/>
        <w:jc w:val="left"/>
        <w:rPr>
          <w:rFonts w:ascii="Times New Roman" w:eastAsia="바탕" w:hAnsi="Times New Roman" w:cs="Times New Roman"/>
          <w:szCs w:val="20"/>
        </w:rPr>
      </w:pPr>
      <w:r w:rsidRPr="00E75579">
        <w:rPr>
          <w:rFonts w:ascii="Times New Roman" w:eastAsia="바탕" w:hAnsi="Times New Roman" w:cs="Times New Roman"/>
          <w:szCs w:val="20"/>
        </w:rPr>
        <w:t>The cumulative incidence plot shows the cumulative incidences</w:t>
      </w:r>
      <w:r w:rsidR="0072612D">
        <w:rPr>
          <w:rFonts w:ascii="Times New Roman" w:eastAsia="바탕" w:hAnsi="Times New Roman" w:cs="Times New Roman"/>
          <w:szCs w:val="20"/>
        </w:rPr>
        <w:t xml:space="preserve"> of autoimmune connective tissue diseases</w:t>
      </w:r>
      <w:r w:rsidRPr="00E75579">
        <w:rPr>
          <w:rFonts w:ascii="Times New Roman" w:eastAsia="바탕" w:hAnsi="Times New Roman" w:cs="Times New Roman"/>
          <w:szCs w:val="20"/>
        </w:rPr>
        <w:t xml:space="preserve"> and the number of events in mRNA-based COVID-19 vaccination cohort and historical control cohort. The shaded area shows a 95% conﬁdence interval for the cumulative incidences.</w:t>
      </w:r>
    </w:p>
    <w:p w14:paraId="155F5B4E" w14:textId="77777777" w:rsidR="00E75579" w:rsidRPr="00E75579" w:rsidRDefault="00E75579" w:rsidP="00E75579">
      <w:pPr>
        <w:widowControl/>
        <w:wordWrap/>
        <w:autoSpaceDE/>
        <w:autoSpaceDN/>
        <w:snapToGrid w:val="0"/>
        <w:spacing w:line="480" w:lineRule="auto"/>
        <w:jc w:val="left"/>
        <w:rPr>
          <w:rFonts w:ascii="Times New Roman" w:eastAsia="바탕" w:hAnsi="Times New Roman" w:cs="Times New Roman"/>
          <w:szCs w:val="20"/>
        </w:rPr>
      </w:pPr>
      <w:r w:rsidRPr="00E75579">
        <w:rPr>
          <w:rFonts w:ascii="Times New Roman" w:eastAsia="바탕" w:hAnsi="Times New Roman" w:cs="Times New Roman"/>
          <w:szCs w:val="20"/>
        </w:rPr>
        <w:t>Abbreviation: COVID-19, coronavirus disease 2019; ANCA, anti-neutrophil cytoplasmic antibody.</w:t>
      </w:r>
    </w:p>
    <w:p w14:paraId="133A59DA" w14:textId="61139414" w:rsidR="00D85F40" w:rsidRDefault="00D85F40" w:rsidP="00D85F40">
      <w:pPr>
        <w:widowControl/>
        <w:wordWrap/>
        <w:autoSpaceDE/>
        <w:autoSpaceDN/>
        <w:snapToGrid w:val="0"/>
        <w:spacing w:line="480" w:lineRule="auto"/>
        <w:jc w:val="center"/>
        <w:rPr>
          <w:rFonts w:ascii="Times New Roman" w:eastAsia="바탕" w:hAnsi="Times New Roman" w:cs="Times New Roman"/>
          <w:b/>
          <w:szCs w:val="20"/>
        </w:rPr>
      </w:pPr>
      <w:r>
        <w:rPr>
          <w:rFonts w:ascii="Times New Roman" w:eastAsia="바탕" w:hAnsi="Times New Roman" w:cs="Times New Roman"/>
          <w:noProof/>
          <w:szCs w:val="20"/>
        </w:rPr>
        <w:drawing>
          <wp:inline distT="0" distB="0" distL="0" distR="0" wp14:anchorId="3289F261" wp14:editId="14121037">
            <wp:extent cx="4260836" cy="6864346"/>
            <wp:effectExtent l="0" t="0" r="6985" b="0"/>
            <wp:docPr id="298739440" name="그림 2" descr="텍스트, 도표, 친필, 평행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739440" name="그림 2" descr="텍스트, 도표, 친필, 평행이(가) 표시된 사진&#10;&#10;자동 생성된 설명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9515" cy="6878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바탕" w:hAnsi="Times New Roman" w:cs="Times New Roman"/>
          <w:b/>
          <w:szCs w:val="20"/>
        </w:rPr>
        <w:br w:type="page"/>
      </w:r>
    </w:p>
    <w:p w14:paraId="60FAD4BA" w14:textId="77777777" w:rsidR="00E75579" w:rsidRPr="00E75579" w:rsidRDefault="00E75579" w:rsidP="00E75579">
      <w:pPr>
        <w:widowControl/>
        <w:wordWrap/>
        <w:autoSpaceDE/>
        <w:autoSpaceDN/>
        <w:snapToGrid w:val="0"/>
        <w:spacing w:line="480" w:lineRule="auto"/>
        <w:jc w:val="left"/>
        <w:rPr>
          <w:rFonts w:ascii="Times New Roman" w:eastAsia="바탕" w:hAnsi="Times New Roman" w:cs="Times New Roman"/>
          <w:b/>
          <w:szCs w:val="20"/>
        </w:rPr>
      </w:pPr>
      <w:r w:rsidRPr="00E75579">
        <w:rPr>
          <w:rFonts w:ascii="Times New Roman" w:eastAsia="바탕" w:hAnsi="Times New Roman" w:cs="Times New Roman"/>
          <w:b/>
          <w:szCs w:val="20"/>
        </w:rPr>
        <w:lastRenderedPageBreak/>
        <w:t>Supplementa</w:t>
      </w:r>
      <w:r w:rsidRPr="00E75579">
        <w:rPr>
          <w:rFonts w:ascii="Times New Roman" w:eastAsia="바탕" w:hAnsi="Times New Roman" w:cs="Times New Roman" w:hint="eastAsia"/>
          <w:b/>
          <w:szCs w:val="20"/>
        </w:rPr>
        <w:t>ry</w:t>
      </w:r>
      <w:r w:rsidRPr="00E75579">
        <w:rPr>
          <w:rFonts w:ascii="Times New Roman" w:eastAsia="바탕" w:hAnsi="Times New Roman" w:cs="Times New Roman"/>
          <w:b/>
          <w:szCs w:val="20"/>
        </w:rPr>
        <w:t xml:space="preserve"> Figure 3. Subgroup analyses of the risks of incident autoimmune connective tissue dis</w:t>
      </w:r>
      <w:r w:rsidR="0072612D">
        <w:rPr>
          <w:rFonts w:ascii="Times New Roman" w:eastAsia="바탕" w:hAnsi="Times New Roman" w:cs="Times New Roman"/>
          <w:b/>
          <w:szCs w:val="20"/>
        </w:rPr>
        <w:t>eases</w:t>
      </w:r>
      <w:r w:rsidRPr="00E75579">
        <w:rPr>
          <w:rFonts w:ascii="Times New Roman" w:eastAsia="바탕" w:hAnsi="Times New Roman" w:cs="Times New Roman"/>
          <w:b/>
          <w:szCs w:val="20"/>
        </w:rPr>
        <w:t xml:space="preserve"> in mRNA-based COVID-19 vaccination cohort compared to the historical control cohort according to the prior history of non-mRNA vaccination before the study index and prior history of booster vaccination</w:t>
      </w:r>
    </w:p>
    <w:p w14:paraId="11BFD7B6" w14:textId="77777777" w:rsidR="00E75579" w:rsidRPr="00E75579" w:rsidRDefault="00E75579" w:rsidP="00E75579">
      <w:pPr>
        <w:widowControl/>
        <w:wordWrap/>
        <w:autoSpaceDE/>
        <w:autoSpaceDN/>
        <w:snapToGrid w:val="0"/>
        <w:spacing w:line="480" w:lineRule="auto"/>
        <w:jc w:val="left"/>
        <w:rPr>
          <w:rFonts w:ascii="Times New Roman" w:eastAsia="바탕" w:hAnsi="Times New Roman" w:cs="Times New Roman"/>
          <w:szCs w:val="20"/>
        </w:rPr>
      </w:pPr>
      <w:r w:rsidRPr="00E75579">
        <w:rPr>
          <w:rFonts w:ascii="Times New Roman" w:eastAsia="바탕" w:hAnsi="Times New Roman" w:cs="Times New Roman"/>
          <w:szCs w:val="20"/>
        </w:rPr>
        <w:t xml:space="preserve">The forest plot depicts adjusted hazard ratios (aHRs) and 95% conﬁdence intervals (CIs) in individuals with mRNA-based COVID-19 vaccination compared to historical controls. Subgroup analyses stratified by the prior history of non-mRNA vaccination before the study index and its type (AZD12222 and Ad26.COV2.S) and prior history of booster vaccination are also presented. </w:t>
      </w:r>
    </w:p>
    <w:p w14:paraId="07C3296D" w14:textId="77777777" w:rsidR="00E75579" w:rsidRDefault="00E75579" w:rsidP="00E75579">
      <w:pPr>
        <w:rPr>
          <w:rFonts w:ascii="Times New Roman" w:eastAsia="바탕" w:hAnsi="Times New Roman" w:cs="Times New Roman"/>
          <w:szCs w:val="20"/>
        </w:rPr>
      </w:pPr>
      <w:r w:rsidRPr="00E75579">
        <w:rPr>
          <w:rFonts w:ascii="Times New Roman" w:eastAsia="바탕" w:hAnsi="Times New Roman" w:cs="Times New Roman"/>
          <w:szCs w:val="20"/>
        </w:rPr>
        <w:t>Abbreviation: aHR, Adjusted hazard ratio; CI, confidence</w:t>
      </w:r>
    </w:p>
    <w:p w14:paraId="0B68D53F" w14:textId="77777777" w:rsidR="00D85F40" w:rsidRDefault="00D85F40" w:rsidP="00E75579"/>
    <w:p w14:paraId="7F9E2302" w14:textId="70B1F9E3" w:rsidR="00D85F40" w:rsidRDefault="00D85F40" w:rsidP="00D85F40">
      <w:r>
        <w:rPr>
          <w:rFonts w:ascii="Times New Roman" w:hAnsi="Times New Roman" w:cs="Times New Roman"/>
          <w:noProof/>
        </w:rPr>
        <w:drawing>
          <wp:inline distT="0" distB="0" distL="0" distR="0" wp14:anchorId="0992EA11" wp14:editId="425D65AA">
            <wp:extent cx="5731510" cy="3122930"/>
            <wp:effectExtent l="0" t="0" r="2540" b="1270"/>
            <wp:docPr id="1733659463" name="그림 3" descr="텍스트, 메뉴, 스크린샷, 폰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3659463" name="그림 3" descr="텍스트, 메뉴, 스크린샷, 폰트이(가) 표시된 사진&#10;&#10;자동 생성된 설명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22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14:paraId="06724DB8" w14:textId="4FC97BC5" w:rsidR="00E75579" w:rsidRPr="00E75579" w:rsidRDefault="00E75579" w:rsidP="00E75579">
      <w:pPr>
        <w:jc w:val="left"/>
        <w:rPr>
          <w:rFonts w:ascii="Times New Roman" w:eastAsia="바탕" w:hAnsi="Times New Roman" w:cs="Times New Roman"/>
          <w:b/>
          <w:bCs/>
          <w:szCs w:val="20"/>
        </w:rPr>
      </w:pPr>
      <w:r w:rsidRPr="00E75579">
        <w:rPr>
          <w:rFonts w:ascii="Times New Roman" w:eastAsia="바탕" w:hAnsi="Times New Roman" w:cs="Times New Roman"/>
          <w:b/>
          <w:bCs/>
          <w:szCs w:val="20"/>
        </w:rPr>
        <w:lastRenderedPageBreak/>
        <w:t xml:space="preserve">Supplementary </w:t>
      </w:r>
      <w:r w:rsidRPr="00E75579">
        <w:rPr>
          <w:rFonts w:ascii="Times New Roman" w:eastAsia="바탕" w:hAnsi="Times New Roman" w:cs="Times New Roman" w:hint="eastAsia"/>
          <w:b/>
          <w:bCs/>
          <w:szCs w:val="20"/>
        </w:rPr>
        <w:t>T</w:t>
      </w:r>
      <w:r w:rsidRPr="00E75579">
        <w:rPr>
          <w:rFonts w:ascii="Times New Roman" w:eastAsia="바탕" w:hAnsi="Times New Roman" w:cs="Times New Roman"/>
          <w:b/>
          <w:bCs/>
          <w:szCs w:val="20"/>
        </w:rPr>
        <w:t>able 1. COVID-19 vaccination profiles of the vaccination cohort</w:t>
      </w:r>
    </w:p>
    <w:tbl>
      <w:tblPr>
        <w:tblStyle w:val="2"/>
        <w:tblW w:w="9639" w:type="dxa"/>
        <w:jc w:val="center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111"/>
        <w:gridCol w:w="1842"/>
        <w:gridCol w:w="1843"/>
        <w:gridCol w:w="1843"/>
      </w:tblGrid>
      <w:tr w:rsidR="00E75579" w:rsidRPr="00E75579" w14:paraId="6ED483D0" w14:textId="77777777" w:rsidTr="00D46D27">
        <w:trPr>
          <w:trHeight w:val="403"/>
          <w:tblHeader/>
          <w:jc w:val="center"/>
        </w:trPr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1C3607" w14:textId="77777777" w:rsidR="00E75579" w:rsidRPr="00E75579" w:rsidRDefault="00E75579" w:rsidP="00E75579">
            <w:pPr>
              <w:widowControl/>
              <w:wordWrap/>
              <w:autoSpaceDE/>
              <w:contextualSpacing/>
              <w:jc w:val="center"/>
              <w:rPr>
                <w:rFonts w:eastAsia="바탕"/>
                <w:b/>
                <w:sz w:val="14"/>
                <w:szCs w:val="14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518E7F" w14:textId="77777777" w:rsidR="00E75579" w:rsidRPr="00E75579" w:rsidRDefault="00E75579" w:rsidP="00E75579">
            <w:pPr>
              <w:widowControl/>
              <w:wordWrap/>
              <w:autoSpaceDE/>
              <w:contextualSpacing/>
              <w:jc w:val="center"/>
              <w:rPr>
                <w:rFonts w:eastAsia="바탕"/>
                <w:b/>
                <w:sz w:val="14"/>
                <w:szCs w:val="14"/>
              </w:rPr>
            </w:pPr>
            <w:r w:rsidRPr="00E75579">
              <w:rPr>
                <w:rFonts w:eastAsia="바탕" w:hint="eastAsia"/>
                <w:b/>
                <w:sz w:val="14"/>
                <w:szCs w:val="14"/>
              </w:rPr>
              <w:t>F</w:t>
            </w:r>
            <w:r w:rsidRPr="00E75579">
              <w:rPr>
                <w:rFonts w:eastAsia="바탕"/>
                <w:b/>
                <w:sz w:val="14"/>
                <w:szCs w:val="14"/>
              </w:rPr>
              <w:t>inal vaccine dose</w:t>
            </w:r>
          </w:p>
        </w:tc>
      </w:tr>
      <w:tr w:rsidR="00E75579" w:rsidRPr="00E75579" w14:paraId="23BE7811" w14:textId="77777777" w:rsidTr="00D46D27">
        <w:trPr>
          <w:trHeight w:val="403"/>
          <w:tblHeader/>
          <w:jc w:val="center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9D1AF0E" w14:textId="77777777" w:rsidR="00E75579" w:rsidRPr="00E75579" w:rsidRDefault="00E75579" w:rsidP="00E75579">
            <w:pPr>
              <w:widowControl/>
              <w:wordWrap/>
              <w:autoSpaceDE/>
              <w:contextualSpacing/>
              <w:jc w:val="center"/>
              <w:rPr>
                <w:rFonts w:eastAsia="바탕"/>
                <w:b/>
                <w:sz w:val="14"/>
                <w:szCs w:val="14"/>
              </w:rPr>
            </w:pPr>
          </w:p>
          <w:p w14:paraId="2C35ACE4" w14:textId="77777777" w:rsidR="00E75579" w:rsidRPr="00E75579" w:rsidRDefault="00E75579" w:rsidP="00E75579">
            <w:pPr>
              <w:widowControl/>
              <w:wordWrap/>
              <w:autoSpaceDE/>
              <w:contextualSpacing/>
              <w:jc w:val="left"/>
              <w:rPr>
                <w:rFonts w:eastAsia="바탕"/>
                <w:b/>
                <w:sz w:val="14"/>
                <w:szCs w:val="14"/>
              </w:rPr>
            </w:pPr>
            <w:r w:rsidRPr="00E75579">
              <w:rPr>
                <w:rFonts w:eastAsia="바탕"/>
                <w:b/>
                <w:sz w:val="14"/>
                <w:szCs w:val="14"/>
              </w:rPr>
              <w:t>Number of individuals, n (%)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366386" w14:textId="77777777" w:rsidR="00E75579" w:rsidRPr="00E75579" w:rsidRDefault="00E75579" w:rsidP="00E75579">
            <w:pPr>
              <w:widowControl/>
              <w:wordWrap/>
              <w:autoSpaceDE/>
              <w:contextualSpacing/>
              <w:jc w:val="center"/>
              <w:rPr>
                <w:rFonts w:eastAsia="바탕"/>
                <w:b/>
                <w:sz w:val="14"/>
                <w:szCs w:val="14"/>
              </w:rPr>
            </w:pPr>
            <w:r w:rsidRPr="00E75579">
              <w:rPr>
                <w:rFonts w:eastAsia="바탕" w:hint="eastAsia"/>
                <w:b/>
                <w:sz w:val="14"/>
                <w:szCs w:val="14"/>
              </w:rPr>
              <w:t>1 dose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94C41A" w14:textId="77777777" w:rsidR="00E75579" w:rsidRPr="00E75579" w:rsidRDefault="00E75579" w:rsidP="00E75579">
            <w:pPr>
              <w:widowControl/>
              <w:wordWrap/>
              <w:autoSpaceDE/>
              <w:contextualSpacing/>
              <w:jc w:val="center"/>
              <w:rPr>
                <w:rFonts w:eastAsia="바탕"/>
                <w:b/>
                <w:sz w:val="14"/>
                <w:szCs w:val="14"/>
              </w:rPr>
            </w:pPr>
            <w:r w:rsidRPr="00E75579">
              <w:rPr>
                <w:rFonts w:eastAsia="바탕" w:hint="eastAsia"/>
                <w:b/>
                <w:sz w:val="14"/>
                <w:szCs w:val="14"/>
              </w:rPr>
              <w:t>2 dose</w:t>
            </w:r>
            <w:r w:rsidRPr="00E75579">
              <w:rPr>
                <w:rFonts w:eastAsia="바탕"/>
                <w:b/>
                <w:sz w:val="14"/>
                <w:szCs w:val="14"/>
              </w:rPr>
              <w:t>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33EAAB" w14:textId="77777777" w:rsidR="00E75579" w:rsidRPr="00E75579" w:rsidRDefault="00E75579" w:rsidP="00E75579">
            <w:pPr>
              <w:widowControl/>
              <w:wordWrap/>
              <w:autoSpaceDE/>
              <w:contextualSpacing/>
              <w:jc w:val="center"/>
              <w:rPr>
                <w:rFonts w:eastAsia="바탕"/>
                <w:b/>
                <w:sz w:val="14"/>
                <w:szCs w:val="14"/>
              </w:rPr>
            </w:pPr>
            <w:r w:rsidRPr="00E75579">
              <w:rPr>
                <w:rFonts w:eastAsia="바탕" w:hint="eastAsia"/>
                <w:b/>
                <w:sz w:val="14"/>
                <w:szCs w:val="14"/>
              </w:rPr>
              <w:t>3 doses</w:t>
            </w:r>
          </w:p>
        </w:tc>
      </w:tr>
      <w:tr w:rsidR="00E75579" w:rsidRPr="00E75579" w14:paraId="5A2BC89C" w14:textId="77777777" w:rsidTr="00D46D27">
        <w:trPr>
          <w:trHeight w:val="403"/>
          <w:tblHeader/>
          <w:jc w:val="center"/>
        </w:trPr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10E4C3" w14:textId="77777777" w:rsidR="00E75579" w:rsidRPr="00E75579" w:rsidRDefault="00E75579" w:rsidP="00E75579">
            <w:pPr>
              <w:widowControl/>
              <w:wordWrap/>
              <w:autoSpaceDE/>
              <w:spacing w:line="360" w:lineRule="auto"/>
              <w:contextualSpacing/>
              <w:jc w:val="left"/>
              <w:rPr>
                <w:rFonts w:eastAsia="바탕"/>
                <w:b/>
                <w:sz w:val="14"/>
                <w:szCs w:val="14"/>
              </w:rPr>
            </w:pPr>
            <w:r w:rsidRPr="00E75579">
              <w:rPr>
                <w:rFonts w:eastAsia="GuardianAgateSans1GR-Regular"/>
                <w:kern w:val="0"/>
                <w:sz w:val="14"/>
                <w:szCs w:val="14"/>
              </w:rPr>
              <w:t>Total number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24FCB5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eastAsia="바탕"/>
                <w:bCs/>
                <w:sz w:val="14"/>
                <w:szCs w:val="14"/>
              </w:rPr>
            </w:pPr>
            <w:r w:rsidRPr="00E75579">
              <w:rPr>
                <w:rFonts w:eastAsia="바탕" w:hint="eastAsia"/>
                <w:bCs/>
                <w:sz w:val="14"/>
                <w:szCs w:val="14"/>
              </w:rPr>
              <w:t>14,</w:t>
            </w:r>
            <w:r w:rsidRPr="00E75579">
              <w:rPr>
                <w:rFonts w:eastAsia="바탕"/>
                <w:bCs/>
                <w:sz w:val="14"/>
                <w:szCs w:val="14"/>
              </w:rPr>
              <w:t>979</w:t>
            </w:r>
            <w:r w:rsidRPr="00E75579">
              <w:rPr>
                <w:rFonts w:eastAsia="바탕" w:hint="eastAsia"/>
                <w:bCs/>
                <w:sz w:val="14"/>
                <w:szCs w:val="14"/>
              </w:rPr>
              <w:t xml:space="preserve"> (100.</w:t>
            </w:r>
            <w:r w:rsidRPr="00E75579">
              <w:rPr>
                <w:rFonts w:eastAsia="바탕"/>
                <w:bCs/>
                <w:sz w:val="14"/>
                <w:szCs w:val="14"/>
              </w:rPr>
              <w:t>0</w:t>
            </w:r>
            <w:r w:rsidRPr="00E75579">
              <w:rPr>
                <w:rFonts w:eastAsia="바탕" w:hint="eastAsia"/>
                <w:bCs/>
                <w:sz w:val="14"/>
                <w:szCs w:val="14"/>
              </w:rPr>
              <w:t>0)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FF8CDC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eastAsia="바탕"/>
                <w:bCs/>
                <w:sz w:val="14"/>
                <w:szCs w:val="14"/>
              </w:rPr>
            </w:pPr>
            <w:r w:rsidRPr="00E75579">
              <w:rPr>
                <w:rFonts w:eastAsia="바탕" w:hint="eastAsia"/>
                <w:bCs/>
                <w:sz w:val="14"/>
                <w:szCs w:val="14"/>
              </w:rPr>
              <w:t>79</w:t>
            </w:r>
            <w:r w:rsidRPr="00E75579">
              <w:rPr>
                <w:rFonts w:eastAsia="바탕"/>
                <w:bCs/>
                <w:sz w:val="14"/>
                <w:szCs w:val="14"/>
              </w:rPr>
              <w:t>3</w:t>
            </w:r>
            <w:r w:rsidRPr="00E75579">
              <w:rPr>
                <w:rFonts w:eastAsia="바탕" w:hint="eastAsia"/>
                <w:bCs/>
                <w:sz w:val="14"/>
                <w:szCs w:val="14"/>
              </w:rPr>
              <w:t>,</w:t>
            </w:r>
            <w:r w:rsidRPr="00E75579">
              <w:rPr>
                <w:rFonts w:eastAsia="바탕"/>
                <w:bCs/>
                <w:sz w:val="14"/>
                <w:szCs w:val="14"/>
              </w:rPr>
              <w:t>481</w:t>
            </w:r>
            <w:r w:rsidRPr="00E75579">
              <w:rPr>
                <w:rFonts w:eastAsia="바탕" w:hint="eastAsia"/>
                <w:bCs/>
                <w:sz w:val="14"/>
                <w:szCs w:val="14"/>
              </w:rPr>
              <w:t xml:space="preserve"> (100.</w:t>
            </w:r>
            <w:r w:rsidRPr="00E75579">
              <w:rPr>
                <w:rFonts w:eastAsia="바탕"/>
                <w:bCs/>
                <w:sz w:val="14"/>
                <w:szCs w:val="14"/>
              </w:rPr>
              <w:t>0</w:t>
            </w:r>
            <w:r w:rsidRPr="00E75579">
              <w:rPr>
                <w:rFonts w:eastAsia="바탕" w:hint="eastAsia"/>
                <w:bCs/>
                <w:sz w:val="14"/>
                <w:szCs w:val="14"/>
              </w:rPr>
              <w:t>0)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CBBD59" w14:textId="77777777" w:rsidR="00E75579" w:rsidRPr="00E75579" w:rsidRDefault="00E75579" w:rsidP="00E75579">
            <w:pPr>
              <w:widowControl/>
              <w:wordWrap/>
              <w:autoSpaceDE/>
              <w:spacing w:line="360" w:lineRule="auto"/>
              <w:contextualSpacing/>
              <w:jc w:val="center"/>
              <w:rPr>
                <w:rFonts w:eastAsia="바탕"/>
                <w:bCs/>
                <w:sz w:val="14"/>
                <w:szCs w:val="14"/>
              </w:rPr>
            </w:pPr>
            <w:r w:rsidRPr="00E75579">
              <w:rPr>
                <w:rFonts w:eastAsia="바탕" w:hint="eastAsia"/>
                <w:bCs/>
                <w:sz w:val="14"/>
                <w:szCs w:val="14"/>
              </w:rPr>
              <w:t>3,62</w:t>
            </w:r>
            <w:r w:rsidRPr="00E75579">
              <w:rPr>
                <w:rFonts w:eastAsia="바탕"/>
                <w:bCs/>
                <w:sz w:val="14"/>
                <w:szCs w:val="14"/>
              </w:rPr>
              <w:t>9</w:t>
            </w:r>
            <w:r w:rsidRPr="00E75579">
              <w:rPr>
                <w:rFonts w:eastAsia="바탕" w:hint="eastAsia"/>
                <w:bCs/>
                <w:sz w:val="14"/>
                <w:szCs w:val="14"/>
              </w:rPr>
              <w:t>,</w:t>
            </w:r>
            <w:r w:rsidRPr="00E75579">
              <w:rPr>
                <w:rFonts w:eastAsia="바탕"/>
                <w:bCs/>
                <w:sz w:val="14"/>
                <w:szCs w:val="14"/>
              </w:rPr>
              <w:t>665</w:t>
            </w:r>
            <w:r w:rsidRPr="00E75579">
              <w:rPr>
                <w:rFonts w:eastAsia="바탕" w:hint="eastAsia"/>
                <w:bCs/>
                <w:sz w:val="14"/>
                <w:szCs w:val="14"/>
              </w:rPr>
              <w:t xml:space="preserve"> (100.00)</w:t>
            </w:r>
          </w:p>
        </w:tc>
      </w:tr>
      <w:tr w:rsidR="00E75579" w:rsidRPr="00E75579" w14:paraId="2DC80D51" w14:textId="77777777" w:rsidTr="00D46D27">
        <w:trPr>
          <w:trHeight w:val="403"/>
          <w:tblHeader/>
          <w:jc w:val="center"/>
        </w:trPr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BBFB3C" w14:textId="77777777" w:rsidR="00E75579" w:rsidRPr="00E75579" w:rsidRDefault="00E75579" w:rsidP="00E75579">
            <w:pPr>
              <w:widowControl/>
              <w:wordWrap/>
              <w:autoSpaceDE/>
              <w:spacing w:line="360" w:lineRule="auto"/>
              <w:contextualSpacing/>
              <w:jc w:val="left"/>
              <w:rPr>
                <w:rFonts w:eastAsia="바탕"/>
                <w:sz w:val="14"/>
                <w:szCs w:val="14"/>
              </w:rPr>
            </w:pPr>
            <w:r w:rsidRPr="00E75579">
              <w:rPr>
                <w:rFonts w:eastAsia="GuardianAgateSans1GR-Regular"/>
                <w:kern w:val="0"/>
                <w:sz w:val="14"/>
                <w:szCs w:val="14"/>
              </w:rPr>
              <w:t>Type of mRNA vaccine</w:t>
            </w:r>
          </w:p>
          <w:p w14:paraId="32A22296" w14:textId="77777777" w:rsidR="00E75579" w:rsidRPr="00E75579" w:rsidRDefault="00E75579" w:rsidP="00E75579">
            <w:pPr>
              <w:widowControl/>
              <w:wordWrap/>
              <w:autoSpaceDE/>
              <w:spacing w:line="360" w:lineRule="auto"/>
              <w:ind w:firstLine="165"/>
              <w:contextualSpacing/>
              <w:jc w:val="left"/>
              <w:rPr>
                <w:rFonts w:eastAsia="바탕"/>
                <w:sz w:val="14"/>
                <w:szCs w:val="14"/>
              </w:rPr>
            </w:pPr>
            <w:r w:rsidRPr="00E75579">
              <w:rPr>
                <w:rFonts w:eastAsia="바탕"/>
                <w:sz w:val="14"/>
                <w:szCs w:val="14"/>
              </w:rPr>
              <w:t xml:space="preserve">BNT162b2, Pfizer-BioNTech </w:t>
            </w:r>
          </w:p>
          <w:p w14:paraId="11159CA7" w14:textId="77777777" w:rsidR="00E75579" w:rsidRPr="00E75579" w:rsidRDefault="00E75579" w:rsidP="00E75579">
            <w:pPr>
              <w:widowControl/>
              <w:wordWrap/>
              <w:autoSpaceDE/>
              <w:spacing w:line="360" w:lineRule="auto"/>
              <w:ind w:firstLine="165"/>
              <w:contextualSpacing/>
              <w:jc w:val="left"/>
              <w:rPr>
                <w:rFonts w:eastAsia="바탕"/>
                <w:sz w:val="14"/>
                <w:szCs w:val="14"/>
              </w:rPr>
            </w:pPr>
            <w:r w:rsidRPr="00E75579">
              <w:rPr>
                <w:rFonts w:eastAsia="바탕"/>
                <w:sz w:val="14"/>
                <w:szCs w:val="14"/>
              </w:rPr>
              <w:t xml:space="preserve">mRNA-1273, Moderna </w:t>
            </w:r>
          </w:p>
          <w:p w14:paraId="05276313" w14:textId="77777777" w:rsidR="00E75579" w:rsidRPr="00E75579" w:rsidRDefault="00E75579" w:rsidP="00E75579">
            <w:pPr>
              <w:widowControl/>
              <w:wordWrap/>
              <w:autoSpaceDE/>
              <w:spacing w:line="360" w:lineRule="auto"/>
              <w:ind w:firstLine="165"/>
              <w:contextualSpacing/>
              <w:jc w:val="left"/>
              <w:rPr>
                <w:rFonts w:eastAsia="GuardianAgateSans1GR-Regular"/>
                <w:kern w:val="0"/>
                <w:sz w:val="14"/>
                <w:szCs w:val="14"/>
              </w:rPr>
            </w:pPr>
            <w:r w:rsidRPr="00E75579">
              <w:rPr>
                <w:rFonts w:eastAsia="바탕"/>
                <w:sz w:val="14"/>
                <w:szCs w:val="14"/>
              </w:rPr>
              <w:t>Both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10906A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eastAsia="바탕"/>
                <w:bCs/>
                <w:sz w:val="14"/>
                <w:szCs w:val="14"/>
              </w:rPr>
            </w:pPr>
          </w:p>
          <w:p w14:paraId="3D811B68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eastAsia="바탕"/>
                <w:bCs/>
                <w:sz w:val="14"/>
                <w:szCs w:val="14"/>
              </w:rPr>
            </w:pPr>
            <w:r w:rsidRPr="00E75579">
              <w:rPr>
                <w:rFonts w:eastAsia="바탕"/>
                <w:bCs/>
                <w:sz w:val="14"/>
                <w:szCs w:val="14"/>
              </w:rPr>
              <w:t>10,385 (69.33)</w:t>
            </w:r>
          </w:p>
          <w:p w14:paraId="1D054A03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eastAsia="바탕"/>
                <w:bCs/>
                <w:sz w:val="14"/>
                <w:szCs w:val="14"/>
              </w:rPr>
            </w:pPr>
            <w:r w:rsidRPr="00E75579">
              <w:rPr>
                <w:rFonts w:eastAsia="바탕"/>
                <w:bCs/>
                <w:sz w:val="14"/>
                <w:szCs w:val="14"/>
              </w:rPr>
              <w:t>4,594 (30.67)</w:t>
            </w:r>
          </w:p>
          <w:p w14:paraId="6EF517C6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eastAsia="바탕"/>
                <w:bCs/>
                <w:sz w:val="14"/>
                <w:szCs w:val="1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9DFA18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eastAsia="바탕"/>
                <w:bCs/>
                <w:sz w:val="14"/>
                <w:szCs w:val="14"/>
              </w:rPr>
            </w:pPr>
          </w:p>
          <w:p w14:paraId="06904B9B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eastAsia="바탕"/>
                <w:bCs/>
                <w:sz w:val="14"/>
                <w:szCs w:val="14"/>
              </w:rPr>
            </w:pPr>
            <w:r w:rsidRPr="00E75579">
              <w:rPr>
                <w:rFonts w:eastAsia="바탕"/>
                <w:bCs/>
                <w:sz w:val="14"/>
                <w:szCs w:val="14"/>
              </w:rPr>
              <w:t>469,216 (59.13)</w:t>
            </w:r>
          </w:p>
          <w:p w14:paraId="68B12776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eastAsia="바탕"/>
                <w:bCs/>
                <w:sz w:val="14"/>
                <w:szCs w:val="14"/>
              </w:rPr>
            </w:pPr>
            <w:r w:rsidRPr="00E75579">
              <w:rPr>
                <w:rFonts w:eastAsia="바탕" w:hint="eastAsia"/>
                <w:bCs/>
                <w:sz w:val="14"/>
                <w:szCs w:val="14"/>
              </w:rPr>
              <w:t>32</w:t>
            </w:r>
            <w:r w:rsidRPr="00E75579">
              <w:rPr>
                <w:rFonts w:eastAsia="바탕"/>
                <w:bCs/>
                <w:sz w:val="14"/>
                <w:szCs w:val="14"/>
              </w:rPr>
              <w:t>1</w:t>
            </w:r>
            <w:r w:rsidRPr="00E75579">
              <w:rPr>
                <w:rFonts w:eastAsia="바탕" w:hint="eastAsia"/>
                <w:bCs/>
                <w:sz w:val="14"/>
                <w:szCs w:val="14"/>
              </w:rPr>
              <w:t>,</w:t>
            </w:r>
            <w:r w:rsidRPr="00E75579">
              <w:rPr>
                <w:rFonts w:eastAsia="바탕"/>
                <w:bCs/>
                <w:sz w:val="14"/>
                <w:szCs w:val="14"/>
              </w:rPr>
              <w:t>389</w:t>
            </w:r>
            <w:r w:rsidRPr="00E75579">
              <w:rPr>
                <w:rFonts w:eastAsia="바탕" w:hint="eastAsia"/>
                <w:bCs/>
                <w:sz w:val="14"/>
                <w:szCs w:val="14"/>
              </w:rPr>
              <w:t xml:space="preserve"> (40.</w:t>
            </w:r>
            <w:r w:rsidRPr="00E75579">
              <w:rPr>
                <w:rFonts w:eastAsia="바탕"/>
                <w:bCs/>
                <w:sz w:val="14"/>
                <w:szCs w:val="14"/>
              </w:rPr>
              <w:t>51</w:t>
            </w:r>
            <w:r w:rsidRPr="00E75579">
              <w:rPr>
                <w:rFonts w:eastAsia="바탕" w:hint="eastAsia"/>
                <w:bCs/>
                <w:sz w:val="14"/>
                <w:szCs w:val="14"/>
              </w:rPr>
              <w:t>)</w:t>
            </w:r>
          </w:p>
          <w:p w14:paraId="6F43D5DF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eastAsia="바탕"/>
                <w:bCs/>
                <w:sz w:val="14"/>
                <w:szCs w:val="14"/>
              </w:rPr>
            </w:pPr>
            <w:r w:rsidRPr="00E75579">
              <w:rPr>
                <w:rFonts w:eastAsia="바탕"/>
                <w:bCs/>
                <w:sz w:val="14"/>
                <w:szCs w:val="14"/>
              </w:rPr>
              <w:t>2,876 (0.36)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70BD75" w14:textId="77777777" w:rsidR="00E75579" w:rsidRPr="00E75579" w:rsidRDefault="00E75579" w:rsidP="00E75579">
            <w:pPr>
              <w:widowControl/>
              <w:wordWrap/>
              <w:autoSpaceDE/>
              <w:spacing w:line="360" w:lineRule="auto"/>
              <w:contextualSpacing/>
              <w:jc w:val="center"/>
              <w:rPr>
                <w:rFonts w:eastAsia="바탕"/>
                <w:bCs/>
                <w:sz w:val="14"/>
                <w:szCs w:val="14"/>
              </w:rPr>
            </w:pPr>
          </w:p>
          <w:p w14:paraId="3820E548" w14:textId="77777777" w:rsidR="00E75579" w:rsidRPr="00E75579" w:rsidRDefault="00E75579" w:rsidP="00E75579">
            <w:pPr>
              <w:widowControl/>
              <w:wordWrap/>
              <w:autoSpaceDE/>
              <w:spacing w:line="360" w:lineRule="auto"/>
              <w:contextualSpacing/>
              <w:jc w:val="center"/>
              <w:rPr>
                <w:rFonts w:eastAsia="바탕"/>
                <w:bCs/>
                <w:sz w:val="14"/>
                <w:szCs w:val="14"/>
              </w:rPr>
            </w:pPr>
            <w:r w:rsidRPr="00E75579">
              <w:rPr>
                <w:rFonts w:eastAsia="바탕"/>
                <w:bCs/>
                <w:sz w:val="14"/>
                <w:szCs w:val="14"/>
              </w:rPr>
              <w:t>2,438,355 (67.18)</w:t>
            </w:r>
          </w:p>
          <w:p w14:paraId="6108C256" w14:textId="77777777" w:rsidR="00E75579" w:rsidRPr="00E75579" w:rsidRDefault="00E75579" w:rsidP="00E75579">
            <w:pPr>
              <w:widowControl/>
              <w:wordWrap/>
              <w:autoSpaceDE/>
              <w:spacing w:line="360" w:lineRule="auto"/>
              <w:contextualSpacing/>
              <w:jc w:val="center"/>
              <w:rPr>
                <w:rFonts w:eastAsia="바탕"/>
                <w:bCs/>
                <w:sz w:val="14"/>
                <w:szCs w:val="14"/>
              </w:rPr>
            </w:pPr>
            <w:r w:rsidRPr="00E75579">
              <w:rPr>
                <w:rFonts w:eastAsia="바탕"/>
                <w:bCs/>
                <w:sz w:val="14"/>
                <w:szCs w:val="14"/>
              </w:rPr>
              <w:t>1,126,837 (31.04)</w:t>
            </w:r>
          </w:p>
          <w:p w14:paraId="28144C83" w14:textId="77777777" w:rsidR="00E75579" w:rsidRPr="00E75579" w:rsidRDefault="00E75579" w:rsidP="00E75579">
            <w:pPr>
              <w:widowControl/>
              <w:wordWrap/>
              <w:autoSpaceDE/>
              <w:spacing w:line="360" w:lineRule="auto"/>
              <w:contextualSpacing/>
              <w:jc w:val="center"/>
              <w:rPr>
                <w:rFonts w:eastAsia="바탕"/>
                <w:bCs/>
                <w:sz w:val="14"/>
                <w:szCs w:val="14"/>
              </w:rPr>
            </w:pPr>
            <w:r w:rsidRPr="00E75579">
              <w:rPr>
                <w:rFonts w:eastAsia="바탕"/>
                <w:bCs/>
                <w:sz w:val="14"/>
                <w:szCs w:val="14"/>
              </w:rPr>
              <w:t>64,473 (1.78)</w:t>
            </w:r>
          </w:p>
        </w:tc>
      </w:tr>
      <w:tr w:rsidR="00E75579" w:rsidRPr="00E75579" w14:paraId="45389FEE" w14:textId="77777777" w:rsidTr="00D46D27">
        <w:trPr>
          <w:trHeight w:val="403"/>
          <w:tblHeader/>
          <w:jc w:val="center"/>
        </w:trPr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B39A17" w14:textId="77777777" w:rsidR="00E75579" w:rsidRPr="00E75579" w:rsidRDefault="00E75579" w:rsidP="00E75579">
            <w:pPr>
              <w:widowControl/>
              <w:wordWrap/>
              <w:autoSpaceDE/>
              <w:spacing w:line="360" w:lineRule="auto"/>
              <w:contextualSpacing/>
              <w:jc w:val="left"/>
              <w:rPr>
                <w:rFonts w:eastAsia="바탕"/>
                <w:sz w:val="14"/>
                <w:szCs w:val="14"/>
              </w:rPr>
            </w:pPr>
            <w:r w:rsidRPr="00E75579">
              <w:rPr>
                <w:rFonts w:eastAsia="GuardianAgateSans1GR-Regular"/>
                <w:kern w:val="0"/>
                <w:sz w:val="14"/>
                <w:szCs w:val="14"/>
              </w:rPr>
              <w:t>Prior non-mRNA vaccination</w:t>
            </w:r>
          </w:p>
          <w:p w14:paraId="7B2B5100" w14:textId="77777777" w:rsidR="00E75579" w:rsidRPr="00E75579" w:rsidRDefault="00E75579" w:rsidP="00E75579">
            <w:pPr>
              <w:widowControl/>
              <w:wordWrap/>
              <w:autoSpaceDE/>
              <w:spacing w:line="360" w:lineRule="auto"/>
              <w:ind w:firstLine="165"/>
              <w:contextualSpacing/>
              <w:jc w:val="left"/>
              <w:rPr>
                <w:rFonts w:eastAsia="바탕"/>
                <w:sz w:val="14"/>
                <w:szCs w:val="14"/>
              </w:rPr>
            </w:pPr>
            <w:r w:rsidRPr="00E75579">
              <w:rPr>
                <w:rFonts w:eastAsia="바탕"/>
                <w:sz w:val="14"/>
                <w:szCs w:val="14"/>
              </w:rPr>
              <w:t>No</w:t>
            </w:r>
          </w:p>
          <w:p w14:paraId="47CF5586" w14:textId="77777777" w:rsidR="00E75579" w:rsidRPr="00E75579" w:rsidRDefault="00E75579" w:rsidP="00E75579">
            <w:pPr>
              <w:widowControl/>
              <w:wordWrap/>
              <w:autoSpaceDE/>
              <w:spacing w:line="360" w:lineRule="auto"/>
              <w:ind w:firstLine="165"/>
              <w:contextualSpacing/>
              <w:jc w:val="left"/>
              <w:rPr>
                <w:rFonts w:eastAsia="바탕"/>
                <w:sz w:val="14"/>
                <w:szCs w:val="14"/>
              </w:rPr>
            </w:pPr>
            <w:r w:rsidRPr="00E75579">
              <w:rPr>
                <w:rFonts w:eastAsia="바탕"/>
                <w:sz w:val="14"/>
                <w:szCs w:val="14"/>
              </w:rPr>
              <w:t>Yes</w:t>
            </w:r>
          </w:p>
          <w:p w14:paraId="7810DE80" w14:textId="77777777" w:rsidR="00E75579" w:rsidRPr="00E75579" w:rsidRDefault="00E75579" w:rsidP="00E75579">
            <w:pPr>
              <w:widowControl/>
              <w:wordWrap/>
              <w:autoSpaceDE/>
              <w:spacing w:line="360" w:lineRule="auto"/>
              <w:ind w:firstLine="165"/>
              <w:contextualSpacing/>
              <w:jc w:val="left"/>
              <w:rPr>
                <w:rFonts w:eastAsia="바탕"/>
                <w:sz w:val="14"/>
                <w:szCs w:val="14"/>
              </w:rPr>
            </w:pPr>
            <w:r w:rsidRPr="00E75579">
              <w:rPr>
                <w:rFonts w:eastAsia="바탕"/>
                <w:sz w:val="14"/>
                <w:szCs w:val="14"/>
              </w:rPr>
              <w:t xml:space="preserve">ChAdOx1 nCoV-19 (AZD1222), Oxford–AstraZeneca </w:t>
            </w:r>
          </w:p>
          <w:p w14:paraId="3A34D920" w14:textId="77777777" w:rsidR="00E75579" w:rsidRPr="00E75579" w:rsidRDefault="00E75579" w:rsidP="00E75579">
            <w:pPr>
              <w:widowControl/>
              <w:wordWrap/>
              <w:autoSpaceDE/>
              <w:spacing w:line="360" w:lineRule="auto"/>
              <w:ind w:firstLine="165"/>
              <w:contextualSpacing/>
              <w:jc w:val="left"/>
              <w:rPr>
                <w:rFonts w:eastAsia="바탕"/>
                <w:sz w:val="14"/>
                <w:szCs w:val="14"/>
              </w:rPr>
            </w:pPr>
            <w:r w:rsidRPr="00E75579">
              <w:rPr>
                <w:rFonts w:eastAsia="바탕"/>
                <w:sz w:val="14"/>
                <w:szCs w:val="14"/>
              </w:rPr>
              <w:t xml:space="preserve">Ad26.COV2.S, Janssen-Johnson &amp; Johnson  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7A6796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eastAsia="바탕"/>
                <w:bCs/>
                <w:sz w:val="14"/>
                <w:szCs w:val="14"/>
              </w:rPr>
            </w:pPr>
          </w:p>
          <w:p w14:paraId="2AE4997E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eastAsia="바탕"/>
                <w:bCs/>
                <w:sz w:val="14"/>
                <w:szCs w:val="14"/>
              </w:rPr>
            </w:pPr>
            <w:r w:rsidRPr="00E75579">
              <w:rPr>
                <w:rFonts w:eastAsia="바탕"/>
                <w:bCs/>
                <w:sz w:val="14"/>
                <w:szCs w:val="14"/>
              </w:rPr>
              <w:t>14,979 (100.00)</w:t>
            </w:r>
          </w:p>
          <w:p w14:paraId="1EE152DD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eastAsia="바탕"/>
                <w:bCs/>
                <w:sz w:val="14"/>
                <w:szCs w:val="14"/>
              </w:rPr>
            </w:pPr>
          </w:p>
          <w:p w14:paraId="4534A4D4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eastAsia="바탕"/>
                <w:bCs/>
                <w:sz w:val="14"/>
                <w:szCs w:val="14"/>
              </w:rPr>
            </w:pPr>
          </w:p>
          <w:p w14:paraId="0FA429DE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eastAsia="바탕"/>
                <w:bCs/>
                <w:sz w:val="14"/>
                <w:szCs w:val="1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E6DCC0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eastAsia="바탕"/>
                <w:bCs/>
                <w:sz w:val="14"/>
                <w:szCs w:val="14"/>
              </w:rPr>
            </w:pPr>
          </w:p>
          <w:p w14:paraId="5EAF86F1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eastAsia="바탕"/>
                <w:bCs/>
                <w:sz w:val="14"/>
                <w:szCs w:val="14"/>
              </w:rPr>
            </w:pPr>
            <w:r w:rsidRPr="00E75579">
              <w:rPr>
                <w:rFonts w:eastAsia="바탕"/>
                <w:bCs/>
                <w:sz w:val="14"/>
                <w:szCs w:val="14"/>
              </w:rPr>
              <w:t>628,698 (79.23)</w:t>
            </w:r>
          </w:p>
          <w:p w14:paraId="0ED8B98D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eastAsia="바탕"/>
                <w:bCs/>
                <w:sz w:val="14"/>
                <w:szCs w:val="14"/>
              </w:rPr>
            </w:pPr>
            <w:r w:rsidRPr="00E75579">
              <w:rPr>
                <w:rFonts w:eastAsia="바탕" w:hint="eastAsia"/>
                <w:bCs/>
                <w:sz w:val="14"/>
                <w:szCs w:val="14"/>
              </w:rPr>
              <w:t>164,</w:t>
            </w:r>
            <w:r w:rsidRPr="00E75579">
              <w:rPr>
                <w:rFonts w:eastAsia="바탕"/>
                <w:bCs/>
                <w:sz w:val="14"/>
                <w:szCs w:val="14"/>
              </w:rPr>
              <w:t>783</w:t>
            </w:r>
            <w:r w:rsidRPr="00E75579">
              <w:rPr>
                <w:rFonts w:eastAsia="바탕" w:hint="eastAsia"/>
                <w:bCs/>
                <w:sz w:val="14"/>
                <w:szCs w:val="14"/>
              </w:rPr>
              <w:t xml:space="preserve"> (20.7</w:t>
            </w:r>
            <w:r w:rsidRPr="00E75579">
              <w:rPr>
                <w:rFonts w:eastAsia="바탕"/>
                <w:bCs/>
                <w:sz w:val="14"/>
                <w:szCs w:val="14"/>
              </w:rPr>
              <w:t>7</w:t>
            </w:r>
            <w:r w:rsidRPr="00E75579">
              <w:rPr>
                <w:rFonts w:eastAsia="바탕" w:hint="eastAsia"/>
                <w:bCs/>
                <w:sz w:val="14"/>
                <w:szCs w:val="14"/>
              </w:rPr>
              <w:t>)</w:t>
            </w:r>
          </w:p>
          <w:p w14:paraId="2B52FC37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eastAsia="바탕"/>
                <w:bCs/>
                <w:sz w:val="14"/>
                <w:szCs w:val="14"/>
              </w:rPr>
            </w:pPr>
            <w:r w:rsidRPr="00E75579">
              <w:rPr>
                <w:rFonts w:eastAsia="바탕"/>
                <w:bCs/>
                <w:sz w:val="14"/>
                <w:szCs w:val="14"/>
              </w:rPr>
              <w:t>14,101 (1.78)</w:t>
            </w:r>
          </w:p>
          <w:p w14:paraId="29A280FB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eastAsia="바탕"/>
                <w:bCs/>
                <w:sz w:val="14"/>
                <w:szCs w:val="14"/>
              </w:rPr>
            </w:pPr>
            <w:r w:rsidRPr="00E75579">
              <w:rPr>
                <w:rFonts w:eastAsia="바탕"/>
                <w:bCs/>
                <w:sz w:val="14"/>
                <w:szCs w:val="14"/>
              </w:rPr>
              <w:t>150,682 (18.99)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3ADD19" w14:textId="77777777" w:rsidR="00E75579" w:rsidRPr="00E75579" w:rsidRDefault="00E75579" w:rsidP="00E75579">
            <w:pPr>
              <w:widowControl/>
              <w:wordWrap/>
              <w:autoSpaceDE/>
              <w:spacing w:line="360" w:lineRule="auto"/>
              <w:contextualSpacing/>
              <w:jc w:val="center"/>
              <w:rPr>
                <w:rFonts w:eastAsia="바탕"/>
                <w:bCs/>
                <w:sz w:val="14"/>
                <w:szCs w:val="14"/>
              </w:rPr>
            </w:pPr>
          </w:p>
          <w:p w14:paraId="1F40DF9A" w14:textId="77777777" w:rsidR="00E75579" w:rsidRPr="00E75579" w:rsidRDefault="00E75579" w:rsidP="00E75579">
            <w:pPr>
              <w:widowControl/>
              <w:wordWrap/>
              <w:autoSpaceDE/>
              <w:spacing w:line="360" w:lineRule="auto"/>
              <w:contextualSpacing/>
              <w:jc w:val="center"/>
              <w:rPr>
                <w:rFonts w:eastAsia="바탕"/>
                <w:bCs/>
                <w:sz w:val="14"/>
                <w:szCs w:val="14"/>
              </w:rPr>
            </w:pPr>
            <w:r w:rsidRPr="00E75579">
              <w:rPr>
                <w:rFonts w:eastAsia="바탕"/>
                <w:bCs/>
                <w:sz w:val="14"/>
                <w:szCs w:val="14"/>
              </w:rPr>
              <w:t>2,269,709 (62.53)</w:t>
            </w:r>
          </w:p>
          <w:p w14:paraId="16CED06B" w14:textId="77777777" w:rsidR="00E75579" w:rsidRPr="00E75579" w:rsidRDefault="00E75579" w:rsidP="00E75579">
            <w:pPr>
              <w:widowControl/>
              <w:wordWrap/>
              <w:autoSpaceDE/>
              <w:spacing w:line="360" w:lineRule="auto"/>
              <w:contextualSpacing/>
              <w:jc w:val="center"/>
              <w:rPr>
                <w:rFonts w:eastAsia="바탕"/>
                <w:bCs/>
                <w:sz w:val="14"/>
                <w:szCs w:val="14"/>
              </w:rPr>
            </w:pPr>
            <w:r w:rsidRPr="00E75579">
              <w:rPr>
                <w:rFonts w:eastAsia="바탕" w:hint="eastAsia"/>
                <w:bCs/>
                <w:sz w:val="14"/>
                <w:szCs w:val="14"/>
              </w:rPr>
              <w:t>1,3</w:t>
            </w:r>
            <w:r w:rsidRPr="00E75579">
              <w:rPr>
                <w:rFonts w:eastAsia="바탕"/>
                <w:bCs/>
                <w:sz w:val="14"/>
                <w:szCs w:val="14"/>
              </w:rPr>
              <w:t>59</w:t>
            </w:r>
            <w:r w:rsidRPr="00E75579">
              <w:rPr>
                <w:rFonts w:eastAsia="바탕" w:hint="eastAsia"/>
                <w:bCs/>
                <w:sz w:val="14"/>
                <w:szCs w:val="14"/>
              </w:rPr>
              <w:t>,</w:t>
            </w:r>
            <w:r w:rsidRPr="00E75579">
              <w:rPr>
                <w:rFonts w:eastAsia="바탕"/>
                <w:bCs/>
                <w:sz w:val="14"/>
                <w:szCs w:val="14"/>
              </w:rPr>
              <w:t>956</w:t>
            </w:r>
            <w:r w:rsidRPr="00E75579">
              <w:rPr>
                <w:rFonts w:eastAsia="바탕" w:hint="eastAsia"/>
                <w:bCs/>
                <w:sz w:val="14"/>
                <w:szCs w:val="14"/>
              </w:rPr>
              <w:t xml:space="preserve"> (37.4</w:t>
            </w:r>
            <w:r w:rsidRPr="00E75579">
              <w:rPr>
                <w:rFonts w:eastAsia="바탕"/>
                <w:bCs/>
                <w:sz w:val="14"/>
                <w:szCs w:val="14"/>
              </w:rPr>
              <w:t>7</w:t>
            </w:r>
            <w:r w:rsidRPr="00E75579">
              <w:rPr>
                <w:rFonts w:eastAsia="바탕" w:hint="eastAsia"/>
                <w:bCs/>
                <w:sz w:val="14"/>
                <w:szCs w:val="14"/>
              </w:rPr>
              <w:t>)</w:t>
            </w:r>
          </w:p>
          <w:p w14:paraId="171E5890" w14:textId="77777777" w:rsidR="00E75579" w:rsidRPr="00E75579" w:rsidRDefault="00E75579" w:rsidP="00E75579">
            <w:pPr>
              <w:widowControl/>
              <w:wordWrap/>
              <w:autoSpaceDE/>
              <w:spacing w:line="360" w:lineRule="auto"/>
              <w:contextualSpacing/>
              <w:jc w:val="center"/>
              <w:rPr>
                <w:rFonts w:eastAsia="바탕"/>
                <w:bCs/>
                <w:sz w:val="14"/>
                <w:szCs w:val="14"/>
              </w:rPr>
            </w:pPr>
            <w:r w:rsidRPr="00E75579">
              <w:rPr>
                <w:rFonts w:eastAsia="바탕"/>
                <w:bCs/>
                <w:sz w:val="14"/>
                <w:szCs w:val="14"/>
              </w:rPr>
              <w:t>1,346,454 (37.10)</w:t>
            </w:r>
          </w:p>
          <w:p w14:paraId="02384EEE" w14:textId="77777777" w:rsidR="00E75579" w:rsidRPr="00E75579" w:rsidRDefault="00E75579" w:rsidP="00E75579">
            <w:pPr>
              <w:widowControl/>
              <w:wordWrap/>
              <w:autoSpaceDE/>
              <w:spacing w:line="360" w:lineRule="auto"/>
              <w:contextualSpacing/>
              <w:jc w:val="center"/>
              <w:rPr>
                <w:rFonts w:eastAsia="바탕"/>
                <w:bCs/>
                <w:sz w:val="14"/>
                <w:szCs w:val="14"/>
              </w:rPr>
            </w:pPr>
            <w:r w:rsidRPr="00E75579">
              <w:rPr>
                <w:rFonts w:eastAsia="바탕" w:hint="eastAsia"/>
                <w:bCs/>
                <w:sz w:val="14"/>
                <w:szCs w:val="14"/>
              </w:rPr>
              <w:t>13,5</w:t>
            </w:r>
            <w:r w:rsidRPr="00E75579">
              <w:rPr>
                <w:rFonts w:eastAsia="바탕"/>
                <w:bCs/>
                <w:sz w:val="14"/>
                <w:szCs w:val="14"/>
              </w:rPr>
              <w:t xml:space="preserve">02 </w:t>
            </w:r>
            <w:r w:rsidRPr="00E75579">
              <w:rPr>
                <w:rFonts w:eastAsia="바탕" w:hint="eastAsia"/>
                <w:bCs/>
                <w:sz w:val="14"/>
                <w:szCs w:val="14"/>
              </w:rPr>
              <w:t>(0.37)</w:t>
            </w:r>
          </w:p>
        </w:tc>
      </w:tr>
    </w:tbl>
    <w:p w14:paraId="7BC272E7" w14:textId="7F632485" w:rsidR="00D85F40" w:rsidRDefault="00E75579" w:rsidP="00E75579">
      <w:pPr>
        <w:widowControl/>
        <w:wordWrap/>
        <w:autoSpaceDE/>
        <w:autoSpaceDN/>
        <w:snapToGrid w:val="0"/>
        <w:spacing w:line="480" w:lineRule="auto"/>
        <w:jc w:val="left"/>
        <w:rPr>
          <w:rFonts w:ascii="Times New Roman" w:eastAsia="바탕" w:hAnsi="Times New Roman" w:cs="Times New Roman"/>
          <w:b/>
          <w:szCs w:val="20"/>
        </w:rPr>
      </w:pPr>
      <w:r w:rsidRPr="00E75579">
        <w:rPr>
          <w:rFonts w:ascii="Times New Roman" w:eastAsia="바탕" w:hAnsi="Times New Roman" w:cs="Times New Roman"/>
          <w:bCs/>
          <w:szCs w:val="20"/>
        </w:rPr>
        <w:t xml:space="preserve">Abbreviation: </w:t>
      </w:r>
      <w:r w:rsidRPr="00E75579">
        <w:rPr>
          <w:rFonts w:ascii="Times New Roman" w:eastAsia="바탕" w:hAnsi="Times New Roman" w:cs="Times New Roman" w:hint="eastAsia"/>
          <w:bCs/>
          <w:szCs w:val="20"/>
        </w:rPr>
        <w:t>C</w:t>
      </w:r>
      <w:r w:rsidRPr="00E75579">
        <w:rPr>
          <w:rFonts w:ascii="Times New Roman" w:eastAsia="바탕" w:hAnsi="Times New Roman" w:cs="Times New Roman"/>
          <w:bCs/>
          <w:szCs w:val="20"/>
        </w:rPr>
        <w:t>OVID-19, Coronavirus 2019 disease.</w:t>
      </w:r>
    </w:p>
    <w:p w14:paraId="197CEC58" w14:textId="77777777" w:rsidR="00D85F40" w:rsidRDefault="00D85F40">
      <w:pPr>
        <w:widowControl/>
        <w:wordWrap/>
        <w:autoSpaceDE/>
        <w:autoSpaceDN/>
        <w:rPr>
          <w:rFonts w:ascii="Times New Roman" w:eastAsia="바탕" w:hAnsi="Times New Roman" w:cs="Times New Roman"/>
          <w:b/>
          <w:szCs w:val="20"/>
        </w:rPr>
      </w:pPr>
      <w:r>
        <w:rPr>
          <w:rFonts w:ascii="Times New Roman" w:eastAsia="바탕" w:hAnsi="Times New Roman" w:cs="Times New Roman"/>
          <w:b/>
          <w:szCs w:val="20"/>
        </w:rPr>
        <w:br w:type="page"/>
      </w:r>
    </w:p>
    <w:p w14:paraId="6DBF0665" w14:textId="77777777" w:rsidR="00E75579" w:rsidRPr="00E75579" w:rsidRDefault="00E75579" w:rsidP="00E75579">
      <w:pPr>
        <w:widowControl/>
        <w:wordWrap/>
        <w:autoSpaceDE/>
        <w:autoSpaceDN/>
        <w:snapToGrid w:val="0"/>
        <w:spacing w:line="240" w:lineRule="auto"/>
        <w:jc w:val="left"/>
        <w:rPr>
          <w:rFonts w:ascii="Times New Roman" w:eastAsia="바탕" w:hAnsi="Times New Roman" w:cs="Times New Roman"/>
          <w:b/>
          <w:szCs w:val="20"/>
        </w:rPr>
      </w:pPr>
      <w:r w:rsidRPr="00E75579">
        <w:rPr>
          <w:rFonts w:ascii="Times New Roman" w:eastAsia="바탕" w:hAnsi="Times New Roman" w:cs="Times New Roman"/>
          <w:b/>
          <w:szCs w:val="20"/>
        </w:rPr>
        <w:lastRenderedPageBreak/>
        <w:t xml:space="preserve">Supplementary Table 2. </w:t>
      </w:r>
      <w:r w:rsidRPr="00E75579">
        <w:rPr>
          <w:rFonts w:ascii="Times New Roman" w:eastAsia="바탕" w:hAnsi="Times New Roman" w:cs="Times New Roman"/>
          <w:b/>
          <w:i/>
          <w:iCs/>
          <w:szCs w:val="20"/>
        </w:rPr>
        <w:t>International Statistical Classification of Diseases</w:t>
      </w:r>
      <w:r w:rsidRPr="00E75579">
        <w:rPr>
          <w:rFonts w:ascii="Times New Roman" w:eastAsia="바탕" w:hAnsi="Times New Roman" w:cs="Times New Roman"/>
          <w:b/>
          <w:szCs w:val="20"/>
        </w:rPr>
        <w:t xml:space="preserve">, Tenth Revision (ICD-10) </w:t>
      </w:r>
      <w:r w:rsidR="0072612D">
        <w:rPr>
          <w:rFonts w:ascii="Times New Roman" w:eastAsia="바탕" w:hAnsi="Times New Roman" w:cs="Times New Roman"/>
          <w:b/>
          <w:szCs w:val="20"/>
        </w:rPr>
        <w:t>c</w:t>
      </w:r>
      <w:r w:rsidRPr="00E75579">
        <w:rPr>
          <w:rFonts w:ascii="Times New Roman" w:eastAsia="바탕" w:hAnsi="Times New Roman" w:cs="Times New Roman"/>
          <w:b/>
          <w:szCs w:val="20"/>
        </w:rPr>
        <w:t xml:space="preserve">odes of the </w:t>
      </w:r>
      <w:r w:rsidR="0072612D">
        <w:rPr>
          <w:rFonts w:ascii="Times New Roman" w:eastAsia="바탕" w:hAnsi="Times New Roman" w:cs="Times New Roman"/>
          <w:b/>
          <w:szCs w:val="20"/>
        </w:rPr>
        <w:t>i</w:t>
      </w:r>
      <w:r w:rsidRPr="00E75579">
        <w:rPr>
          <w:rFonts w:ascii="Times New Roman" w:eastAsia="바탕" w:hAnsi="Times New Roman" w:cs="Times New Roman"/>
          <w:b/>
          <w:szCs w:val="20"/>
        </w:rPr>
        <w:t xml:space="preserve">ncluded </w:t>
      </w:r>
      <w:r w:rsidR="0072612D">
        <w:rPr>
          <w:rFonts w:ascii="Times New Roman" w:eastAsia="바탕" w:hAnsi="Times New Roman" w:cs="Times New Roman"/>
          <w:b/>
          <w:szCs w:val="20"/>
        </w:rPr>
        <w:t>d</w:t>
      </w:r>
      <w:r w:rsidRPr="00E75579">
        <w:rPr>
          <w:rFonts w:ascii="Times New Roman" w:eastAsia="바탕" w:hAnsi="Times New Roman" w:cs="Times New Roman"/>
          <w:b/>
          <w:szCs w:val="20"/>
        </w:rPr>
        <w:t>iseases</w:t>
      </w:r>
    </w:p>
    <w:tbl>
      <w:tblPr>
        <w:tblStyle w:val="2"/>
        <w:tblW w:w="9067" w:type="dxa"/>
        <w:tblInd w:w="0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237"/>
        <w:gridCol w:w="2830"/>
      </w:tblGrid>
      <w:tr w:rsidR="00E75579" w:rsidRPr="00E75579" w14:paraId="12F5476A" w14:textId="77777777" w:rsidTr="00D46D27">
        <w:trPr>
          <w:trHeight w:val="403"/>
          <w:tblHeader/>
        </w:trPr>
        <w:tc>
          <w:tcPr>
            <w:tcW w:w="623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46541E8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eastAsia="바탕"/>
                <w:b/>
                <w:sz w:val="17"/>
                <w:szCs w:val="17"/>
              </w:rPr>
            </w:pPr>
            <w:r w:rsidRPr="00E75579">
              <w:rPr>
                <w:rFonts w:eastAsia="바탕"/>
                <w:b/>
                <w:sz w:val="17"/>
                <w:szCs w:val="17"/>
              </w:rPr>
              <w:t>Disease</w:t>
            </w:r>
          </w:p>
        </w:tc>
        <w:tc>
          <w:tcPr>
            <w:tcW w:w="283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B9E4CCE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eastAsia="바탕"/>
                <w:b/>
                <w:sz w:val="17"/>
                <w:szCs w:val="17"/>
              </w:rPr>
            </w:pPr>
            <w:r w:rsidRPr="00E75579">
              <w:rPr>
                <w:rFonts w:eastAsia="바탕" w:hint="eastAsia"/>
                <w:b/>
                <w:sz w:val="17"/>
                <w:szCs w:val="17"/>
              </w:rPr>
              <w:t>I</w:t>
            </w:r>
            <w:r w:rsidRPr="00E75579">
              <w:rPr>
                <w:rFonts w:eastAsia="바탕"/>
                <w:b/>
                <w:sz w:val="17"/>
                <w:szCs w:val="17"/>
              </w:rPr>
              <w:t>CD-10 code</w:t>
            </w:r>
          </w:p>
        </w:tc>
      </w:tr>
      <w:tr w:rsidR="00E75579" w:rsidRPr="00E75579" w14:paraId="515DD00B" w14:textId="77777777" w:rsidTr="00D46D27">
        <w:trPr>
          <w:trHeight w:val="403"/>
          <w:tblHeader/>
        </w:trPr>
        <w:tc>
          <w:tcPr>
            <w:tcW w:w="6237" w:type="dxa"/>
            <w:tcBorders>
              <w:left w:val="nil"/>
              <w:bottom w:val="single" w:sz="4" w:space="0" w:color="auto"/>
              <w:right w:val="nil"/>
            </w:tcBorders>
          </w:tcPr>
          <w:p w14:paraId="66C17968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/>
                <w:sz w:val="17"/>
                <w:szCs w:val="17"/>
              </w:rPr>
            </w:pPr>
            <w:r w:rsidRPr="00E75579">
              <w:rPr>
                <w:rFonts w:eastAsia="바탕"/>
                <w:b/>
                <w:sz w:val="17"/>
                <w:szCs w:val="17"/>
              </w:rPr>
              <w:t xml:space="preserve">Autoimmune </w:t>
            </w:r>
            <w:r w:rsidR="0072612D">
              <w:rPr>
                <w:rFonts w:eastAsia="바탕"/>
                <w:b/>
                <w:sz w:val="17"/>
                <w:szCs w:val="17"/>
              </w:rPr>
              <w:t>connective tissue diseases</w:t>
            </w:r>
            <w:r w:rsidRPr="00E75579">
              <w:rPr>
                <w:rFonts w:eastAsia="바탕"/>
                <w:b/>
                <w:sz w:val="17"/>
                <w:szCs w:val="17"/>
              </w:rPr>
              <w:t xml:space="preserve"> </w:t>
            </w:r>
          </w:p>
          <w:p w14:paraId="275B8B0F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Alopecia areata</w:t>
            </w:r>
          </w:p>
          <w:p w14:paraId="7DF29716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Primary cicatricial alopecia</w:t>
            </w:r>
          </w:p>
          <w:p w14:paraId="5E9B229F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 xml:space="preserve">Psoriasis </w:t>
            </w:r>
          </w:p>
          <w:p w14:paraId="008C22E1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Vitiligo</w:t>
            </w:r>
          </w:p>
          <w:p w14:paraId="1B22C18C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 xml:space="preserve">Anti-neutrophil cytoplasmic antibody-associated vasculitis </w:t>
            </w:r>
          </w:p>
          <w:p w14:paraId="1F67C6FE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Sarcoidosis</w:t>
            </w:r>
          </w:p>
          <w:p w14:paraId="6B49C6EA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Behcet disease</w:t>
            </w:r>
          </w:p>
          <w:p w14:paraId="0860EFE4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Crohn disease</w:t>
            </w:r>
          </w:p>
          <w:p w14:paraId="09DFB6DA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 xml:space="preserve">Ulcerative colitis </w:t>
            </w:r>
          </w:p>
          <w:p w14:paraId="66768570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 xml:space="preserve">Rheumatoid arthritis </w:t>
            </w:r>
          </w:p>
          <w:p w14:paraId="6BE9F506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 xml:space="preserve">Systemic lupus erythematosus </w:t>
            </w:r>
          </w:p>
          <w:p w14:paraId="0969D122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Systemic sclerosis</w:t>
            </w:r>
          </w:p>
          <w:p w14:paraId="3B88B2D5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 xml:space="preserve">Sjogren syndrome </w:t>
            </w:r>
          </w:p>
          <w:p w14:paraId="0641790A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Ankylosing spondylitis</w:t>
            </w:r>
          </w:p>
          <w:p w14:paraId="18CD1814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 xml:space="preserve">Dermato/polymyositis </w:t>
            </w:r>
          </w:p>
          <w:p w14:paraId="0F216786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Bullous pemphigoid</w:t>
            </w:r>
          </w:p>
        </w:tc>
        <w:tc>
          <w:tcPr>
            <w:tcW w:w="2830" w:type="dxa"/>
            <w:tcBorders>
              <w:left w:val="nil"/>
              <w:bottom w:val="single" w:sz="4" w:space="0" w:color="auto"/>
              <w:right w:val="nil"/>
            </w:tcBorders>
          </w:tcPr>
          <w:p w14:paraId="0F8D3242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</w:p>
          <w:p w14:paraId="36CDD8C2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L63</w:t>
            </w:r>
          </w:p>
          <w:p w14:paraId="12014898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L66</w:t>
            </w:r>
          </w:p>
          <w:p w14:paraId="564AB8F2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 xml:space="preserve">L40 </w:t>
            </w:r>
          </w:p>
          <w:p w14:paraId="0BA611EE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L80</w:t>
            </w:r>
          </w:p>
          <w:p w14:paraId="7D0A8E28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 xml:space="preserve">M30.1; M31.3; M31.7; M31.8 </w:t>
            </w:r>
          </w:p>
          <w:p w14:paraId="18FC854D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D86</w:t>
            </w:r>
          </w:p>
          <w:p w14:paraId="2A929CB0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 xml:space="preserve">M35.2 </w:t>
            </w:r>
          </w:p>
          <w:p w14:paraId="5591CAE0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 xml:space="preserve">K50 </w:t>
            </w:r>
          </w:p>
          <w:p w14:paraId="5520E364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K51</w:t>
            </w:r>
          </w:p>
          <w:p w14:paraId="69C0625F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M05; M06; M08</w:t>
            </w:r>
          </w:p>
          <w:p w14:paraId="148AB7B2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 xml:space="preserve">M32 </w:t>
            </w:r>
          </w:p>
          <w:p w14:paraId="28B5F1B2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 xml:space="preserve">M34 </w:t>
            </w:r>
          </w:p>
          <w:p w14:paraId="6705FED2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 xml:space="preserve">M35.0 </w:t>
            </w:r>
          </w:p>
          <w:p w14:paraId="6C0DB13A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M45</w:t>
            </w:r>
          </w:p>
          <w:p w14:paraId="6454F056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 xml:space="preserve">M33 </w:t>
            </w:r>
          </w:p>
          <w:p w14:paraId="2994ED3C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L120</w:t>
            </w:r>
          </w:p>
        </w:tc>
      </w:tr>
      <w:tr w:rsidR="00E75579" w:rsidRPr="00E75579" w14:paraId="5DA22976" w14:textId="77777777" w:rsidTr="00D46D27">
        <w:trPr>
          <w:trHeight w:val="403"/>
          <w:tblHeader/>
        </w:trPr>
        <w:tc>
          <w:tcPr>
            <w:tcW w:w="6237" w:type="dxa"/>
            <w:tcBorders>
              <w:left w:val="nil"/>
              <w:bottom w:val="single" w:sz="4" w:space="0" w:color="auto"/>
              <w:right w:val="nil"/>
            </w:tcBorders>
          </w:tcPr>
          <w:p w14:paraId="17030725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/>
                <w:sz w:val="17"/>
                <w:szCs w:val="17"/>
              </w:rPr>
            </w:pPr>
            <w:r w:rsidRPr="00E75579">
              <w:rPr>
                <w:rFonts w:eastAsia="바탕"/>
                <w:b/>
                <w:sz w:val="17"/>
                <w:szCs w:val="17"/>
              </w:rPr>
              <w:t xml:space="preserve">Positive control outcomes </w:t>
            </w:r>
          </w:p>
          <w:p w14:paraId="6A35E56A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 xml:space="preserve">Myocarditis </w:t>
            </w:r>
          </w:p>
          <w:p w14:paraId="30AEFE95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 xml:space="preserve">Pericarditis </w:t>
            </w:r>
          </w:p>
          <w:p w14:paraId="44696342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Guillain-Barre syndrome</w:t>
            </w:r>
          </w:p>
        </w:tc>
        <w:tc>
          <w:tcPr>
            <w:tcW w:w="2830" w:type="dxa"/>
            <w:tcBorders>
              <w:left w:val="nil"/>
              <w:bottom w:val="single" w:sz="4" w:space="0" w:color="auto"/>
              <w:right w:val="nil"/>
            </w:tcBorders>
          </w:tcPr>
          <w:p w14:paraId="1A11BF9C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</w:p>
          <w:p w14:paraId="35F074FA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 xml:space="preserve">I51.4; I40.0; I40.1; I40.8; I40.9 </w:t>
            </w:r>
          </w:p>
          <w:p w14:paraId="64C4623A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I30</w:t>
            </w:r>
          </w:p>
          <w:p w14:paraId="5CF928E1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G61.0</w:t>
            </w:r>
          </w:p>
        </w:tc>
      </w:tr>
      <w:tr w:rsidR="00E75579" w:rsidRPr="00E75579" w14:paraId="17487F07" w14:textId="77777777" w:rsidTr="00D46D27">
        <w:trPr>
          <w:trHeight w:val="403"/>
          <w:tblHeader/>
        </w:trPr>
        <w:tc>
          <w:tcPr>
            <w:tcW w:w="6237" w:type="dxa"/>
            <w:tcBorders>
              <w:left w:val="nil"/>
              <w:bottom w:val="single" w:sz="4" w:space="0" w:color="auto"/>
              <w:right w:val="nil"/>
            </w:tcBorders>
          </w:tcPr>
          <w:p w14:paraId="311D7906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/>
                <w:sz w:val="17"/>
                <w:szCs w:val="17"/>
              </w:rPr>
            </w:pPr>
            <w:r w:rsidRPr="00E75579">
              <w:rPr>
                <w:rFonts w:eastAsia="바탕" w:hint="eastAsia"/>
                <w:b/>
                <w:sz w:val="17"/>
                <w:szCs w:val="17"/>
              </w:rPr>
              <w:t>N</w:t>
            </w:r>
            <w:r w:rsidRPr="00E75579">
              <w:rPr>
                <w:rFonts w:eastAsia="바탕"/>
                <w:b/>
                <w:sz w:val="17"/>
                <w:szCs w:val="17"/>
              </w:rPr>
              <w:t>egative control outcomes</w:t>
            </w:r>
          </w:p>
          <w:p w14:paraId="52B896E6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 xml:space="preserve">Benign skin tumor </w:t>
            </w:r>
          </w:p>
          <w:p w14:paraId="0E81C67B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Melanoma in situ</w:t>
            </w:r>
          </w:p>
          <w:p w14:paraId="23A816C1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Tympanic membrane perforation</w:t>
            </w:r>
          </w:p>
        </w:tc>
        <w:tc>
          <w:tcPr>
            <w:tcW w:w="2830" w:type="dxa"/>
            <w:tcBorders>
              <w:left w:val="nil"/>
              <w:bottom w:val="single" w:sz="4" w:space="0" w:color="auto"/>
              <w:right w:val="nil"/>
            </w:tcBorders>
          </w:tcPr>
          <w:p w14:paraId="027DBB31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</w:p>
          <w:p w14:paraId="2C82E872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 xml:space="preserve">D23 </w:t>
            </w:r>
          </w:p>
          <w:p w14:paraId="351C263F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 xml:space="preserve">D03.9 </w:t>
            </w:r>
          </w:p>
          <w:p w14:paraId="13F41EA6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H72</w:t>
            </w:r>
          </w:p>
        </w:tc>
      </w:tr>
      <w:tr w:rsidR="00E75579" w:rsidRPr="00E75579" w14:paraId="5507D8B4" w14:textId="77777777" w:rsidTr="00D46D27">
        <w:trPr>
          <w:trHeight w:val="403"/>
          <w:tblHeader/>
        </w:trPr>
        <w:tc>
          <w:tcPr>
            <w:tcW w:w="6237" w:type="dxa"/>
            <w:tcBorders>
              <w:left w:val="nil"/>
              <w:bottom w:val="single" w:sz="4" w:space="0" w:color="auto"/>
              <w:right w:val="nil"/>
            </w:tcBorders>
          </w:tcPr>
          <w:p w14:paraId="533DF646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/>
                <w:sz w:val="17"/>
                <w:szCs w:val="17"/>
              </w:rPr>
            </w:pPr>
            <w:r w:rsidRPr="00E75579">
              <w:rPr>
                <w:rFonts w:eastAsia="바탕"/>
                <w:b/>
                <w:sz w:val="17"/>
                <w:szCs w:val="17"/>
              </w:rPr>
              <w:t xml:space="preserve">Chronic diseases served as the covariates </w:t>
            </w:r>
          </w:p>
          <w:p w14:paraId="0B1DC741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Hypertension</w:t>
            </w:r>
          </w:p>
          <w:p w14:paraId="1071CAB4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Diabetes mellitus</w:t>
            </w:r>
          </w:p>
          <w:p w14:paraId="787A16CE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Dyslipidemia</w:t>
            </w:r>
          </w:p>
          <w:p w14:paraId="7EC9DE9C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Atopic dermatitis</w:t>
            </w:r>
          </w:p>
          <w:p w14:paraId="216DF797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Allergic rhinitis</w:t>
            </w:r>
          </w:p>
          <w:p w14:paraId="12C02B82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Asthma</w:t>
            </w:r>
          </w:p>
          <w:p w14:paraId="7151D0EC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Hyperthyroidism</w:t>
            </w:r>
          </w:p>
          <w:p w14:paraId="6AC8DE80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Hypothyroidism</w:t>
            </w:r>
          </w:p>
          <w:p w14:paraId="370CBC94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Hashimoto thyroiditis</w:t>
            </w:r>
          </w:p>
          <w:p w14:paraId="7EAB38C7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Vitamin D deficiency</w:t>
            </w:r>
          </w:p>
          <w:p w14:paraId="09AE2148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Hepatitis B virus infection</w:t>
            </w:r>
          </w:p>
          <w:p w14:paraId="783F8BB6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Hepatitis C virus infection</w:t>
            </w:r>
          </w:p>
          <w:p w14:paraId="38DFCD0A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ind w:firstLineChars="150" w:firstLine="255"/>
              <w:jc w:val="left"/>
              <w:rPr>
                <w:rFonts w:eastAsia="바탕"/>
                <w:b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Human immunodeficiency virus infection</w:t>
            </w:r>
          </w:p>
        </w:tc>
        <w:tc>
          <w:tcPr>
            <w:tcW w:w="2830" w:type="dxa"/>
            <w:tcBorders>
              <w:left w:val="nil"/>
              <w:bottom w:val="single" w:sz="4" w:space="0" w:color="auto"/>
              <w:right w:val="nil"/>
            </w:tcBorders>
          </w:tcPr>
          <w:p w14:paraId="7CC9BF49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</w:p>
          <w:p w14:paraId="62BC5EBC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I10</w:t>
            </w:r>
          </w:p>
          <w:p w14:paraId="6F8B3F04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 xml:space="preserve">E08; E09; E10; E11; E13 </w:t>
            </w:r>
          </w:p>
          <w:p w14:paraId="4BFD6BCC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E78</w:t>
            </w:r>
          </w:p>
          <w:p w14:paraId="541D47F3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 xml:space="preserve">L20 </w:t>
            </w:r>
          </w:p>
          <w:p w14:paraId="025E2320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 xml:space="preserve">J30 </w:t>
            </w:r>
          </w:p>
          <w:p w14:paraId="7076410A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J45</w:t>
            </w:r>
          </w:p>
          <w:p w14:paraId="03AA023E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 xml:space="preserve">E05 </w:t>
            </w:r>
          </w:p>
          <w:p w14:paraId="2C24B467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 xml:space="preserve">E03 </w:t>
            </w:r>
          </w:p>
          <w:p w14:paraId="1729AFE2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 xml:space="preserve">E06.3 </w:t>
            </w:r>
          </w:p>
          <w:p w14:paraId="354D2A1F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E55.9</w:t>
            </w:r>
          </w:p>
          <w:p w14:paraId="6C55C9DD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 xml:space="preserve">B18.0; B18.1; B191 </w:t>
            </w:r>
          </w:p>
          <w:p w14:paraId="322E24FD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B18.2; B19.2</w:t>
            </w:r>
          </w:p>
          <w:p w14:paraId="2F4DC192" w14:textId="77777777" w:rsidR="00E75579" w:rsidRPr="00E75579" w:rsidRDefault="00E75579" w:rsidP="00E75579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rPr>
                <w:rFonts w:eastAsia="바탕"/>
                <w:bCs/>
                <w:sz w:val="17"/>
                <w:szCs w:val="17"/>
              </w:rPr>
            </w:pPr>
            <w:r w:rsidRPr="00E75579">
              <w:rPr>
                <w:rFonts w:eastAsia="바탕"/>
                <w:bCs/>
                <w:sz w:val="17"/>
                <w:szCs w:val="17"/>
              </w:rPr>
              <w:t>B20</w:t>
            </w:r>
          </w:p>
        </w:tc>
      </w:tr>
    </w:tbl>
    <w:p w14:paraId="1643B656" w14:textId="6883A057" w:rsidR="00E75579" w:rsidRPr="00D85F40" w:rsidRDefault="00E75579" w:rsidP="00D85F40">
      <w:pPr>
        <w:widowControl/>
        <w:wordWrap/>
        <w:autoSpaceDE/>
        <w:autoSpaceDN/>
        <w:snapToGrid w:val="0"/>
        <w:spacing w:line="240" w:lineRule="auto"/>
        <w:jc w:val="left"/>
        <w:rPr>
          <w:rFonts w:ascii="Times New Roman" w:eastAsia="바탕" w:hAnsi="Times New Roman" w:cs="Times New Roman" w:hint="eastAsia"/>
          <w:bCs/>
          <w:szCs w:val="20"/>
        </w:rPr>
      </w:pPr>
      <w:r w:rsidRPr="00E75579">
        <w:rPr>
          <w:rFonts w:ascii="Times New Roman" w:eastAsia="바탕" w:hAnsi="Times New Roman" w:cs="Times New Roman"/>
          <w:bCs/>
          <w:szCs w:val="20"/>
        </w:rPr>
        <w:t>Abbreviation: ICD-10, International Classification of Diseases, 10th Revision</w:t>
      </w:r>
    </w:p>
    <w:sectPr w:rsidR="00E75579" w:rsidRPr="00D85F4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GuardianAgateSans1GR-Regular">
    <w:altName w:val="맑은 고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FD6973"/>
    <w:multiLevelType w:val="hybridMultilevel"/>
    <w:tmpl w:val="DEB2D7F4"/>
    <w:lvl w:ilvl="0" w:tplc="2C7613FA">
      <w:start w:val="5"/>
      <w:numFmt w:val="bullet"/>
      <w:lvlText w:val="-"/>
      <w:lvlJc w:val="left"/>
      <w:pPr>
        <w:ind w:left="760" w:hanging="360"/>
      </w:pPr>
      <w:rPr>
        <w:rFonts w:ascii="Times New Roman" w:eastAsia="바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5E53504A"/>
    <w:multiLevelType w:val="hybridMultilevel"/>
    <w:tmpl w:val="F494523A"/>
    <w:lvl w:ilvl="0" w:tplc="EDE40B40">
      <w:start w:val="5"/>
      <w:numFmt w:val="bullet"/>
      <w:lvlText w:val="-"/>
      <w:lvlJc w:val="left"/>
      <w:pPr>
        <w:ind w:left="760" w:hanging="360"/>
      </w:pPr>
      <w:rPr>
        <w:rFonts w:ascii="Times New Roman" w:eastAsia="바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68576093">
    <w:abstractNumId w:val="1"/>
  </w:num>
  <w:num w:numId="2" w16cid:durableId="3264486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5579"/>
    <w:rsid w:val="00290DEA"/>
    <w:rsid w:val="0072612D"/>
    <w:rsid w:val="007F54B8"/>
    <w:rsid w:val="00D85F40"/>
    <w:rsid w:val="00E75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0E0CEA"/>
  <w15:chartTrackingRefBased/>
  <w15:docId w15:val="{85C735CF-473A-477A-BDB6-AACD4F766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75579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E75579"/>
    <w:pPr>
      <w:ind w:leftChars="400" w:left="800"/>
    </w:pPr>
  </w:style>
  <w:style w:type="table" w:customStyle="1" w:styleId="2">
    <w:name w:val="표 구분선2"/>
    <w:basedOn w:val="a1"/>
    <w:next w:val="a5"/>
    <w:uiPriority w:val="39"/>
    <w:rsid w:val="00E75579"/>
    <w:pPr>
      <w:spacing w:after="0" w:line="240" w:lineRule="auto"/>
    </w:pPr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39"/>
    <w:rsid w:val="00E755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D85F40"/>
    <w:pPr>
      <w:widowControl w:val="0"/>
      <w:wordWrap w:val="0"/>
      <w:autoSpaceDE w:val="0"/>
      <w:autoSpaceDN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591</Words>
  <Characters>4015</Characters>
  <Application>Microsoft Office Word</Application>
  <DocSecurity>0</DocSecurity>
  <Lines>182</Lines>
  <Paragraphs>153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Jaewoong Choi</dc:creator>
  <cp:keywords/>
  <dc:description/>
  <cp:lastModifiedBy>전은정</cp:lastModifiedBy>
  <cp:revision>2</cp:revision>
  <dcterms:created xsi:type="dcterms:W3CDTF">2024-04-04T14:29:00Z</dcterms:created>
  <dcterms:modified xsi:type="dcterms:W3CDTF">2024-04-05T05:16:00Z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b615fd89ebc4fd18d77890ffc8cfc459b2f5286307350345b2fd23f6db6f991b</vt:lpwstr>
  </property>
</Properties>
</file>