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spacing w:line="360" w:lineRule="auto"/>
        <w:jc w:val="center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Supporting Information</w:t>
      </w:r>
    </w:p>
    <w:p>
      <w:pPr>
        <w:widowControl/>
        <w:spacing w:line="360" w:lineRule="auto"/>
        <w:rPr>
          <w:rFonts w:ascii="Times New Roman" w:hAnsi="Times New Roman" w:eastAsia="SimSun" w:cs="Times New Roman"/>
          <w:b/>
          <w:bCs/>
          <w:sz w:val="32"/>
          <w:szCs w:val="32"/>
          <w:lang w:eastAsia="en-US"/>
        </w:rPr>
      </w:pPr>
    </w:p>
    <w:p>
      <w:pPr>
        <w:widowControl/>
        <w:spacing w:line="360" w:lineRule="auto"/>
        <w:rPr>
          <w:rFonts w:ascii="Times New Roman" w:hAnsi="Times New Roman" w:eastAsia="SimSun" w:cs="Times New Roman"/>
          <w:b/>
          <w:bCs/>
          <w:sz w:val="32"/>
          <w:szCs w:val="32"/>
          <w:lang w:eastAsia="en-US"/>
        </w:rPr>
      </w:pPr>
      <w:r>
        <w:rPr>
          <w:rFonts w:ascii="Times New Roman" w:hAnsi="Times New Roman" w:eastAsia="SimSun" w:cs="Times New Roman"/>
          <w:b/>
          <w:bCs/>
          <w:sz w:val="32"/>
          <w:szCs w:val="32"/>
          <w:lang w:eastAsia="en-US"/>
        </w:rPr>
        <w:t>Photocatalytic upcycling of polylactic acid into alanine by sulfur vacancies rich cadmium sulfide</w:t>
      </w:r>
    </w:p>
    <w:p>
      <w:pPr>
        <w:widowControl/>
        <w:spacing w:line="360" w:lineRule="auto"/>
        <w:rPr>
          <w:rFonts w:ascii="Times New Roman" w:hAnsi="Times New Roman" w:eastAsia="SimSun" w:cs="Times New Roman"/>
          <w:sz w:val="24"/>
          <w:szCs w:val="24"/>
          <w:lang w:eastAsia="en-US"/>
        </w:rPr>
      </w:pPr>
    </w:p>
    <w:p>
      <w:pPr>
        <w:widowControl/>
        <w:spacing w:line="360" w:lineRule="auto"/>
        <w:rPr>
          <w:rFonts w:ascii="Times New Roman" w:hAnsi="Times New Roman" w:eastAsia="SimSun" w:cs="Times New Roman"/>
          <w:sz w:val="24"/>
          <w:szCs w:val="24"/>
          <w:vertAlign w:val="superscript"/>
          <w:lang w:eastAsia="en-US"/>
        </w:rPr>
      </w:pPr>
      <w:r>
        <w:rPr>
          <w:rFonts w:ascii="Times New Roman" w:hAnsi="Times New Roman" w:eastAsia="SimSun" w:cs="Times New Roman"/>
          <w:sz w:val="24"/>
          <w:szCs w:val="24"/>
          <w:lang w:eastAsia="en-US"/>
        </w:rPr>
        <w:t>Yue Wu</w:t>
      </w:r>
      <w:r>
        <w:rPr>
          <w:rFonts w:ascii="Times New Roman" w:hAnsi="Times New Roman" w:eastAsia="SimSun" w:cs="Times New Roman"/>
          <w:sz w:val="24"/>
          <w:szCs w:val="24"/>
          <w:vertAlign w:val="superscript"/>
          <w:lang w:eastAsia="en-US"/>
        </w:rPr>
        <w:t>a,b‡</w:t>
      </w:r>
      <w:r>
        <w:rPr>
          <w:rFonts w:ascii="Times New Roman" w:hAnsi="Times New Roman" w:eastAsia="SimSun" w:cs="Times New Roman"/>
          <w:sz w:val="24"/>
          <w:szCs w:val="24"/>
          <w:lang w:eastAsia="en-US"/>
        </w:rPr>
        <w:t>, Phuc T.T. Nguyen</w:t>
      </w:r>
      <w:r>
        <w:rPr>
          <w:rFonts w:ascii="Times New Roman" w:hAnsi="Times New Roman" w:eastAsia="SimSun" w:cs="Times New Roman"/>
          <w:sz w:val="24"/>
          <w:szCs w:val="24"/>
          <w:vertAlign w:val="superscript"/>
          <w:lang w:eastAsia="en-US"/>
        </w:rPr>
        <w:t>a,c,‡</w:t>
      </w:r>
      <w:r>
        <w:rPr>
          <w:rFonts w:ascii="Times New Roman" w:hAnsi="Times New Roman" w:eastAsia="SimSun" w:cs="Times New Roman"/>
          <w:sz w:val="24"/>
          <w:szCs w:val="24"/>
          <w:lang w:eastAsia="en-US"/>
        </w:rPr>
        <w:t xml:space="preserve"> Tianyong Zhang</w:t>
      </w:r>
      <w:r>
        <w:rPr>
          <w:rFonts w:ascii="Times New Roman" w:hAnsi="Times New Roman" w:eastAsia="SimSun" w:cs="Times New Roman"/>
          <w:sz w:val="24"/>
          <w:szCs w:val="24"/>
          <w:vertAlign w:val="superscript"/>
          <w:lang w:eastAsia="en-US"/>
        </w:rPr>
        <w:t xml:space="preserve"> b</w:t>
      </w:r>
      <w:r>
        <w:rPr>
          <w:rFonts w:ascii="Times New Roman" w:hAnsi="Times New Roman" w:eastAsia="SimSun" w:cs="Times New Roman"/>
          <w:sz w:val="24"/>
          <w:szCs w:val="24"/>
          <w:lang w:eastAsia="en-US"/>
        </w:rPr>
        <w:t xml:space="preserve"> and Ning Yan</w:t>
      </w:r>
      <w:r>
        <w:rPr>
          <w:rFonts w:ascii="Times New Roman" w:hAnsi="Times New Roman" w:eastAsia="SimSun" w:cs="Times New Roman"/>
          <w:sz w:val="24"/>
          <w:szCs w:val="24"/>
          <w:vertAlign w:val="superscript"/>
          <w:lang w:eastAsia="en-US"/>
        </w:rPr>
        <w:t>a,c</w:t>
      </w:r>
      <w:r>
        <w:rPr>
          <w:rFonts w:hint="eastAsia" w:ascii="Times New Roman" w:hAnsi="Times New Roman" w:eastAsia="SimSun" w:cs="Times New Roman"/>
          <w:sz w:val="24"/>
          <w:szCs w:val="24"/>
          <w:vertAlign w:val="superscript"/>
          <w:lang w:val="en-US" w:eastAsia="zh-CN"/>
        </w:rPr>
        <w:t>,d</w:t>
      </w:r>
      <w:r>
        <w:rPr>
          <w:rFonts w:ascii="Times New Roman" w:hAnsi="Times New Roman" w:eastAsia="SimSun" w:cs="Times New Roman"/>
          <w:sz w:val="24"/>
          <w:szCs w:val="24"/>
          <w:vertAlign w:val="superscript"/>
          <w:lang w:eastAsia="en-US"/>
        </w:rPr>
        <w:t>*</w:t>
      </w:r>
    </w:p>
    <w:p>
      <w:pPr>
        <w:widowControl/>
        <w:spacing w:line="360" w:lineRule="auto"/>
        <w:rPr>
          <w:rFonts w:ascii="Times New Roman" w:hAnsi="Times New Roman" w:eastAsia="SimSun" w:cs="Times New Roman"/>
          <w:sz w:val="24"/>
          <w:szCs w:val="24"/>
          <w:vertAlign w:val="superscript"/>
          <w:lang w:eastAsia="en-US"/>
        </w:rPr>
      </w:pPr>
    </w:p>
    <w:p>
      <w:pPr>
        <w:widowControl/>
        <w:spacing w:line="360" w:lineRule="auto"/>
        <w:rPr>
          <w:rFonts w:ascii="Times New Roman" w:hAnsi="Times New Roman" w:eastAsia="SimSun" w:cs="Times New Roman"/>
          <w:sz w:val="24"/>
          <w:szCs w:val="24"/>
          <w:lang w:eastAsia="en-US"/>
        </w:rPr>
      </w:pPr>
      <w:r>
        <w:rPr>
          <w:rFonts w:ascii="Times New Roman" w:hAnsi="Times New Roman" w:eastAsia="SimSun" w:cs="Times New Roman"/>
          <w:sz w:val="24"/>
          <w:szCs w:val="24"/>
          <w:vertAlign w:val="superscript"/>
          <w:lang w:eastAsia="en-US"/>
        </w:rPr>
        <w:t>a</w:t>
      </w:r>
      <w:r>
        <w:rPr>
          <w:rFonts w:ascii="Times New Roman" w:hAnsi="Times New Roman" w:eastAsia="SimSun" w:cs="Times New Roman"/>
          <w:sz w:val="24"/>
          <w:szCs w:val="24"/>
          <w:lang w:eastAsia="en-US"/>
        </w:rPr>
        <w:t>Department of Chemical and Biomolecular Engineering, National University of Singapore, 4 Engineering Drive 4, 117585, Singapore</w:t>
      </w:r>
    </w:p>
    <w:p>
      <w:pPr>
        <w:widowControl/>
        <w:spacing w:line="360" w:lineRule="auto"/>
        <w:rPr>
          <w:rFonts w:ascii="Times New Roman" w:hAnsi="Times New Roman" w:eastAsia="SimSun" w:cs="Times New Roman"/>
          <w:sz w:val="24"/>
          <w:szCs w:val="24"/>
          <w:lang w:eastAsia="en-US"/>
        </w:rPr>
      </w:pPr>
      <w:r>
        <w:rPr>
          <w:rFonts w:ascii="Times New Roman" w:hAnsi="Times New Roman" w:eastAsia="SimSun" w:cs="Times New Roman"/>
          <w:sz w:val="24"/>
          <w:szCs w:val="24"/>
          <w:vertAlign w:val="superscript"/>
          <w:lang w:eastAsia="en-US"/>
        </w:rPr>
        <w:t>b</w:t>
      </w:r>
      <w:r>
        <w:rPr>
          <w:rFonts w:ascii="Times New Roman" w:hAnsi="Times New Roman" w:eastAsia="SimSun" w:cs="Times New Roman"/>
          <w:sz w:val="24"/>
          <w:szCs w:val="24"/>
          <w:lang w:eastAsia="en-US"/>
        </w:rPr>
        <w:t>Tianjin Key Laboratory of Applied Catalysis Science and Technology, School of Chemical Engineering and Technology, Tianjin University, Tianjin 300354, People’s Republic of China</w:t>
      </w:r>
    </w:p>
    <w:p>
      <w:pPr>
        <w:widowControl/>
        <w:spacing w:line="360" w:lineRule="auto"/>
        <w:rPr>
          <w:rFonts w:ascii="Times New Roman" w:hAnsi="Times New Roman" w:eastAsia="SimSun" w:cs="Times New Roman"/>
          <w:sz w:val="24"/>
          <w:szCs w:val="24"/>
          <w:lang w:eastAsia="en-US"/>
        </w:rPr>
      </w:pPr>
      <w:r>
        <w:rPr>
          <w:rFonts w:ascii="Times New Roman" w:hAnsi="Times New Roman" w:eastAsia="SimSun" w:cs="Times New Roman"/>
          <w:sz w:val="24"/>
          <w:szCs w:val="24"/>
          <w:vertAlign w:val="superscript"/>
          <w:lang w:eastAsia="en-US"/>
        </w:rPr>
        <w:t>c</w:t>
      </w:r>
      <w:r>
        <w:rPr>
          <w:rFonts w:ascii="Times New Roman" w:hAnsi="Times New Roman" w:eastAsia="SimSun" w:cs="Times New Roman"/>
          <w:sz w:val="24"/>
          <w:szCs w:val="24"/>
          <w:lang w:eastAsia="en-US"/>
        </w:rPr>
        <w:t>Joint School of National University of Singapore and Tianjin University, Fuzhou 350207, Fujian, China</w:t>
      </w:r>
    </w:p>
    <w:p>
      <w:pPr>
        <w:widowControl/>
        <w:spacing w:line="360" w:lineRule="auto"/>
        <w:rPr>
          <w:rFonts w:ascii="Times New Roman" w:hAnsi="Times New Roman" w:eastAsia="SimSun" w:cs="Times New Roman"/>
          <w:sz w:val="24"/>
          <w:szCs w:val="24"/>
          <w:lang w:eastAsia="en-US"/>
        </w:rPr>
      </w:pPr>
      <w:r>
        <w:rPr>
          <w:rFonts w:hint="eastAsia" w:ascii="Times New Roman" w:hAnsi="Times New Roman" w:eastAsia="SimSun" w:cs="Times New Roman"/>
          <w:sz w:val="24"/>
          <w:szCs w:val="24"/>
          <w:vertAlign w:val="superscript"/>
          <w:lang w:val="en-US" w:eastAsia="zh-CN"/>
        </w:rPr>
        <w:t>d</w:t>
      </w:r>
      <w:r>
        <w:rPr>
          <w:rFonts w:ascii="Times New Roman" w:hAnsi="Times New Roman" w:eastAsia="SimSun" w:cs="Times New Roman"/>
          <w:sz w:val="24"/>
          <w:szCs w:val="24"/>
          <w:lang w:eastAsia="en-US"/>
        </w:rPr>
        <w:t>Centre for Hydrogen Innovations, National University of Singapore, Singapore 117580, Singapore.</w:t>
      </w:r>
    </w:p>
    <w:p>
      <w:pPr>
        <w:widowControl/>
        <w:spacing w:line="360" w:lineRule="auto"/>
        <w:rPr>
          <w:rFonts w:ascii="Times New Roman" w:hAnsi="Times New Roman" w:eastAsia="SimSun" w:cs="Times New Roman"/>
          <w:sz w:val="24"/>
          <w:szCs w:val="24"/>
          <w:lang w:eastAsia="en-US"/>
        </w:rPr>
      </w:pPr>
    </w:p>
    <w:p>
      <w:pPr>
        <w:widowControl/>
        <w:spacing w:line="360" w:lineRule="auto"/>
        <w:rPr>
          <w:rFonts w:ascii="Times New Roman" w:hAnsi="Times New Roman" w:eastAsia="SimSun" w:cs="Times New Roman"/>
          <w:sz w:val="24"/>
          <w:szCs w:val="24"/>
          <w:lang w:eastAsia="en-US"/>
        </w:rPr>
      </w:pPr>
    </w:p>
    <w:p>
      <w:pPr>
        <w:widowControl/>
        <w:spacing w:line="360" w:lineRule="auto"/>
        <w:rPr>
          <w:rFonts w:ascii="Times New Roman" w:hAnsi="Times New Roman" w:eastAsia="SimSun" w:cs="Times New Roman"/>
          <w:sz w:val="24"/>
          <w:szCs w:val="24"/>
          <w:lang w:eastAsia="en-US"/>
        </w:rPr>
      </w:pPr>
      <w:r>
        <w:rPr>
          <w:rFonts w:ascii="Times New Roman" w:hAnsi="Times New Roman" w:eastAsia="SimSun" w:cs="Times New Roman"/>
          <w:sz w:val="24"/>
          <w:szCs w:val="24"/>
          <w:vertAlign w:val="superscript"/>
          <w:lang w:eastAsia="en-US"/>
        </w:rPr>
        <w:t>‡</w:t>
      </w:r>
      <w:r>
        <w:rPr>
          <w:rFonts w:ascii="Times New Roman" w:hAnsi="Times New Roman" w:eastAsia="SimSun" w:cs="Times New Roman"/>
          <w:sz w:val="24"/>
          <w:szCs w:val="24"/>
          <w:lang w:eastAsia="en-US"/>
        </w:rPr>
        <w:t>Both authors contributed equally to this work.</w:t>
      </w:r>
    </w:p>
    <w:p>
      <w:pPr>
        <w:widowControl/>
        <w:spacing w:line="360" w:lineRule="auto"/>
        <w:rPr>
          <w:rFonts w:ascii="Times New Roman" w:hAnsi="Times New Roman" w:eastAsia="SimSun" w:cs="Times New Roman"/>
          <w:sz w:val="24"/>
          <w:szCs w:val="24"/>
          <w:lang w:eastAsia="en-US"/>
        </w:rPr>
      </w:pPr>
    </w:p>
    <w:p>
      <w:pPr>
        <w:widowControl/>
        <w:spacing w:line="360" w:lineRule="auto"/>
        <w:rPr>
          <w:rFonts w:ascii="Times New Roman" w:hAnsi="Times New Roman" w:eastAsia="SimSun" w:cs="Times New Roman"/>
          <w:sz w:val="24"/>
          <w:szCs w:val="24"/>
          <w:lang w:eastAsia="en-US"/>
        </w:rPr>
      </w:pPr>
      <w:r>
        <w:rPr>
          <w:rFonts w:ascii="Times New Roman" w:hAnsi="Times New Roman" w:eastAsia="SimSun" w:cs="Times New Roman"/>
          <w:sz w:val="24"/>
          <w:szCs w:val="24"/>
          <w:vertAlign w:val="superscript"/>
          <w:lang w:eastAsia="en-US"/>
        </w:rPr>
        <w:t>*</w:t>
      </w:r>
      <w:r>
        <w:rPr>
          <w:rFonts w:ascii="Times New Roman" w:hAnsi="Times New Roman" w:eastAsia="SimSun" w:cs="Times New Roman"/>
          <w:sz w:val="24"/>
          <w:szCs w:val="24"/>
          <w:lang w:eastAsia="en-US"/>
        </w:rPr>
        <w:t xml:space="preserve">Corresponding author: </w:t>
      </w:r>
      <w:r>
        <w:fldChar w:fldCharType="begin"/>
      </w:r>
      <w:r>
        <w:instrText xml:space="preserve"> HYPERLINK "mailto:ning.yan@nus.edu.sg" </w:instrText>
      </w:r>
      <w:r>
        <w:fldChar w:fldCharType="separate"/>
      </w:r>
      <w:r>
        <w:rPr>
          <w:rFonts w:ascii="Times New Roman" w:hAnsi="Times New Roman" w:eastAsia="SimSun" w:cs="Times New Roman"/>
          <w:color w:val="0563C1"/>
          <w:sz w:val="24"/>
          <w:szCs w:val="24"/>
          <w:u w:val="single"/>
          <w:lang w:eastAsia="en-US"/>
        </w:rPr>
        <w:t>ning.yan@nus.edu.sg</w:t>
      </w:r>
      <w:r>
        <w:rPr>
          <w:rFonts w:ascii="Times New Roman" w:hAnsi="Times New Roman" w:eastAsia="SimSun" w:cs="Times New Roman"/>
          <w:color w:val="0563C1"/>
          <w:sz w:val="24"/>
          <w:szCs w:val="24"/>
          <w:u w:val="single"/>
          <w:lang w:eastAsia="en-US"/>
        </w:rPr>
        <w:fldChar w:fldCharType="end"/>
      </w:r>
    </w:p>
    <w:p>
      <w:pPr>
        <w:widowControl/>
        <w:spacing w:line="360" w:lineRule="auto"/>
        <w:jc w:val="left"/>
        <w:rPr>
          <w:rFonts w:ascii="Times New Roman" w:hAnsi="Times New Roman" w:eastAsia="SimSun" w:cs="Times New Roman"/>
          <w:sz w:val="24"/>
          <w:szCs w:val="24"/>
          <w:lang w:eastAsia="en-US"/>
        </w:rPr>
      </w:pPr>
    </w:p>
    <w:p>
      <w:pPr>
        <w:widowControl/>
        <w:spacing w:line="360" w:lineRule="auto"/>
        <w:rPr>
          <w:rFonts w:ascii="Times New Roman" w:hAnsi="Times New Roman" w:eastAsia="SimSun" w:cs="Times New Roman"/>
          <w:sz w:val="24"/>
          <w:szCs w:val="24"/>
          <w:lang w:eastAsia="en-US"/>
        </w:rPr>
      </w:pPr>
      <w:r>
        <w:rPr>
          <w:rFonts w:ascii="Times New Roman" w:hAnsi="Times New Roman" w:eastAsia="SimSun" w:cs="Times New Roman"/>
          <w:sz w:val="24"/>
          <w:szCs w:val="24"/>
          <w:lang w:eastAsia="en-US"/>
        </w:rPr>
        <w:t>Number of pages: 11</w:t>
      </w:r>
    </w:p>
    <w:p>
      <w:pPr>
        <w:widowControl/>
        <w:spacing w:line="360" w:lineRule="auto"/>
        <w:rPr>
          <w:rFonts w:ascii="Times New Roman" w:hAnsi="Times New Roman" w:eastAsia="SimSun" w:cs="Times New Roman"/>
          <w:sz w:val="24"/>
          <w:szCs w:val="24"/>
          <w:lang w:eastAsia="en-US"/>
        </w:rPr>
      </w:pPr>
      <w:r>
        <w:rPr>
          <w:rFonts w:ascii="Times New Roman" w:hAnsi="Times New Roman" w:eastAsia="SimSun" w:cs="Times New Roman"/>
          <w:sz w:val="24"/>
          <w:szCs w:val="24"/>
          <w:lang w:eastAsia="en-US"/>
        </w:rPr>
        <w:t>Number of tables: 3</w:t>
      </w:r>
    </w:p>
    <w:p>
      <w:pPr>
        <w:widowControl/>
        <w:spacing w:line="360" w:lineRule="auto"/>
        <w:rPr>
          <w:rFonts w:ascii="Times New Roman" w:hAnsi="Times New Roman" w:eastAsia="SimSun" w:cs="Times New Roman"/>
          <w:sz w:val="24"/>
          <w:szCs w:val="24"/>
          <w:lang w:eastAsia="en-US"/>
        </w:rPr>
      </w:pPr>
      <w:r>
        <w:rPr>
          <w:rFonts w:ascii="Times New Roman" w:hAnsi="Times New Roman" w:eastAsia="SimSun" w:cs="Times New Roman"/>
          <w:sz w:val="24"/>
          <w:szCs w:val="24"/>
          <w:lang w:eastAsia="en-US"/>
        </w:rPr>
        <w:t>Number of figures: 9</w:t>
      </w:r>
    </w:p>
    <w:p>
      <w:pPr>
        <w:widowControl/>
        <w:spacing w:line="360" w:lineRule="auto"/>
        <w:rPr>
          <w:rFonts w:ascii="Times New Roman" w:hAnsi="Times New Roman" w:eastAsia="SimSun" w:cs="Times New Roman"/>
          <w:sz w:val="24"/>
          <w:szCs w:val="24"/>
          <w:lang w:eastAsia="en-US"/>
        </w:rPr>
      </w:pPr>
      <w:r>
        <w:rPr>
          <w:rFonts w:ascii="Times New Roman" w:hAnsi="Times New Roman" w:eastAsia="SimSun" w:cs="Times New Roman"/>
          <w:sz w:val="24"/>
          <w:szCs w:val="24"/>
          <w:lang w:eastAsia="en-US"/>
        </w:rPr>
        <w:br w:type="page"/>
      </w:r>
      <w:bookmarkStart w:id="1" w:name="_GoBack"/>
      <w:bookmarkEnd w:id="1"/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S1. </w:t>
      </w:r>
      <w:r>
        <w:rPr>
          <w:rFonts w:ascii="Times New Roman" w:hAnsi="Times New Roman" w:cs="Times New Roman"/>
          <w:sz w:val="24"/>
          <w:szCs w:val="24"/>
        </w:rPr>
        <w:t>The amount and speed of dropping the S precursor in different CdS samples</w:t>
      </w:r>
    </w:p>
    <w:tbl>
      <w:tblPr>
        <w:tblStyle w:val="8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1"/>
        <w:gridCol w:w="3243"/>
        <w:gridCol w:w="31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pct"/>
            <w:shd w:val="clear" w:color="auto" w:fill="DEEAF6" w:themeFill="accent5" w:themeFillTint="33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Catalyst</w:t>
            </w:r>
          </w:p>
        </w:tc>
        <w:tc>
          <w:tcPr>
            <w:tcW w:w="1902" w:type="pct"/>
            <w:shd w:val="clear" w:color="auto" w:fill="DEEAF6" w:themeFill="accent5" w:themeFillTint="33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Na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S solution amount (mL)</w:t>
            </w:r>
          </w:p>
        </w:tc>
        <w:tc>
          <w:tcPr>
            <w:tcW w:w="1858" w:type="pct"/>
            <w:shd w:val="clear" w:color="auto" w:fill="DEEAF6" w:themeFill="accent5" w:themeFillTint="33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Drop speed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pct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CdS-1</w:t>
            </w:r>
          </w:p>
        </w:tc>
        <w:tc>
          <w:tcPr>
            <w:tcW w:w="1902" w:type="pct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58" w:type="pct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0.05 mL/min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pct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CdS-2</w:t>
            </w:r>
          </w:p>
        </w:tc>
        <w:tc>
          <w:tcPr>
            <w:tcW w:w="1902" w:type="pct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858" w:type="pct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0.10 mL/min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pct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CdS-3</w:t>
            </w:r>
          </w:p>
        </w:tc>
        <w:tc>
          <w:tcPr>
            <w:tcW w:w="1902" w:type="pct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858" w:type="pct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0.15 mL/min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pct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CdS-4</w:t>
            </w:r>
          </w:p>
        </w:tc>
        <w:tc>
          <w:tcPr>
            <w:tcW w:w="1902" w:type="pct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1858" w:type="pct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0.20 mL/min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pct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CdS-5</w:t>
            </w:r>
          </w:p>
        </w:tc>
        <w:tc>
          <w:tcPr>
            <w:tcW w:w="1902" w:type="pct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1858" w:type="pct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0.25 mL/min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pct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CdS-6</w:t>
            </w:r>
          </w:p>
        </w:tc>
        <w:tc>
          <w:tcPr>
            <w:tcW w:w="1902" w:type="pct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1858" w:type="pct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0.30 mL/min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1239" w:type="pct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CdS-8</w:t>
            </w:r>
          </w:p>
        </w:tc>
        <w:tc>
          <w:tcPr>
            <w:tcW w:w="1902" w:type="pct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1858" w:type="pct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0.40 mL/min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1239" w:type="pct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02" w:type="pct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58" w:type="pct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>
      <w:pPr>
        <w:widowControl/>
        <w:spacing w:line="360" w:lineRule="auto"/>
        <w:jc w:val="left"/>
        <w:rPr>
          <w:rFonts w:ascii="Times New Roman" w:hAnsi="Times New Roman" w:eastAsia="SimSun" w:cs="Times New Roman"/>
          <w:kern w:val="0"/>
          <w:sz w:val="24"/>
          <w:szCs w:val="24"/>
          <w14:ligatures w14:val="none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S2.</w:t>
      </w:r>
      <w:r>
        <w:rPr>
          <w:rFonts w:ascii="Times New Roman" w:hAnsi="Times New Roman" w:cs="Times New Roman"/>
          <w:sz w:val="24"/>
          <w:szCs w:val="24"/>
        </w:rPr>
        <w:t xml:space="preserve"> BET surface area of CdS with different S vacancy</w:t>
      </w:r>
    </w:p>
    <w:tbl>
      <w:tblPr>
        <w:tblStyle w:val="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8"/>
        <w:gridCol w:w="41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  <w:shd w:val="clear" w:color="auto" w:fill="DEEAF6" w:themeFill="accent5" w:themeFillTint="33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Samples</w:t>
            </w:r>
          </w:p>
        </w:tc>
        <w:tc>
          <w:tcPr>
            <w:tcW w:w="4148" w:type="dxa"/>
            <w:shd w:val="clear" w:color="auto" w:fill="DEEAF6" w:themeFill="accent5" w:themeFillTint="33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BET Surface Area (m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 xml:space="preserve"> g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CdS-6</w:t>
            </w:r>
          </w:p>
        </w:tc>
        <w:tc>
          <w:tcPr>
            <w:tcW w:w="4148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113.1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CdS-5</w:t>
            </w:r>
          </w:p>
        </w:tc>
        <w:tc>
          <w:tcPr>
            <w:tcW w:w="4148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133.7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CdS-4</w:t>
            </w:r>
          </w:p>
        </w:tc>
        <w:tc>
          <w:tcPr>
            <w:tcW w:w="4148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146.0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CdS-3</w:t>
            </w:r>
          </w:p>
        </w:tc>
        <w:tc>
          <w:tcPr>
            <w:tcW w:w="4148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145.6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CdS-2</w:t>
            </w:r>
          </w:p>
        </w:tc>
        <w:tc>
          <w:tcPr>
            <w:tcW w:w="4148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144.1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" w:hRule="atLeast"/>
        </w:trPr>
        <w:tc>
          <w:tcPr>
            <w:tcW w:w="4148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CdS-1</w:t>
            </w:r>
          </w:p>
        </w:tc>
        <w:tc>
          <w:tcPr>
            <w:tcW w:w="4148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147.3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" w:hRule="atLeast"/>
        </w:trPr>
        <w:tc>
          <w:tcPr>
            <w:tcW w:w="4148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148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S3.</w:t>
      </w:r>
      <w:r>
        <w:rPr>
          <w:rFonts w:ascii="Times New Roman" w:hAnsi="Times New Roman" w:cs="Times New Roman"/>
          <w:sz w:val="24"/>
          <w:szCs w:val="24"/>
        </w:rPr>
        <w:t xml:space="preserve"> The molar ratio of Cd to S in CdS</w:t>
      </w:r>
    </w:p>
    <w:tbl>
      <w:tblPr>
        <w:tblStyle w:val="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2"/>
        <w:gridCol w:w="2591"/>
        <w:gridCol w:w="284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2" w:type="dxa"/>
            <w:shd w:val="clear" w:color="auto" w:fill="DEEAF6" w:themeFill="accent5" w:themeFillTint="33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Cs w:val="21"/>
              </w:rPr>
              <w:t>Samples</w:t>
            </w:r>
          </w:p>
        </w:tc>
        <w:tc>
          <w:tcPr>
            <w:tcW w:w="2591" w:type="dxa"/>
            <w:shd w:val="clear" w:color="auto" w:fill="DEEAF6" w:themeFill="accent5" w:themeFillTint="33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CP-OES</w:t>
            </w:r>
          </w:p>
        </w:tc>
        <w:tc>
          <w:tcPr>
            <w:tcW w:w="2843" w:type="dxa"/>
            <w:shd w:val="clear" w:color="auto" w:fill="DEEAF6" w:themeFill="accent5" w:themeFillTint="33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XPS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2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CdS-6</w:t>
            </w:r>
          </w:p>
        </w:tc>
        <w:tc>
          <w:tcPr>
            <w:tcW w:w="2591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.98</w:t>
            </w:r>
          </w:p>
        </w:tc>
        <w:tc>
          <w:tcPr>
            <w:tcW w:w="2843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2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CdS-5</w:t>
            </w:r>
          </w:p>
        </w:tc>
        <w:tc>
          <w:tcPr>
            <w:tcW w:w="2591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.12</w:t>
            </w:r>
          </w:p>
        </w:tc>
        <w:tc>
          <w:tcPr>
            <w:tcW w:w="2843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2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CdS-4</w:t>
            </w:r>
          </w:p>
        </w:tc>
        <w:tc>
          <w:tcPr>
            <w:tcW w:w="2591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.20</w:t>
            </w:r>
          </w:p>
        </w:tc>
        <w:tc>
          <w:tcPr>
            <w:tcW w:w="2843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2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CdS-3</w:t>
            </w:r>
          </w:p>
        </w:tc>
        <w:tc>
          <w:tcPr>
            <w:tcW w:w="2591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.25</w:t>
            </w:r>
          </w:p>
        </w:tc>
        <w:tc>
          <w:tcPr>
            <w:tcW w:w="2843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2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CdS-2</w:t>
            </w:r>
          </w:p>
        </w:tc>
        <w:tc>
          <w:tcPr>
            <w:tcW w:w="2591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.32</w:t>
            </w:r>
          </w:p>
        </w:tc>
        <w:tc>
          <w:tcPr>
            <w:tcW w:w="2843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" w:hRule="atLeast"/>
        </w:trPr>
        <w:tc>
          <w:tcPr>
            <w:tcW w:w="2872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CdS-1</w:t>
            </w:r>
          </w:p>
        </w:tc>
        <w:tc>
          <w:tcPr>
            <w:tcW w:w="2591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.50</w:t>
            </w:r>
          </w:p>
        </w:tc>
        <w:tc>
          <w:tcPr>
            <w:tcW w:w="2843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.60</w:t>
            </w:r>
          </w:p>
        </w:tc>
      </w:tr>
    </w:tbl>
    <w:p>
      <w:pPr>
        <w:spacing w:line="360" w:lineRule="auto"/>
      </w:pPr>
    </w:p>
    <w:p>
      <w:pPr>
        <w:spacing w:line="360" w:lineRule="auto"/>
      </w:pPr>
      <w:r>
        <w:drawing>
          <wp:inline distT="0" distB="0" distL="0" distR="0">
            <wp:extent cx="5274310" cy="3107690"/>
            <wp:effectExtent l="0" t="0" r="2540" b="0"/>
            <wp:docPr id="847552324" name="图片 4" descr="许多照片放在一起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552324" name="图片 4" descr="许多照片放在一起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0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S1.</w:t>
      </w:r>
      <w:r>
        <w:rPr>
          <w:rFonts w:ascii="Times New Roman" w:hAnsi="Times New Roman" w:cs="Times New Roman"/>
          <w:sz w:val="24"/>
          <w:szCs w:val="24"/>
        </w:rPr>
        <w:t xml:space="preserve"> TEM images of </w:t>
      </w:r>
      <w:bookmarkStart w:id="0" w:name="_Hlk155111895"/>
      <w:r>
        <w:rPr>
          <w:rFonts w:ascii="Times New Roman" w:hAnsi="Times New Roman" w:cs="Times New Roman"/>
          <w:sz w:val="24"/>
          <w:szCs w:val="24"/>
        </w:rPr>
        <w:t xml:space="preserve">CdS with different </w:t>
      </w:r>
      <w:bookmarkEnd w:id="0"/>
      <w:r>
        <w:rPr>
          <w:rFonts w:ascii="Times New Roman" w:hAnsi="Times New Roman" w:cs="Times New Roman"/>
          <w:sz w:val="24"/>
          <w:szCs w:val="24"/>
        </w:rPr>
        <w:t>Cd:S molar ratio.</w:t>
      </w:r>
    </w:p>
    <w:p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spacing w:line="360" w:lineRule="auto"/>
        <w:jc w:val="center"/>
      </w:pPr>
      <w:r>
        <w:drawing>
          <wp:inline distT="0" distB="0" distL="0" distR="0">
            <wp:extent cx="3117850" cy="2484120"/>
            <wp:effectExtent l="0" t="0" r="6350" b="0"/>
            <wp:docPr id="7669886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98863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1785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S2.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adsorption-desorption isotherms for CdS with different Cd:S ratio.</w:t>
      </w:r>
    </w:p>
    <w:p>
      <w:pPr>
        <w:spacing w:line="360" w:lineRule="auto"/>
      </w:pPr>
    </w:p>
    <w:p>
      <w:pPr>
        <w:spacing w:line="360" w:lineRule="auto"/>
        <w:rPr>
          <w:rFonts w:ascii="Times New Roman" w:hAnsi="Times New Roman" w:cs="Times New Roman"/>
          <w:szCs w:val="21"/>
        </w:rPr>
      </w:pPr>
    </w:p>
    <w:p>
      <w:pPr>
        <w:widowControl/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drawing>
          <wp:inline distT="0" distB="0" distL="0" distR="0">
            <wp:extent cx="5274310" cy="2195195"/>
            <wp:effectExtent l="0" t="0" r="2540" b="0"/>
            <wp:docPr id="264117513" name="图片 5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117513" name="图片 5" descr="图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S3.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High-resolution XPS spectra of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Cd 3d,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S 2p for CdS with different sulfur vacancy content.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spacing w:line="360" w:lineRule="auto"/>
      </w:pPr>
      <w:r>
        <w:drawing>
          <wp:inline distT="0" distB="0" distL="0" distR="0">
            <wp:extent cx="5274310" cy="3559175"/>
            <wp:effectExtent l="0" t="0" r="2540" b="3175"/>
            <wp:docPr id="1078105726" name="图片 2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105726" name="图片 2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5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H NMR spectra of reaction mixture. Reaction conditions: 200 mg PLA, 10 mg CdS-3, 4 mL aqueous NH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25% solution, 16 mL deaerated water, 50 ℃, 4 h, 1 bar N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, visible light. DSS: 2,2-dimethyl-2-silapentane-5-sulfonic acid.</w:t>
      </w:r>
    </w:p>
    <w:p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489450" cy="2613660"/>
            <wp:effectExtent l="0" t="0" r="6350" b="0"/>
            <wp:docPr id="934714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71439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9450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S5.</w:t>
      </w:r>
      <w:r>
        <w:rPr>
          <w:rFonts w:ascii="Times New Roman" w:hAnsi="Times New Roman" w:cs="Times New Roman"/>
          <w:sz w:val="24"/>
          <w:szCs w:val="24"/>
        </w:rPr>
        <w:t xml:space="preserve"> Catalytic conversion of PLA to alanine at different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time (at 50 ℃) and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temperature (for 4 h). Reaction conditions: 200 mg PLA, 10 mg CdS-3, 4 mL aqueous NH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25% solution, 16 mL deaerated water, 1 bar N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, visible light.</w:t>
      </w:r>
    </w:p>
    <w:p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pStyle w:val="5"/>
        <w:spacing w:line="360" w:lineRule="auto"/>
        <w:jc w:val="center"/>
      </w:pPr>
      <w:r>
        <w:drawing>
          <wp:inline distT="0" distB="0" distL="0" distR="0">
            <wp:extent cx="5270500" cy="4653915"/>
            <wp:effectExtent l="0" t="0" r="6350" b="0"/>
            <wp:docPr id="18801908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190828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65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Figure S6.</w:t>
      </w:r>
      <w:r>
        <w:rPr>
          <w:rFonts w:ascii="Times New Roman" w:hAnsi="Times New Roman" w:cs="Times New Roman"/>
        </w:rPr>
        <w:t xml:space="preserve"> Mechanism study for the photocatalytic amination of lactic acid to alanine. </w:t>
      </w:r>
      <w:r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</w:rPr>
        <w:t xml:space="preserve"> Control experiments with different scavengers. Reaction conditions: scavengers, 10 mg CdS-3, 20 mmol lactic acid, 4 mL aqueous NH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 25% solution, 16 mL deaerated water, 50 °C, 4 h, 1 bar N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. C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8</w:t>
      </w:r>
      <w:r>
        <w:rPr>
          <w:rFonts w:ascii="Times New Roman" w:hAnsi="Times New Roman" w:cs="Times New Roman"/>
        </w:rPr>
        <w:t>O: isopropanol, C</w:t>
      </w:r>
      <w:r>
        <w:rPr>
          <w:rFonts w:ascii="Times New Roman" w:hAnsi="Times New Roman" w:cs="Times New Roman"/>
          <w:vertAlign w:val="subscript"/>
        </w:rPr>
        <w:t>6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5</w:t>
      </w:r>
      <w:r>
        <w:rPr>
          <w:rFonts w:ascii="Times New Roman" w:hAnsi="Times New Roman" w:cs="Times New Roman"/>
        </w:rPr>
        <w:t>NO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: nitrobenzene, DMPO: 5,5-dimethyl-1-pyrroline N-oxide. </w:t>
      </w:r>
      <w:r>
        <w:rPr>
          <w:rFonts w:ascii="Times New Roman" w:hAnsi="Times New Roman" w:cs="Times New Roman"/>
          <w:b/>
          <w:bCs/>
        </w:rPr>
        <w:t>b</w:t>
      </w:r>
      <w:r>
        <w:rPr>
          <w:rFonts w:ascii="Times New Roman" w:hAnsi="Times New Roman" w:cs="Times New Roman"/>
        </w:rPr>
        <w:t xml:space="preserve"> Reaction pathways for the photocatalytic amination of lactic acid and side reaction. </w:t>
      </w:r>
      <w:r>
        <w:rPr>
          <w:rFonts w:ascii="Times New Roman" w:hAnsi="Times New Roman" w:cs="Times New Roman"/>
          <w:b/>
          <w:bCs/>
        </w:rPr>
        <w:t>c</w:t>
      </w:r>
      <w:r>
        <w:rPr>
          <w:rFonts w:ascii="Times New Roman" w:hAnsi="Times New Roman" w:cs="Times New Roman"/>
        </w:rPr>
        <w:t xml:space="preserve"> In situ ESR spectra for CdS in a mixture of lactic acid, ammonia and the spin-trapping agent (DMPO) with or without visible-light irradiation.</w:t>
      </w:r>
    </w:p>
    <w:p>
      <w:pPr>
        <w:widowControl/>
        <w:spacing w:line="360" w:lineRule="auto"/>
        <w:jc w:val="left"/>
        <w:rPr>
          <w:rFonts w:ascii="Times New Roman" w:hAnsi="Times New Roman" w:eastAsia="SimSu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</w:rPr>
        <w:br w:type="page"/>
      </w:r>
    </w:p>
    <w:p>
      <w:pPr>
        <w:pStyle w:val="5"/>
        <w:spacing w:line="360" w:lineRule="auto"/>
        <w:jc w:val="both"/>
        <w:rPr>
          <w:rFonts w:ascii="Times New Roman" w:hAnsi="Times New Roman" w:cs="Times New Roman"/>
        </w:rPr>
      </w:pPr>
    </w:p>
    <w:p>
      <w:pPr>
        <w:pStyle w:val="5"/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>
      <w:pPr>
        <w:pStyle w:val="5"/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drawing>
          <wp:inline distT="0" distB="0" distL="0" distR="0">
            <wp:extent cx="2945765" cy="2463800"/>
            <wp:effectExtent l="0" t="0" r="6985" b="0"/>
            <wp:docPr id="64135512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35512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45765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Figure S7.</w:t>
      </w:r>
      <w:r>
        <w:rPr>
          <w:rFonts w:ascii="Times New Roman" w:hAnsi="Times New Roman" w:cs="Times New Roman"/>
        </w:rPr>
        <w:t xml:space="preserve"> FT-IR of lactic acid and the CdS NCs mixed with lactic acid. LA: lactic acid.</w:t>
      </w:r>
    </w:p>
    <w:p>
      <w:pPr>
        <w:widowControl/>
        <w:spacing w:line="360" w:lineRule="auto"/>
        <w:jc w:val="left"/>
        <w:rPr>
          <w:rFonts w:ascii="Times New Roman" w:hAnsi="Times New Roman" w:eastAsia="SimSu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</w:rPr>
        <w:br w:type="page"/>
      </w:r>
    </w:p>
    <w:p>
      <w:pPr>
        <w:pStyle w:val="5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2352040" cy="2202180"/>
            <wp:effectExtent l="0" t="0" r="0" b="7620"/>
            <wp:docPr id="185506195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061954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5204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Fig. S8.</w:t>
      </w:r>
      <w:r>
        <w:rPr>
          <w:rFonts w:ascii="Times New Roman" w:hAnsi="Times New Roman" w:cs="Times New Roman"/>
        </w:rPr>
        <w:t xml:space="preserve"> Catalytic performances with pyruvic acid as substrates over CdS. Reaction conditions: 1.76 g pyruvic acid, 10 mg catalyst, 4 mL aqueous NH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 25% solution, 16 mL deaerated water, 50 ℃, 4 h, 1 bar N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, visible light.</w:t>
      </w:r>
    </w:p>
    <w:p>
      <w:pPr>
        <w:widowControl/>
        <w:jc w:val="left"/>
        <w:rPr>
          <w:rFonts w:ascii="Times New Roman" w:hAnsi="Times New Roman" w:eastAsia="SimSu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</w:rPr>
        <w:br w:type="page"/>
      </w: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657600" cy="2735580"/>
            <wp:effectExtent l="0" t="0" r="0" b="7620"/>
            <wp:docPr id="5725094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509414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736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igure S9. </w:t>
      </w:r>
      <w:r>
        <w:rPr>
          <w:rFonts w:hint="eastAsia" w:ascii="Times New Roman" w:hAnsi="Times New Roman" w:cs="Times New Roman"/>
          <w:sz w:val="24"/>
          <w:szCs w:val="24"/>
        </w:rPr>
        <w:t>TEM</w:t>
      </w:r>
      <w:r>
        <w:rPr>
          <w:rFonts w:ascii="Times New Roman" w:hAnsi="Times New Roman" w:cs="Times New Roman"/>
          <w:sz w:val="24"/>
          <w:szCs w:val="24"/>
        </w:rPr>
        <w:t xml:space="preserve"> image of CdS-3 after five cycles. Reaction conditions: 200 mg PLA, 10 mg CdS-3, 4 mL aqueous NH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25% solution, 16 mL deaerated water, 50 ℃, 4 h, 1 bar N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, visible light.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DengXian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</w:rPr>
      <w:id w:val="1861856023"/>
      <w:docPartObj>
        <w:docPartGallery w:val="AutoText"/>
      </w:docPartObj>
    </w:sdtPr>
    <w:sdtEndPr>
      <w:rPr>
        <w:rFonts w:ascii="Times New Roman" w:hAnsi="Times New Roman" w:cs="Times New Roman"/>
      </w:rPr>
    </w:sdtEndPr>
    <w:sdtContent>
      <w:p>
        <w:pPr>
          <w:pStyle w:val="3"/>
          <w:jc w:val="right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t>S</w:t>
        </w: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liOWM2MzNlZjk4NTNhNjlmZThmZjcxNGE1Y2Q0ZmIifQ=="/>
  </w:docVars>
  <w:rsids>
    <w:rsidRoot w:val="001A079C"/>
    <w:rsid w:val="000066E8"/>
    <w:rsid w:val="00011C98"/>
    <w:rsid w:val="0004695B"/>
    <w:rsid w:val="0005097C"/>
    <w:rsid w:val="00050D47"/>
    <w:rsid w:val="000B017B"/>
    <w:rsid w:val="000B0507"/>
    <w:rsid w:val="000C6971"/>
    <w:rsid w:val="000F71CC"/>
    <w:rsid w:val="001106B7"/>
    <w:rsid w:val="00113924"/>
    <w:rsid w:val="00114274"/>
    <w:rsid w:val="00117D29"/>
    <w:rsid w:val="00117FD6"/>
    <w:rsid w:val="001321B3"/>
    <w:rsid w:val="001762A3"/>
    <w:rsid w:val="00194DDD"/>
    <w:rsid w:val="001A079C"/>
    <w:rsid w:val="001A0F38"/>
    <w:rsid w:val="001B2014"/>
    <w:rsid w:val="001C4F93"/>
    <w:rsid w:val="00236F36"/>
    <w:rsid w:val="00247DA2"/>
    <w:rsid w:val="00297152"/>
    <w:rsid w:val="002E0F21"/>
    <w:rsid w:val="002E4D86"/>
    <w:rsid w:val="002F59A6"/>
    <w:rsid w:val="00310E23"/>
    <w:rsid w:val="0033375A"/>
    <w:rsid w:val="0036390E"/>
    <w:rsid w:val="00372D5F"/>
    <w:rsid w:val="00382B51"/>
    <w:rsid w:val="00384C09"/>
    <w:rsid w:val="003A0FFC"/>
    <w:rsid w:val="003C0CA0"/>
    <w:rsid w:val="003F09A0"/>
    <w:rsid w:val="003F3C2D"/>
    <w:rsid w:val="003F44FE"/>
    <w:rsid w:val="00410914"/>
    <w:rsid w:val="00452645"/>
    <w:rsid w:val="00492503"/>
    <w:rsid w:val="00493CA1"/>
    <w:rsid w:val="004B2902"/>
    <w:rsid w:val="004C2531"/>
    <w:rsid w:val="004D50D3"/>
    <w:rsid w:val="00507405"/>
    <w:rsid w:val="00515FE1"/>
    <w:rsid w:val="005618AE"/>
    <w:rsid w:val="005A0CAC"/>
    <w:rsid w:val="005B1D5B"/>
    <w:rsid w:val="005C6C22"/>
    <w:rsid w:val="005D5381"/>
    <w:rsid w:val="005E4480"/>
    <w:rsid w:val="005F15A0"/>
    <w:rsid w:val="00600D3C"/>
    <w:rsid w:val="006048FC"/>
    <w:rsid w:val="0062199B"/>
    <w:rsid w:val="006236B4"/>
    <w:rsid w:val="006916C2"/>
    <w:rsid w:val="006D229F"/>
    <w:rsid w:val="0070656D"/>
    <w:rsid w:val="00724A8C"/>
    <w:rsid w:val="00777F78"/>
    <w:rsid w:val="007A3866"/>
    <w:rsid w:val="007C2FBF"/>
    <w:rsid w:val="007D089A"/>
    <w:rsid w:val="007F154C"/>
    <w:rsid w:val="0080786D"/>
    <w:rsid w:val="00873307"/>
    <w:rsid w:val="00892772"/>
    <w:rsid w:val="00892DF7"/>
    <w:rsid w:val="008C16B4"/>
    <w:rsid w:val="008C1B33"/>
    <w:rsid w:val="008D4DA7"/>
    <w:rsid w:val="008D5D34"/>
    <w:rsid w:val="008E1AA2"/>
    <w:rsid w:val="008F648F"/>
    <w:rsid w:val="00903BE0"/>
    <w:rsid w:val="00915EE3"/>
    <w:rsid w:val="0093122F"/>
    <w:rsid w:val="00936C98"/>
    <w:rsid w:val="00943688"/>
    <w:rsid w:val="0096421E"/>
    <w:rsid w:val="009C3626"/>
    <w:rsid w:val="00A34CEF"/>
    <w:rsid w:val="00A46818"/>
    <w:rsid w:val="00A55417"/>
    <w:rsid w:val="00AC39A8"/>
    <w:rsid w:val="00AD2DA8"/>
    <w:rsid w:val="00AE0FD1"/>
    <w:rsid w:val="00B45C3C"/>
    <w:rsid w:val="00B57A98"/>
    <w:rsid w:val="00B64BCA"/>
    <w:rsid w:val="00B70144"/>
    <w:rsid w:val="00B747F9"/>
    <w:rsid w:val="00B841A8"/>
    <w:rsid w:val="00B856A1"/>
    <w:rsid w:val="00BA01F1"/>
    <w:rsid w:val="00BB5F63"/>
    <w:rsid w:val="00BC3984"/>
    <w:rsid w:val="00BC7030"/>
    <w:rsid w:val="00BE069E"/>
    <w:rsid w:val="00C10D64"/>
    <w:rsid w:val="00C11D4D"/>
    <w:rsid w:val="00C217D9"/>
    <w:rsid w:val="00C371C7"/>
    <w:rsid w:val="00C55F31"/>
    <w:rsid w:val="00C96DA5"/>
    <w:rsid w:val="00CA48E2"/>
    <w:rsid w:val="00CA66ED"/>
    <w:rsid w:val="00CC2BE2"/>
    <w:rsid w:val="00CD32BA"/>
    <w:rsid w:val="00D56062"/>
    <w:rsid w:val="00DC66FD"/>
    <w:rsid w:val="00E04466"/>
    <w:rsid w:val="00E23440"/>
    <w:rsid w:val="00E76DE5"/>
    <w:rsid w:val="00EA1293"/>
    <w:rsid w:val="00EB681B"/>
    <w:rsid w:val="00EB6E65"/>
    <w:rsid w:val="00EF0D61"/>
    <w:rsid w:val="00EF1229"/>
    <w:rsid w:val="00F26F98"/>
    <w:rsid w:val="00F62B79"/>
    <w:rsid w:val="00F74ADB"/>
    <w:rsid w:val="00FA3E40"/>
    <w:rsid w:val="00FD0D20"/>
    <w:rsid w:val="116974A8"/>
    <w:rsid w:val="30391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autoRedefine/>
    <w:unhideWhenUsed/>
    <w:qFormat/>
    <w:uiPriority w:val="99"/>
    <w:rPr>
      <w:sz w:val="20"/>
      <w:szCs w:val="20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SimSun" w:hAnsi="SimSun" w:eastAsia="SimSun" w:cs="SimSun"/>
      <w:kern w:val="0"/>
      <w:sz w:val="24"/>
      <w:szCs w:val="24"/>
      <w14:ligatures w14:val="none"/>
    </w:rPr>
  </w:style>
  <w:style w:type="paragraph" w:styleId="6">
    <w:name w:val="annotation subject"/>
    <w:basedOn w:val="2"/>
    <w:next w:val="2"/>
    <w:link w:val="15"/>
    <w:autoRedefine/>
    <w:semiHidden/>
    <w:unhideWhenUsed/>
    <w:uiPriority w:val="99"/>
    <w:rPr>
      <w:b/>
      <w:bCs/>
    </w:rPr>
  </w:style>
  <w:style w:type="table" w:styleId="8">
    <w:name w:val="Table Grid"/>
    <w:basedOn w:val="7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9"/>
    <w:autoRedefine/>
    <w:semiHidden/>
    <w:unhideWhenUsed/>
    <w:qFormat/>
    <w:uiPriority w:val="99"/>
    <w:rPr>
      <w:sz w:val="16"/>
      <w:szCs w:val="16"/>
    </w:rPr>
  </w:style>
  <w:style w:type="character" w:customStyle="1" w:styleId="12">
    <w:name w:val="Header Char"/>
    <w:basedOn w:val="9"/>
    <w:link w:val="4"/>
    <w:autoRedefine/>
    <w:qFormat/>
    <w:uiPriority w:val="99"/>
    <w:rPr>
      <w:sz w:val="18"/>
      <w:szCs w:val="18"/>
    </w:rPr>
  </w:style>
  <w:style w:type="character" w:customStyle="1" w:styleId="13">
    <w:name w:val="Footer Char"/>
    <w:basedOn w:val="9"/>
    <w:link w:val="3"/>
    <w:autoRedefine/>
    <w:qFormat/>
    <w:uiPriority w:val="99"/>
    <w:rPr>
      <w:sz w:val="18"/>
      <w:szCs w:val="18"/>
    </w:rPr>
  </w:style>
  <w:style w:type="character" w:customStyle="1" w:styleId="14">
    <w:name w:val="Comment Text Char"/>
    <w:basedOn w:val="9"/>
    <w:link w:val="2"/>
    <w:autoRedefine/>
    <w:qFormat/>
    <w:uiPriority w:val="99"/>
    <w:rPr>
      <w:sz w:val="20"/>
      <w:szCs w:val="20"/>
    </w:rPr>
  </w:style>
  <w:style w:type="character" w:customStyle="1" w:styleId="15">
    <w:name w:val="Comment Subject Char"/>
    <w:basedOn w:val="14"/>
    <w:link w:val="6"/>
    <w:autoRedefine/>
    <w:semiHidden/>
    <w:qFormat/>
    <w:uiPriority w:val="99"/>
    <w:rPr>
      <w:b/>
      <w:bCs/>
      <w:sz w:val="20"/>
      <w:szCs w:val="20"/>
    </w:rPr>
  </w:style>
  <w:style w:type="character" w:customStyle="1" w:styleId="16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7">
    <w:name w:val="Revision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tiff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tiff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9.jpeg"/><Relationship Id="rId12" Type="http://schemas.openxmlformats.org/officeDocument/2006/relationships/image" Target="media/image8.tiff"/><Relationship Id="rId11" Type="http://schemas.openxmlformats.org/officeDocument/2006/relationships/image" Target="media/image7.tiff"/><Relationship Id="rId10" Type="http://schemas.openxmlformats.org/officeDocument/2006/relationships/image" Target="media/image6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EE85A-009E-45EA-8D6A-B2B00CA3B5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498</Words>
  <Characters>2841</Characters>
  <Lines>23</Lines>
  <Paragraphs>6</Paragraphs>
  <TotalTime>0</TotalTime>
  <ScaleCrop>false</ScaleCrop>
  <LinksUpToDate>false</LinksUpToDate>
  <CharactersWithSpaces>3333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2023-10-26T07:28:00Z</dcterms:created>
  <dc:creator>悦 吴</dc:creator>
  <cp:lastModifiedBy>颜宁-NUS</cp:lastModifiedBy>
  <dcterms:modified xsi:type="dcterms:W3CDTF">2024-04-11T12:30:53Z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CC0932B4C55E41BDA58EF0D11A897AC8_12</vt:lpwstr>
  </property>
</Properties>
</file>