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63" w:rsidRPr="001A341C" w:rsidRDefault="00FF1263" w:rsidP="00FF126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41C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:rsidR="00FF1263" w:rsidRPr="00630C13" w:rsidRDefault="00FF1263" w:rsidP="00FF1263">
      <w:pPr>
        <w:spacing w:line="480" w:lineRule="auto"/>
        <w:jc w:val="center"/>
        <w:rPr>
          <w:rFonts w:ascii="Times New Roman" w:hAnsi="Times New Roman" w:cs="Times New Roman"/>
          <w:b/>
          <w:szCs w:val="20"/>
        </w:rPr>
      </w:pPr>
      <w:r w:rsidRPr="00670C46">
        <w:rPr>
          <w:rFonts w:ascii="Times New Roman" w:hAnsi="Times New Roman" w:cs="Times New Roman"/>
          <w:sz w:val="34"/>
          <w:szCs w:val="34"/>
        </w:rPr>
        <w:t>Biodegradation of ethylene vinyl acetate</w:t>
      </w:r>
      <w:r w:rsidRPr="00CE36B3">
        <w:rPr>
          <w:rFonts w:ascii="Times New Roman" w:hAnsi="Times New Roman" w:cs="Times New Roman"/>
          <w:color w:val="FF0000"/>
          <w:sz w:val="34"/>
          <w:szCs w:val="34"/>
        </w:rPr>
        <w:t xml:space="preserve"> </w:t>
      </w:r>
      <w:r w:rsidRPr="00670C46">
        <w:rPr>
          <w:rFonts w:ascii="Times New Roman" w:hAnsi="Times New Roman" w:cs="Times New Roman"/>
          <w:sz w:val="34"/>
          <w:szCs w:val="34"/>
        </w:rPr>
        <w:t xml:space="preserve">using </w:t>
      </w:r>
      <w:proofErr w:type="spellStart"/>
      <w:r w:rsidRPr="00670C46">
        <w:rPr>
          <w:rFonts w:ascii="Times New Roman" w:hAnsi="Times New Roman" w:cs="Times New Roman"/>
          <w:i/>
          <w:iCs/>
          <w:sz w:val="34"/>
          <w:szCs w:val="34"/>
        </w:rPr>
        <w:t>Klebsiella</w:t>
      </w:r>
      <w:proofErr w:type="spellEnd"/>
      <w:r w:rsidRPr="00670C46">
        <w:rPr>
          <w:rFonts w:ascii="Times New Roman" w:hAnsi="Times New Roman" w:cs="Times New Roman"/>
          <w:i/>
          <w:iCs/>
          <w:sz w:val="34"/>
          <w:szCs w:val="34"/>
        </w:rPr>
        <w:t xml:space="preserve"> </w:t>
      </w:r>
      <w:proofErr w:type="spellStart"/>
      <w:r w:rsidRPr="00670C46">
        <w:rPr>
          <w:rFonts w:ascii="Times New Roman" w:hAnsi="Times New Roman" w:cs="Times New Roman"/>
          <w:i/>
          <w:iCs/>
          <w:sz w:val="34"/>
          <w:szCs w:val="34"/>
        </w:rPr>
        <w:t>aerogenes</w:t>
      </w:r>
      <w:proofErr w:type="spellEnd"/>
      <w:r w:rsidRPr="00670C46">
        <w:rPr>
          <w:rFonts w:ascii="Times New Roman" w:hAnsi="Times New Roman" w:cs="Times New Roman"/>
          <w:i/>
          <w:iCs/>
          <w:sz w:val="34"/>
          <w:szCs w:val="34"/>
        </w:rPr>
        <w:t xml:space="preserve"> </w:t>
      </w:r>
      <w:r w:rsidRPr="00670C46">
        <w:rPr>
          <w:rFonts w:ascii="Times New Roman" w:hAnsi="Times New Roman" w:cs="Times New Roman"/>
          <w:iCs/>
          <w:sz w:val="34"/>
          <w:szCs w:val="34"/>
        </w:rPr>
        <w:t xml:space="preserve">isolated from </w:t>
      </w:r>
      <w:r w:rsidRPr="00630C13">
        <w:rPr>
          <w:rFonts w:ascii="Times New Roman" w:hAnsi="Times New Roman" w:cs="Times New Roman"/>
          <w:iCs/>
          <w:sz w:val="34"/>
          <w:szCs w:val="34"/>
        </w:rPr>
        <w:t>Effective Microorganisms</w:t>
      </w:r>
    </w:p>
    <w:p w:rsidR="00913789" w:rsidRPr="00670C46" w:rsidRDefault="00913789" w:rsidP="00913789">
      <w:pPr>
        <w:spacing w:line="480" w:lineRule="auto"/>
        <w:jc w:val="center"/>
        <w:rPr>
          <w:rFonts w:ascii="Times New Roman" w:hAnsi="Times New Roman" w:cs="Times New Roman"/>
          <w:sz w:val="24"/>
          <w:szCs w:val="20"/>
        </w:rPr>
      </w:pPr>
      <w:proofErr w:type="spellStart"/>
      <w:r w:rsidRPr="00670C46">
        <w:rPr>
          <w:rFonts w:ascii="Times New Roman" w:hAnsi="Times New Roman" w:cs="Times New Roman"/>
          <w:sz w:val="24"/>
          <w:szCs w:val="20"/>
        </w:rPr>
        <w:t>Amarbayasgalan</w:t>
      </w:r>
      <w:proofErr w:type="spellEnd"/>
      <w:r w:rsidRPr="00670C46">
        <w:rPr>
          <w:rFonts w:ascii="Times New Roman" w:hAnsi="Times New Roman" w:cs="Times New Roman"/>
          <w:sz w:val="24"/>
          <w:szCs w:val="20"/>
        </w:rPr>
        <w:t xml:space="preserve"> Maidarjav</w:t>
      </w:r>
      <w:r w:rsidRPr="00670C46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670C46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670C46">
        <w:rPr>
          <w:rFonts w:ascii="Times New Roman" w:hAnsi="Times New Roman" w:cs="Times New Roman"/>
          <w:sz w:val="24"/>
          <w:szCs w:val="20"/>
        </w:rPr>
        <w:t>Indra</w:t>
      </w:r>
      <w:proofErr w:type="spellEnd"/>
      <w:r w:rsidRPr="00670C46">
        <w:rPr>
          <w:rFonts w:ascii="Times New Roman" w:hAnsi="Times New Roman" w:cs="Times New Roman"/>
          <w:sz w:val="24"/>
          <w:szCs w:val="20"/>
        </w:rPr>
        <w:t xml:space="preserve"> Nyamjav</w:t>
      </w:r>
      <w:r w:rsidRPr="00670C46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670C46">
        <w:rPr>
          <w:rFonts w:ascii="Times New Roman" w:hAnsi="Times New Roman" w:cs="Times New Roman"/>
          <w:sz w:val="24"/>
          <w:szCs w:val="20"/>
        </w:rPr>
        <w:t xml:space="preserve">, </w:t>
      </w:r>
      <w:r w:rsidRPr="00A319BC">
        <w:rPr>
          <w:rFonts w:ascii="Times New Roman" w:hAnsi="Times New Roman" w:cs="Times New Roman"/>
          <w:sz w:val="24"/>
          <w:szCs w:val="20"/>
        </w:rPr>
        <w:t>Hong Rae Kim</w:t>
      </w:r>
      <w:r w:rsidRPr="00A319BC">
        <w:rPr>
          <w:rFonts w:ascii="Times New Roman" w:hAnsi="Times New Roman" w:cs="Times New Roman" w:hint="eastAsia"/>
          <w:sz w:val="24"/>
          <w:szCs w:val="20"/>
          <w:vertAlign w:val="superscript"/>
        </w:rPr>
        <w:t>2</w:t>
      </w:r>
      <w:r w:rsidRPr="00A319BC">
        <w:rPr>
          <w:rFonts w:ascii="Times New Roman" w:hAnsi="Times New Roman" w:cs="Times New Roman"/>
          <w:sz w:val="24"/>
          <w:szCs w:val="20"/>
        </w:rPr>
        <w:t>, Dong-</w:t>
      </w:r>
      <w:proofErr w:type="spellStart"/>
      <w:r w:rsidRPr="00A319BC">
        <w:rPr>
          <w:rFonts w:ascii="Times New Roman" w:hAnsi="Times New Roman" w:cs="Times New Roman"/>
          <w:sz w:val="24"/>
          <w:szCs w:val="20"/>
        </w:rPr>
        <w:t>Eun</w:t>
      </w:r>
      <w:proofErr w:type="spellEnd"/>
      <w:r w:rsidRPr="00A319BC">
        <w:rPr>
          <w:rFonts w:ascii="Times New Roman" w:hAnsi="Times New Roman" w:cs="Times New Roman"/>
          <w:sz w:val="24"/>
          <w:szCs w:val="20"/>
        </w:rPr>
        <w:t xml:space="preserve"> Suh</w:t>
      </w:r>
      <w:r w:rsidRPr="00A319BC">
        <w:rPr>
          <w:rFonts w:ascii="Times New Roman" w:hAnsi="Times New Roman" w:cs="Times New Roman" w:hint="eastAsia"/>
          <w:sz w:val="24"/>
          <w:szCs w:val="20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0"/>
        </w:rPr>
        <w:t xml:space="preserve">, </w:t>
      </w:r>
      <w:proofErr w:type="spellStart"/>
      <w:r w:rsidRPr="00670C46">
        <w:rPr>
          <w:rFonts w:ascii="Times New Roman" w:hAnsi="Times New Roman" w:cs="Times New Roman"/>
          <w:sz w:val="24"/>
          <w:szCs w:val="20"/>
        </w:rPr>
        <w:t>Sukkyoo</w:t>
      </w:r>
      <w:proofErr w:type="spellEnd"/>
      <w:r w:rsidRPr="00670C46">
        <w:rPr>
          <w:rFonts w:ascii="Times New Roman" w:hAnsi="Times New Roman" w:cs="Times New Roman"/>
          <w:sz w:val="24"/>
          <w:szCs w:val="20"/>
        </w:rPr>
        <w:t xml:space="preserve"> Lee</w:t>
      </w:r>
      <w:r w:rsidRPr="00670C46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>
        <w:rPr>
          <w:rFonts w:ascii="Times New Roman" w:hAnsi="Times New Roman" w:cs="Times New Roman"/>
          <w:sz w:val="30"/>
          <w:szCs w:val="30"/>
          <w:vertAlign w:val="superscript"/>
        </w:rPr>
        <w:t xml:space="preserve">* </w:t>
      </w:r>
    </w:p>
    <w:p w:rsidR="00913789" w:rsidRPr="00025B58" w:rsidRDefault="00913789" w:rsidP="00913789">
      <w:pPr>
        <w:adjustRightInd w:val="0"/>
        <w:spacing w:after="0" w:line="480" w:lineRule="auto"/>
        <w:rPr>
          <w:rFonts w:ascii="Times" w:hAnsi="Times" w:cs="Times"/>
          <w:sz w:val="24"/>
          <w:szCs w:val="24"/>
        </w:rPr>
      </w:pPr>
      <w:r w:rsidRPr="00025B58">
        <w:rPr>
          <w:rFonts w:ascii="Times" w:hAnsi="Times" w:cs="Times"/>
          <w:sz w:val="24"/>
          <w:szCs w:val="24"/>
          <w:vertAlign w:val="superscript"/>
        </w:rPr>
        <w:t>1</w:t>
      </w:r>
      <w:r w:rsidRPr="00025B58">
        <w:rPr>
          <w:rFonts w:ascii="Times" w:hAnsi="Times" w:cs="Times"/>
          <w:sz w:val="24"/>
          <w:szCs w:val="24"/>
        </w:rPr>
        <w:t xml:space="preserve">Department of Brain Sciences, Graduate School, Daegu </w:t>
      </w:r>
      <w:proofErr w:type="spellStart"/>
      <w:r w:rsidRPr="00025B58">
        <w:rPr>
          <w:rFonts w:ascii="Times" w:hAnsi="Times" w:cs="Times"/>
          <w:sz w:val="24"/>
          <w:szCs w:val="24"/>
        </w:rPr>
        <w:t>Gyeongbuk</w:t>
      </w:r>
      <w:proofErr w:type="spellEnd"/>
      <w:r w:rsidRPr="00025B58">
        <w:rPr>
          <w:rFonts w:ascii="Times" w:hAnsi="Times" w:cs="Times"/>
          <w:sz w:val="24"/>
          <w:szCs w:val="24"/>
        </w:rPr>
        <w:t xml:space="preserve"> Institute of Science and Technology (DGIST), Daegu 42988, Republic of Korea</w:t>
      </w:r>
    </w:p>
    <w:p w:rsidR="00913789" w:rsidRPr="00025B58" w:rsidRDefault="00913789" w:rsidP="00913789">
      <w:pPr>
        <w:adjustRightInd w:val="0"/>
        <w:spacing w:after="0" w:line="48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 w:hint="eastAsia"/>
          <w:sz w:val="24"/>
          <w:szCs w:val="24"/>
          <w:vertAlign w:val="superscript"/>
        </w:rPr>
        <w:t>2</w:t>
      </w:r>
      <w:r>
        <w:rPr>
          <w:rFonts w:ascii="Times" w:hAnsi="Times" w:cs="Times"/>
          <w:sz w:val="24"/>
          <w:szCs w:val="24"/>
        </w:rPr>
        <w:t xml:space="preserve">Department of Research and Development, </w:t>
      </w:r>
      <w:proofErr w:type="spellStart"/>
      <w:r>
        <w:rPr>
          <w:rFonts w:ascii="Times" w:hAnsi="Times" w:cs="Times"/>
          <w:sz w:val="24"/>
          <w:szCs w:val="24"/>
        </w:rPr>
        <w:t>Repla</w:t>
      </w:r>
      <w:proofErr w:type="spellEnd"/>
      <w:r>
        <w:rPr>
          <w:rFonts w:ascii="Times" w:hAnsi="Times" w:cs="Times"/>
          <w:sz w:val="24"/>
          <w:szCs w:val="24"/>
        </w:rPr>
        <w:t xml:space="preserve"> Inc., Suwon 16679, </w:t>
      </w:r>
      <w:r w:rsidRPr="00025B58">
        <w:rPr>
          <w:rFonts w:ascii="Times" w:hAnsi="Times" w:cs="Times"/>
          <w:sz w:val="24"/>
          <w:szCs w:val="24"/>
        </w:rPr>
        <w:t>Republic of Korea</w:t>
      </w:r>
    </w:p>
    <w:p w:rsidR="00913789" w:rsidRPr="00A319BC" w:rsidRDefault="00913789" w:rsidP="00913789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bookmarkStart w:id="0" w:name="_GoBack"/>
      <w:bookmarkEnd w:id="0"/>
    </w:p>
    <w:p w:rsidR="00FF1263" w:rsidRPr="00670C46" w:rsidRDefault="00913789" w:rsidP="00913789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r w:rsidRPr="00670C46">
        <w:rPr>
          <w:rFonts w:ascii="Times New Roman" w:hAnsi="Times New Roman" w:cs="Times New Roman"/>
          <w:szCs w:val="20"/>
        </w:rPr>
        <w:t>*Corresponding author(s)</w:t>
      </w:r>
      <w:r>
        <w:rPr>
          <w:rFonts w:ascii="Times New Roman" w:hAnsi="Times New Roman" w:cs="Times New Roman"/>
          <w:szCs w:val="20"/>
        </w:rPr>
        <w:t xml:space="preserve">. E-mail(s): </w:t>
      </w:r>
      <w:r w:rsidRPr="00670C46">
        <w:rPr>
          <w:rFonts w:ascii="Times New Roman" w:hAnsi="Times New Roman" w:cs="Times New Roman"/>
          <w:szCs w:val="20"/>
        </w:rPr>
        <w:t>slee2012@dgist.ac.kr</w:t>
      </w:r>
    </w:p>
    <w:p w:rsidR="00565611" w:rsidRDefault="00565611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F1263" w:rsidRPr="00F76833" w:rsidRDefault="00FF1263" w:rsidP="00FF12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8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Table </w:t>
      </w:r>
      <w:r w:rsidR="00FE4CE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F768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 Elemental changes on surfaces of controls and treated EVA samples.</w:t>
      </w:r>
    </w:p>
    <w:tbl>
      <w:tblPr>
        <w:tblStyle w:val="PlainTable2"/>
        <w:tblW w:w="8640" w:type="dxa"/>
        <w:jc w:val="center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</w:tblGrid>
      <w:tr w:rsidR="00FF1263" w:rsidRPr="00F76833" w:rsidTr="00896F09">
        <w:trPr>
          <w:trHeight w:val="552"/>
          <w:jc w:val="center"/>
        </w:trPr>
        <w:tc>
          <w:tcPr>
            <w:tcW w:w="2160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Element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Untreated control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Treated control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K. </w:t>
            </w:r>
            <w:proofErr w:type="spellStart"/>
            <w:r w:rsidRPr="00F7683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aerogenes</w:t>
            </w:r>
            <w:proofErr w:type="spellEnd"/>
          </w:p>
        </w:tc>
      </w:tr>
      <w:tr w:rsidR="00FF1263" w:rsidRPr="00F76833" w:rsidTr="00896F09">
        <w:trPr>
          <w:trHeight w:val="552"/>
          <w:jc w:val="center"/>
        </w:trPr>
        <w:tc>
          <w:tcPr>
            <w:tcW w:w="2160" w:type="dxa"/>
            <w:vMerge/>
            <w:tcBorders>
              <w:bottom w:val="single" w:sz="8" w:space="0" w:color="auto"/>
            </w:tcBorders>
            <w:vAlign w:val="center"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Wt</w:t>
            </w:r>
            <w:proofErr w:type="spellEnd"/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(%)</w:t>
            </w:r>
          </w:p>
        </w:tc>
      </w:tr>
      <w:tr w:rsidR="00FF1263" w:rsidRPr="00F76833" w:rsidTr="00896F09">
        <w:trPr>
          <w:trHeight w:val="552"/>
          <w:jc w:val="center"/>
        </w:trPr>
        <w:tc>
          <w:tcPr>
            <w:tcW w:w="216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216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96.4±0.32</w:t>
            </w:r>
          </w:p>
        </w:tc>
        <w:tc>
          <w:tcPr>
            <w:tcW w:w="216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96.63±0.37</w:t>
            </w:r>
          </w:p>
        </w:tc>
        <w:tc>
          <w:tcPr>
            <w:tcW w:w="216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91.79±0.54*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FF1263" w:rsidRPr="00F76833" w:rsidTr="00896F09">
        <w:trPr>
          <w:trHeight w:val="552"/>
          <w:jc w:val="center"/>
        </w:trPr>
        <w:tc>
          <w:tcPr>
            <w:tcW w:w="2160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2160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3.61±0.32</w:t>
            </w:r>
          </w:p>
        </w:tc>
        <w:tc>
          <w:tcPr>
            <w:tcW w:w="2160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3.38±0.37</w:t>
            </w:r>
          </w:p>
        </w:tc>
        <w:tc>
          <w:tcPr>
            <w:tcW w:w="2160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FF1263" w:rsidRPr="00F76833" w:rsidRDefault="00FF1263" w:rsidP="00896F0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768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8.22±0.54*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</w:tbl>
    <w:p w:rsidR="00FF1263" w:rsidRPr="00F7683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68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Mean value and standard deviation (±SD),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n=2, </w:t>
      </w:r>
      <w:r w:rsidRPr="00F76833">
        <w:rPr>
          <w:rFonts w:ascii="Times New Roman" w:hAnsi="Times New Roman" w:cs="Times New Roman"/>
          <w:sz w:val="24"/>
          <w:szCs w:val="24"/>
        </w:rPr>
        <w:t xml:space="preserve">* </w:t>
      </w:r>
      <w:r w:rsidRPr="00C06136">
        <w:rPr>
          <w:rFonts w:ascii="Times New Roman" w:hAnsi="Times New Roman" w:cs="Times New Roman"/>
          <w:i/>
          <w:sz w:val="24"/>
          <w:szCs w:val="24"/>
        </w:rPr>
        <w:t>p</w:t>
      </w:r>
      <w:r w:rsidRPr="00F76833">
        <w:rPr>
          <w:rFonts w:ascii="Times New Roman" w:hAnsi="Times New Roman" w:cs="Times New Roman"/>
          <w:sz w:val="24"/>
          <w:szCs w:val="24"/>
        </w:rPr>
        <w:t xml:space="preserve"> &lt; 0.05, ** </w:t>
      </w:r>
      <w:r w:rsidRPr="00C06136">
        <w:rPr>
          <w:rFonts w:ascii="Times New Roman" w:hAnsi="Times New Roman" w:cs="Times New Roman"/>
          <w:i/>
          <w:sz w:val="24"/>
          <w:szCs w:val="24"/>
        </w:rPr>
        <w:t>p</w:t>
      </w:r>
      <w:r w:rsidRPr="00F76833">
        <w:rPr>
          <w:rFonts w:ascii="Times New Roman" w:hAnsi="Times New Roman" w:cs="Times New Roman"/>
          <w:sz w:val="24"/>
          <w:szCs w:val="24"/>
        </w:rPr>
        <w:t xml:space="preserve"> &lt; 0.01</w:t>
      </w:r>
    </w:p>
    <w:p w:rsidR="00FF1263" w:rsidRDefault="00FF1263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4CE6" w:rsidRDefault="00FE4CE6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B49D8" w:rsidRPr="00BE28DE" w:rsidRDefault="006B49D8" w:rsidP="006B49D8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E28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 w:rsidRPr="00BE28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Elemental changes on surfaces of controls and treated EVA samples.</w:t>
      </w:r>
    </w:p>
    <w:tbl>
      <w:tblPr>
        <w:tblStyle w:val="PlainTable2"/>
        <w:tblW w:w="0" w:type="auto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1872"/>
        <w:gridCol w:w="1872"/>
        <w:gridCol w:w="1854"/>
        <w:gridCol w:w="18"/>
      </w:tblGrid>
      <w:tr w:rsidR="006B49D8" w:rsidRPr="00BE28DE" w:rsidTr="00896F09">
        <w:trPr>
          <w:gridAfter w:val="1"/>
          <w:wAfter w:w="18" w:type="dxa"/>
          <w:trHeight w:val="552"/>
          <w:jc w:val="center"/>
        </w:trPr>
        <w:tc>
          <w:tcPr>
            <w:tcW w:w="2592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  <w:t>Samples</w:t>
            </w:r>
          </w:p>
        </w:tc>
        <w:tc>
          <w:tcPr>
            <w:tcW w:w="55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  <w:t>C1s peak area, %</w:t>
            </w:r>
          </w:p>
        </w:tc>
      </w:tr>
      <w:tr w:rsidR="006B49D8" w:rsidRPr="00BE28DE" w:rsidTr="00896F09">
        <w:trPr>
          <w:trHeight w:val="552"/>
          <w:jc w:val="center"/>
        </w:trPr>
        <w:tc>
          <w:tcPr>
            <w:tcW w:w="2592" w:type="dxa"/>
            <w:vMerge/>
            <w:tcBorders>
              <w:bottom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C-C,</w:t>
            </w:r>
          </w:p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C=C</w:t>
            </w:r>
          </w:p>
        </w:tc>
        <w:tc>
          <w:tcPr>
            <w:tcW w:w="187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C-O,</w:t>
            </w:r>
          </w:p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C-O-C</w:t>
            </w:r>
          </w:p>
        </w:tc>
        <w:tc>
          <w:tcPr>
            <w:tcW w:w="187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C=O,</w:t>
            </w:r>
          </w:p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C-O=C</w:t>
            </w:r>
          </w:p>
        </w:tc>
      </w:tr>
      <w:tr w:rsidR="006B49D8" w:rsidRPr="00BE28DE" w:rsidTr="00896F09">
        <w:trPr>
          <w:trHeight w:val="552"/>
          <w:jc w:val="center"/>
        </w:trPr>
        <w:tc>
          <w:tcPr>
            <w:tcW w:w="2592" w:type="dxa"/>
            <w:tcBorders>
              <w:top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  <w:t>Untreated control</w:t>
            </w:r>
          </w:p>
        </w:tc>
        <w:tc>
          <w:tcPr>
            <w:tcW w:w="1872" w:type="dxa"/>
            <w:tcBorders>
              <w:top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82.9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±0.6</w:t>
            </w:r>
          </w:p>
        </w:tc>
        <w:tc>
          <w:tcPr>
            <w:tcW w:w="1872" w:type="dxa"/>
            <w:tcBorders>
              <w:top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13.4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±0.6</w:t>
            </w:r>
          </w:p>
        </w:tc>
        <w:tc>
          <w:tcPr>
            <w:tcW w:w="1872" w:type="dxa"/>
            <w:gridSpan w:val="2"/>
            <w:tcBorders>
              <w:top w:val="single" w:sz="8" w:space="0" w:color="auto"/>
            </w:tcBorders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3.7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±0.004</w:t>
            </w:r>
          </w:p>
        </w:tc>
      </w:tr>
      <w:tr w:rsidR="006B49D8" w:rsidRPr="00BE28DE" w:rsidTr="00896F09">
        <w:trPr>
          <w:trHeight w:val="552"/>
          <w:jc w:val="center"/>
        </w:trPr>
        <w:tc>
          <w:tcPr>
            <w:tcW w:w="2592" w:type="dxa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en-US"/>
              </w:rPr>
              <w:t>Treated control</w:t>
            </w:r>
          </w:p>
        </w:tc>
        <w:tc>
          <w:tcPr>
            <w:tcW w:w="1872" w:type="dxa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81.6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±2.6</w:t>
            </w:r>
          </w:p>
        </w:tc>
        <w:tc>
          <w:tcPr>
            <w:tcW w:w="1872" w:type="dxa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12.1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±0.6</w:t>
            </w:r>
          </w:p>
        </w:tc>
        <w:tc>
          <w:tcPr>
            <w:tcW w:w="1872" w:type="dxa"/>
            <w:gridSpan w:val="2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6.3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±2</w:t>
            </w:r>
          </w:p>
        </w:tc>
      </w:tr>
      <w:tr w:rsidR="006B49D8" w:rsidRPr="00BE28DE" w:rsidTr="00896F09">
        <w:trPr>
          <w:trHeight w:val="552"/>
          <w:jc w:val="center"/>
        </w:trPr>
        <w:tc>
          <w:tcPr>
            <w:tcW w:w="2592" w:type="dxa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 xml:space="preserve">K. </w:t>
            </w:r>
            <w:proofErr w:type="spellStart"/>
            <w:r w:rsidRPr="00BE28D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aerogenes</w:t>
            </w:r>
            <w:proofErr w:type="spellEnd"/>
          </w:p>
        </w:tc>
        <w:tc>
          <w:tcPr>
            <w:tcW w:w="1872" w:type="dxa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67.1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±1.5*</w:t>
            </w:r>
          </w:p>
        </w:tc>
        <w:tc>
          <w:tcPr>
            <w:tcW w:w="1872" w:type="dxa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15.8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±2.2</w:t>
            </w:r>
          </w:p>
        </w:tc>
        <w:tc>
          <w:tcPr>
            <w:tcW w:w="1872" w:type="dxa"/>
            <w:gridSpan w:val="2"/>
            <w:vAlign w:val="center"/>
            <w:hideMark/>
          </w:tcPr>
          <w:p w:rsidR="006B49D8" w:rsidRPr="00BE28DE" w:rsidRDefault="006B49D8" w:rsidP="00896F09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28D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17.2</w:t>
            </w:r>
            <w:r w:rsidRPr="00BE28DE">
              <w:rPr>
                <w:rFonts w:ascii="Times New Roman" w:eastAsia="Malgun Gothic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±0.7*</w:t>
            </w:r>
          </w:p>
        </w:tc>
      </w:tr>
    </w:tbl>
    <w:p w:rsidR="006B49D8" w:rsidRPr="00BE28DE" w:rsidRDefault="006B49D8" w:rsidP="006B49D8">
      <w:pPr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E28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Mean value and standard deviation (±SD),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n=2,</w:t>
      </w:r>
      <w:r w:rsidRPr="00BE28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E28DE">
        <w:rPr>
          <w:rFonts w:ascii="Times New Roman" w:hAnsi="Times New Roman" w:cs="Times New Roman"/>
          <w:sz w:val="24"/>
          <w:szCs w:val="24"/>
        </w:rPr>
        <w:t xml:space="preserve">* </w:t>
      </w:r>
      <w:r w:rsidRPr="00C06136">
        <w:rPr>
          <w:rFonts w:ascii="Times New Roman" w:hAnsi="Times New Roman" w:cs="Times New Roman"/>
          <w:i/>
          <w:sz w:val="24"/>
          <w:szCs w:val="24"/>
        </w:rPr>
        <w:t>p</w:t>
      </w:r>
      <w:r w:rsidRPr="00BE28DE">
        <w:rPr>
          <w:rFonts w:ascii="Times New Roman" w:hAnsi="Times New Roman" w:cs="Times New Roman"/>
          <w:sz w:val="24"/>
          <w:szCs w:val="24"/>
        </w:rPr>
        <w:t xml:space="preserve"> &lt; 0.05</w:t>
      </w:r>
    </w:p>
    <w:p w:rsidR="006B49D8" w:rsidRDefault="006B49D8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4CE6" w:rsidRDefault="00FE4CE6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4CE6" w:rsidRDefault="00FE4CE6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4CE6" w:rsidRDefault="00FE4CE6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4CE6" w:rsidRDefault="00FE4CE6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4CE6" w:rsidRDefault="00FE4CE6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4CE6" w:rsidRPr="00FE4CE6" w:rsidRDefault="00FE4CE6" w:rsidP="00FE4CE6">
      <w:pPr>
        <w:widowControl/>
        <w:wordWrap/>
        <w:autoSpaceDE/>
        <w:autoSpaceDN/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  <w:r w:rsidRPr="00FE4CE6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Table </w:t>
      </w:r>
      <w:r w:rsidR="00AB5C36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S</w:t>
      </w:r>
      <w:r w:rsidRPr="00FE4CE6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3. Changes of mass decomposition temperature in EVA samples.</w:t>
      </w: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28"/>
        <w:gridCol w:w="1782"/>
        <w:gridCol w:w="1350"/>
        <w:gridCol w:w="1890"/>
        <w:gridCol w:w="1350"/>
        <w:gridCol w:w="1980"/>
      </w:tblGrid>
      <w:tr w:rsidR="00FE4CE6" w:rsidRPr="00FE4CE6" w:rsidTr="00896F09">
        <w:trPr>
          <w:trHeight w:val="552"/>
        </w:trPr>
        <w:tc>
          <w:tcPr>
            <w:tcW w:w="17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Sample</w:t>
            </w: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proofErr w:type="spellStart"/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Deacetylation</w:t>
            </w:r>
            <w:proofErr w:type="spellEnd"/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 xml:space="preserve"> process in the vinyl acetate fraction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Decomposition of the residual main chain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Temperature of peak degradation rate, ℃</w:t>
            </w:r>
          </w:p>
        </w:tc>
      </w:tr>
      <w:tr w:rsidR="00FE4CE6" w:rsidRPr="00FE4CE6" w:rsidTr="00896F09">
        <w:trPr>
          <w:trHeight w:val="552"/>
        </w:trPr>
        <w:tc>
          <w:tcPr>
            <w:tcW w:w="172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1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1st stage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2nd stage</w:t>
            </w:r>
          </w:p>
        </w:tc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FE4CE6" w:rsidRPr="00FE4CE6" w:rsidTr="00896F09">
        <w:trPr>
          <w:trHeight w:val="552"/>
        </w:trPr>
        <w:tc>
          <w:tcPr>
            <w:tcW w:w="1728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Decomposition T, 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Weight loss, %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Decomposition T, ℃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Weight loss, %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FE4CE6" w:rsidRPr="00FE4CE6" w:rsidTr="00896F09">
        <w:trPr>
          <w:trHeight w:val="552"/>
        </w:trPr>
        <w:tc>
          <w:tcPr>
            <w:tcW w:w="17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Untreated control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360.7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9.6</w:t>
            </w:r>
            <w:r w:rsidRPr="00FE4CE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±0.4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478.7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90.7</w:t>
            </w:r>
            <w:r w:rsidRPr="00FE4CE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±0.4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en-US"/>
              </w:rPr>
              <w:t>466.7</w:t>
            </w:r>
          </w:p>
        </w:tc>
      </w:tr>
      <w:tr w:rsidR="00FE4CE6" w:rsidRPr="00FE4CE6" w:rsidTr="00896F09">
        <w:trPr>
          <w:trHeight w:val="552"/>
        </w:trPr>
        <w:tc>
          <w:tcPr>
            <w:tcW w:w="1728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Treated control</w:t>
            </w:r>
          </w:p>
        </w:tc>
        <w:tc>
          <w:tcPr>
            <w:tcW w:w="1782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9.4</w:t>
            </w:r>
            <w:r w:rsidRPr="00FE4CE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±0.2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478.8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90.8</w:t>
            </w:r>
            <w:r w:rsidRPr="00FE4CE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±0.4</w:t>
            </w:r>
          </w:p>
        </w:tc>
        <w:tc>
          <w:tcPr>
            <w:tcW w:w="1980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en-US"/>
              </w:rPr>
              <w:t>466.9</w:t>
            </w:r>
          </w:p>
        </w:tc>
      </w:tr>
      <w:tr w:rsidR="00FE4CE6" w:rsidRPr="00FE4CE6" w:rsidTr="00896F09">
        <w:trPr>
          <w:trHeight w:val="552"/>
        </w:trPr>
        <w:tc>
          <w:tcPr>
            <w:tcW w:w="17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en-US"/>
              </w:rPr>
              <w:t xml:space="preserve">K. </w:t>
            </w:r>
            <w:proofErr w:type="spellStart"/>
            <w:r w:rsidRPr="00FE4CE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en-US"/>
              </w:rPr>
              <w:t>aerogenes</w:t>
            </w:r>
            <w:proofErr w:type="spellEnd"/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11.8</w:t>
            </w:r>
            <w:r w:rsidRPr="00FE4CE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±0.1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471.8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en-US"/>
              </w:rPr>
              <w:t>87.8</w:t>
            </w:r>
            <w:r w:rsidRPr="00FE4CE6">
              <w:rPr>
                <w:rFonts w:ascii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±0.1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FE4CE6" w:rsidRPr="00FE4CE6" w:rsidRDefault="00FE4CE6" w:rsidP="00FE4CE6">
            <w:pPr>
              <w:widowControl/>
              <w:wordWrap/>
              <w:autoSpaceDE/>
              <w:autoSpaceDN/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E4CE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en-US"/>
              </w:rPr>
              <w:t>456.5</w:t>
            </w:r>
          </w:p>
        </w:tc>
      </w:tr>
    </w:tbl>
    <w:p w:rsidR="00FE4CE6" w:rsidRPr="00FE4CE6" w:rsidRDefault="00FE4CE6" w:rsidP="00FE4CE6">
      <w:pPr>
        <w:widowControl/>
        <w:wordWrap/>
        <w:autoSpaceDE/>
        <w:autoSpaceDN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  <w:r w:rsidRPr="00FE4CE6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Mean value and standard deviation (±SD), n=2.</w:t>
      </w:r>
    </w:p>
    <w:p w:rsidR="00FE4CE6" w:rsidRPr="00FF1263" w:rsidRDefault="00FE4CE6" w:rsidP="00FF12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E4CE6" w:rsidRPr="00FF1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63"/>
    <w:rsid w:val="002130C9"/>
    <w:rsid w:val="00565611"/>
    <w:rsid w:val="006B49D8"/>
    <w:rsid w:val="00913789"/>
    <w:rsid w:val="00AB5C36"/>
    <w:rsid w:val="00C06136"/>
    <w:rsid w:val="00FB293B"/>
    <w:rsid w:val="00FE4CE6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CE691A-8869-4EDF-9C08-022954A7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263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FF1263"/>
    <w:pPr>
      <w:spacing w:after="0" w:line="240" w:lineRule="auto"/>
    </w:pPr>
    <w:rPr>
      <w:rFonts w:eastAsiaTheme="minorEastAsia"/>
      <w:lang w:eastAsia="ko-K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2024-03-26T03:15:00Z</dcterms:created>
  <dcterms:modified xsi:type="dcterms:W3CDTF">2024-04-11T03:04:00Z</dcterms:modified>
</cp:coreProperties>
</file>