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883"/>
      </w:pPr>
      <w:bookmarkStart w:id="21" w:name="_GoBack"/>
      <w:bookmarkEnd w:id="21"/>
      <w:r>
        <w:t>Supplementary Material</w:t>
      </w:r>
    </w:p>
    <w:p>
      <w:r>
        <w:t>In our preestablished AI pipeline, we incorporate four separate AI models dedicated to tasks such as classifying MRI sequences, segmenting and measuring the prostate gland, identifying the zonal anatomy of the prostate, and detecting prostate cancer. Below, we provide specific descriptions for each of these AI models.</w:t>
      </w:r>
    </w:p>
    <w:p>
      <w:pPr>
        <w:pStyle w:val="3"/>
      </w:pPr>
      <w:r>
        <w:t>(i) MRI sequence classification</w:t>
      </w:r>
    </w:p>
    <w:p>
      <w:pPr>
        <w:pStyle w:val="4"/>
        <w:ind w:firstLine="602"/>
      </w:pPr>
      <w:r>
        <w:t>Data enrollment</w:t>
      </w:r>
    </w:p>
    <w:p>
      <w:r>
        <w:t>A total of 1,153 mpMRI examinations taken from 1,086 patients between July 28, 2009, and Nov. 26, 2021, were retrospectively gathered. Following the import of anonymized data, DICOM files underwent conversion to Nifty format using dicom2nii.py in Python 3.5 to obtain the image data.</w:t>
      </w:r>
    </w:p>
    <w:p>
      <w:r>
        <w:t>The DICOM data were initially divided into multiple scan sequences per MR examination, with individual sequences containing more than 15 slices being considered for the study.</w:t>
      </w:r>
    </w:p>
    <w:p>
      <w:r>
        <w:t>Each sequence was then further subdivided into image groups based on matching acquisition parameters and spatial location. Diffusion weighted imaging (DWI) sequences were grouped by their b-value; for instance, a DWI sequence with 3 b-values was split into 3 separate image groups, each with a unique b-value.</w:t>
      </w:r>
    </w:p>
    <w:p>
      <w:r>
        <w:t xml:space="preserve">Ultimately, a total of 5,151 images from five distinct types were classified. These included 1) DWI_High (b value </w:t>
      </w:r>
      <w:r>
        <w:rPr>
          <w:rFonts w:hint="eastAsia"/>
        </w:rPr>
        <w:t>≥</w:t>
      </w:r>
      <w:r>
        <w:t xml:space="preserve"> 500 s/mm², n=1045), 2) DWI_Low (b value </w:t>
      </w:r>
      <w:r>
        <w:rPr>
          <w:rFonts w:hint="eastAsia"/>
        </w:rPr>
        <w:t>≤</w:t>
      </w:r>
      <w:r>
        <w:t xml:space="preserve"> 100 s/mm², n=1012), 3) apparent diffusion coefficient (ADC) map (n=906), 4) T2-weighted imaging_nan (T2WI_nan) (nonfat-sat T2WI, n=1000), and 5) T2WI_fs (fat-sat T2WI, n=1188). T1-weighted imaging (T1WI) and dynamic contrast-enhanced (DCE) images were acquired but not included in the study.</w:t>
      </w:r>
    </w:p>
    <w:p>
      <w:pPr>
        <w:pStyle w:val="4"/>
        <w:ind w:firstLine="602"/>
      </w:pPr>
      <w:r>
        <w:t>MR scanners and imaging protocols</w:t>
      </w:r>
    </w:p>
    <w:p>
      <w:r>
        <w:t>The mpMRI images were obtained from a total of 15 MR scanners from four different vendors. The transmit coils employed were body coils, while the receive coils utilized were phased array coils. No endorectal coil was utilized in this process. Further details regarding the MR scanners and image types can be found in Table S1.</w:t>
      </w:r>
    </w:p>
    <w:p>
      <w:pPr>
        <w:pStyle w:val="4"/>
        <w:ind w:firstLine="602"/>
      </w:pPr>
      <w:r>
        <w:rPr>
          <w:rFonts w:hint="eastAsia"/>
        </w:rPr>
        <w:t>Development</w:t>
      </w:r>
      <w:r>
        <w:t xml:space="preserve"> </w:t>
      </w:r>
      <w:r>
        <w:rPr>
          <w:rFonts w:hint="eastAsia"/>
        </w:rPr>
        <w:t>of</w:t>
      </w:r>
      <w:r>
        <w:t xml:space="preserve"> the </w:t>
      </w:r>
      <w:r>
        <w:rPr>
          <w:rFonts w:hint="eastAsia"/>
        </w:rPr>
        <w:t>d</w:t>
      </w:r>
      <w:r>
        <w:t xml:space="preserve">eep learning </w:t>
      </w:r>
      <w:r>
        <w:rPr>
          <w:rFonts w:hint="eastAsia"/>
        </w:rPr>
        <w:t>model</w:t>
      </w:r>
    </w:p>
    <w:p>
      <w:pPr>
        <w:rPr>
          <w:rFonts w:eastAsiaTheme="minorEastAsia"/>
        </w:rPr>
      </w:pPr>
      <w:r>
        <w:t>The input image utilized an automatic window width and window level. Histogram equalization was applied, followed by resizing each image to 64×128×128 pixels. The training and validation datasets underwent augmentation through various image transformations, including rotation within a range of -10° to 10°, addition of random noise, perspective transformation, and translation by 0.01 pixels in cardinal or ordinal directions.</w:t>
      </w:r>
    </w:p>
    <w:p>
      <w:pPr>
        <w:rPr>
          <w:rFonts w:eastAsiaTheme="minorEastAsia"/>
        </w:rPr>
      </w:pPr>
      <w:r>
        <w:t>A total of 5,151 MR sequences were randomly divided into sets: 80% for training, 10% for validation, and 10% for testing. The modified Med3D network (refer to Figure S1) was retrained for classifying prostate mpMRI sequences. Utilizing transfer learning, we employed the encoder weights to extract image features. The encoder section was retained, while the decoder section (deconvolution part) was replaced with the convolution and fully connected layers of a conventional classification network structure. The classification convolution layer comprised four layers: 1) a max-pooling layer (stride: 2); 2) a convolution layer (kernel: 3); 3) another max-pooling layer (stride: 2); and 4) another convolution layer (kernel: 3). The fully connected layer of the classification network consisted of 128 neurons, where the image features were amalgamated and classified. The classification array was computed and output using the softmax function.</w:t>
      </w:r>
    </w:p>
    <w:p>
      <w:r>
        <w:t>All training processes were executed on an NVIDIA Tesla P100 16G GPU. The algorithm was implemented in Python 3.6, utilizing PyTorch 0.4.1, OpenCV 3.4.0.12, Numpy 1.16.2, and SimpleITK 1.2.0. Training parameters were configured as follows: initial learning rate of 0.0001, mini-batch size of 4, and a maximum of 400 epochs. Classification efficiency was assessed using the confusion matrix.</w:t>
      </w:r>
    </w:p>
    <w:p>
      <w:pPr>
        <w:pStyle w:val="4"/>
        <w:ind w:firstLine="602"/>
      </w:pPr>
      <w:r>
        <w:t>Results</w:t>
      </w:r>
    </w:p>
    <w:p>
      <w:r>
        <w:t>The confusion matrix depicting the prediction results across various datasets can be found in Figure S2. Additionally, the corresponding prediction accuracies for the image classification model in different datasets are provided in Table S2. Specifically, the prediction accuracies for the training, validation, and testing datasets ranged between 99.2% and 100.0%, 98.9% and 100.0%, and 99.5% and 100.0%, respectively.</w:t>
      </w:r>
    </w:p>
    <w:p>
      <w:pPr>
        <w:pStyle w:val="11"/>
        <w:ind w:firstLine="0" w:firstLineChars="0"/>
        <w:sectPr>
          <w:headerReference r:id="rId7" w:type="first"/>
          <w:footerReference r:id="rId10" w:type="first"/>
          <w:headerReference r:id="rId5" w:type="default"/>
          <w:footerReference r:id="rId8" w:type="default"/>
          <w:headerReference r:id="rId6" w:type="even"/>
          <w:footerReference r:id="rId9" w:type="even"/>
          <w:pgSz w:w="11906" w:h="16838"/>
          <w:pgMar w:top="1440" w:right="1803" w:bottom="1440" w:left="1803" w:header="851" w:footer="992" w:gutter="0"/>
          <w:cols w:space="0" w:num="1"/>
          <w:docGrid w:type="lines" w:linePitch="326" w:charSpace="0"/>
        </w:sectPr>
      </w:pPr>
    </w:p>
    <w:p>
      <w:pPr>
        <w:pStyle w:val="3"/>
      </w:pPr>
      <w:r>
        <w:t xml:space="preserve">(ii) </w:t>
      </w:r>
      <w:r>
        <w:rPr>
          <w:rFonts w:hint="eastAsia"/>
        </w:rPr>
        <w:t>P</w:t>
      </w:r>
      <w:r>
        <w:t xml:space="preserve">rostate gland segmentation </w:t>
      </w:r>
      <w:r>
        <w:rPr>
          <w:rFonts w:hint="eastAsia"/>
        </w:rPr>
        <w:t>and</w:t>
      </w:r>
      <w:r>
        <w:t xml:space="preserve"> </w:t>
      </w:r>
      <w:r>
        <w:rPr>
          <w:rFonts w:hint="eastAsia"/>
        </w:rPr>
        <w:t>measurement</w:t>
      </w:r>
    </w:p>
    <w:p>
      <w:pPr>
        <w:pStyle w:val="4"/>
        <w:ind w:firstLine="602"/>
      </w:pPr>
      <w:r>
        <w:t>Data enrollment</w:t>
      </w:r>
    </w:p>
    <w:p>
      <w:pPr>
        <w:rPr>
          <w:rFonts w:eastAsiaTheme="minorEastAsia"/>
        </w:rPr>
      </w:pPr>
      <w:r>
        <w:t>The mpMRI images were obtained retrospectively from a cohort of 2,673 patients, involving a total of 2,849 mpMRI examinations conducted between July 28, 2009, and Nov. 26, 2021.</w:t>
      </w:r>
    </w:p>
    <w:p>
      <w:r>
        <w:t>Following the import of anonymized data, the DICOM files underwent conversion to Nifty format using dicom2nii.py in Python 3.5. ADC maps (n=2320) were derived from the DWI sequence with both high and low b-values. Additionally, conventional T2WI and fat saturation T2WI (n=3654) were selected for further analysis.</w:t>
      </w:r>
    </w:p>
    <w:p>
      <w:pPr>
        <w:pStyle w:val="4"/>
        <w:ind w:firstLine="602"/>
      </w:pPr>
      <w:r>
        <w:t>MR scanners and imaging protocols</w:t>
      </w:r>
    </w:p>
    <w:p>
      <w:r>
        <w:t>The mpMRI images were acquired from a total of 19 MR scanners sourced from four different vendors. The transmit coils employed were body coils, while the receive coils utilized were phased array coils. Further details regarding the MR scanners and image types can be found in Table S3.</w:t>
      </w:r>
    </w:p>
    <w:p>
      <w:pPr>
        <w:pStyle w:val="4"/>
        <w:ind w:firstLine="602"/>
        <w:rPr>
          <w:rFonts w:ascii="Times New Roman Bold" w:hAnsi="Times New Roman Bold" w:cs="Times New Roman Bold"/>
        </w:rPr>
      </w:pPr>
      <w:r>
        <w:rPr>
          <w:rFonts w:hint="eastAsia"/>
        </w:rPr>
        <w:t>Development</w:t>
      </w:r>
      <w:r>
        <w:t xml:space="preserve"> </w:t>
      </w:r>
      <w:r>
        <w:rPr>
          <w:rFonts w:hint="eastAsia"/>
        </w:rPr>
        <w:t>of</w:t>
      </w:r>
      <w:r>
        <w:t xml:space="preserve"> the </w:t>
      </w:r>
      <w:r>
        <w:rPr>
          <w:rFonts w:hint="eastAsia"/>
        </w:rPr>
        <w:t>d</w:t>
      </w:r>
      <w:r>
        <w:t xml:space="preserve">eep learning </w:t>
      </w:r>
      <w:r>
        <w:rPr>
          <w:rFonts w:hint="eastAsia"/>
        </w:rPr>
        <w:t>model</w:t>
      </w:r>
    </w:p>
    <w:p>
      <w:pPr>
        <w:rPr>
          <w:rFonts w:eastAsiaTheme="minorEastAsia"/>
        </w:rPr>
      </w:pPr>
      <w:r>
        <w:t>The ground truth for the prostate gland was manually outlined by two experts with over 5 years of experience. The ADC and T2WI images were resized to 64×256×224 (z, y, x) pixels and used as input for the network. Data in the training set were augmented by applying random rotation (within 10°), adding random noise, and performing parallel translation within a range of [(-0.1; 0.1); (-0.1; 0.1)] pixels.</w:t>
      </w:r>
    </w:p>
    <w:p>
      <w:pPr>
        <w:rPr>
          <w:rFonts w:eastAsiaTheme="minorEastAsia"/>
        </w:rPr>
      </w:pPr>
      <w:r>
        <w:t>In a preliminary experiment (1), the classic U-Net (2) framework was employed. The U-Net model consists of an encoder-decoder structure with skip connections. The encoder portion is responsible for extracting features from the input image through a series of downsampling operations using convolutional layers. The decoder, on the other hand, upsamples the features back to the original image resolution through a series of upsampling operations. We downloaded the code of the U-Net model (</w:t>
      </w:r>
      <w:r>
        <w:fldChar w:fldCharType="begin"/>
      </w:r>
      <w:r>
        <w:instrText xml:space="preserve"> HYPERLINK "https://github.com/milesial/Pytorch-UNet/tree/master" </w:instrText>
      </w:r>
      <w:r>
        <w:fldChar w:fldCharType="separate"/>
      </w:r>
      <w:r>
        <w:rPr>
          <w:rStyle w:val="16"/>
        </w:rPr>
        <w:t>https://github.com/milesial/Pytorch-UNet/tree/master</w:t>
      </w:r>
      <w:r>
        <w:rPr>
          <w:rStyle w:val="16"/>
        </w:rPr>
        <w:fldChar w:fldCharType="end"/>
      </w:r>
      <w:r>
        <w:t>) for the image segmentation task.</w:t>
      </w:r>
      <w:r>
        <w:rPr>
          <w:rFonts w:hint="eastAsia" w:eastAsiaTheme="minorEastAsia"/>
        </w:rPr>
        <w:t xml:space="preserve"> </w:t>
      </w:r>
      <w:r>
        <w:t>The model training was conducted on a personal computer with an Intel Core i5 3.2 GHz CPU, 16 GB of main memory, and an NVIDIA GTX1060 GPU.</w:t>
      </w:r>
    </w:p>
    <w:p>
      <w:pPr>
        <w:pStyle w:val="4"/>
        <w:ind w:firstLine="602"/>
      </w:pPr>
      <w:r>
        <w:rPr>
          <w:rFonts w:hint="eastAsia"/>
        </w:rPr>
        <w:t>R</w:t>
      </w:r>
      <w:r>
        <w:t>esults</w:t>
      </w:r>
    </w:p>
    <w:p>
      <w:r>
        <w:t xml:space="preserve">The Dice similarity coefficient (DSC), Jaccard index, volumetric similarity (VS), Hausdorff distance (HD), and average distance (AD) were used to compare the model and manual segmentation results. The </w:t>
      </w:r>
      <w:r>
        <w:rPr>
          <w:rFonts w:hint="eastAsia"/>
        </w:rPr>
        <w:t>right</w:t>
      </w:r>
      <w:r>
        <w:t xml:space="preserve"> </w:t>
      </w:r>
      <w:r>
        <w:rPr>
          <w:rFonts w:hint="eastAsia"/>
        </w:rPr>
        <w:t>and</w:t>
      </w:r>
      <w:r>
        <w:t xml:space="preserve"> </w:t>
      </w:r>
      <w:r>
        <w:rPr>
          <w:rFonts w:hint="eastAsia"/>
        </w:rPr>
        <w:t>left</w:t>
      </w:r>
      <w:r>
        <w:t xml:space="preserve"> (RL) diameter, </w:t>
      </w:r>
      <w:r>
        <w:rPr>
          <w:rFonts w:hint="eastAsia"/>
        </w:rPr>
        <w:t>anterior</w:t>
      </w:r>
      <w:r>
        <w:t xml:space="preserve"> </w:t>
      </w:r>
      <w:r>
        <w:rPr>
          <w:rFonts w:hint="eastAsia"/>
        </w:rPr>
        <w:t>and</w:t>
      </w:r>
      <w:r>
        <w:t xml:space="preserve"> </w:t>
      </w:r>
      <w:r>
        <w:rPr>
          <w:rFonts w:hint="eastAsia"/>
        </w:rPr>
        <w:t>posterior</w:t>
      </w:r>
      <w:r>
        <w:t xml:space="preserve"> (AP) diameter, and superior and inferior (SI) diameter of the prostate gland were automatically measured using the algorithm rule of the minimum volume bounding box (</w:t>
      </w:r>
      <w:r>
        <w:fldChar w:fldCharType="begin"/>
      </w:r>
      <w:r>
        <w:instrText xml:space="preserve"> REF _Ref127284200 \h  \* MERGEFORMAT </w:instrText>
      </w:r>
      <w:r>
        <w:fldChar w:fldCharType="separate"/>
      </w:r>
      <w:r>
        <w:t>Figure S3</w:t>
      </w:r>
      <w:r>
        <w:fldChar w:fldCharType="end"/>
      </w:r>
      <w:r>
        <w:t>).</w:t>
      </w:r>
    </w:p>
    <w:p>
      <w:r>
        <w:t xml:space="preserve">The DSC, Jaccard index, VS, HD, and AD in different datasets are shown in </w:t>
      </w:r>
      <w:r>
        <w:fldChar w:fldCharType="begin"/>
      </w:r>
      <w:r>
        <w:instrText xml:space="preserve"> REF _Ref127282836 \h </w:instrText>
      </w:r>
      <w:r>
        <w:fldChar w:fldCharType="separate"/>
      </w:r>
      <w:r>
        <w:t>Table S4</w:t>
      </w:r>
      <w:r>
        <w:fldChar w:fldCharType="end"/>
      </w:r>
      <w:r>
        <w:t xml:space="preserve"> and </w:t>
      </w:r>
      <w:r>
        <w:fldChar w:fldCharType="begin"/>
      </w:r>
      <w:r>
        <w:instrText xml:space="preserve"> REF _Ref127284237 \h  \* MERGEFORMAT </w:instrText>
      </w:r>
      <w:r>
        <w:fldChar w:fldCharType="separate"/>
      </w:r>
      <w:r>
        <w:t>Figure S4</w:t>
      </w:r>
      <w:r>
        <w:fldChar w:fldCharType="end"/>
      </w:r>
      <w:r>
        <w:t xml:space="preserve">. Bland‒Altman analysis of the measured values of the prostate gland, including RL diameter, AP diameter, SI diameter, volume, and signal intensity, are shown in </w:t>
      </w:r>
      <w:r>
        <w:fldChar w:fldCharType="begin"/>
      </w:r>
      <w:r>
        <w:instrText xml:space="preserve"> REF _Ref127283273 \h  \* MERGEFORMAT </w:instrText>
      </w:r>
      <w:r>
        <w:fldChar w:fldCharType="separate"/>
      </w:r>
      <w:r>
        <w:t>Table S5</w:t>
      </w:r>
      <w:r>
        <w:fldChar w:fldCharType="end"/>
      </w:r>
      <w:r>
        <w:t xml:space="preserve"> and </w:t>
      </w:r>
      <w:r>
        <w:fldChar w:fldCharType="begin"/>
      </w:r>
      <w:r>
        <w:instrText xml:space="preserve"> REF _Ref127284259 \h  \* MERGEFORMAT </w:instrText>
      </w:r>
      <w:r>
        <w:fldChar w:fldCharType="separate"/>
      </w:r>
      <w:r>
        <w:t>Figure S5</w:t>
      </w:r>
      <w:r>
        <w:fldChar w:fldCharType="end"/>
      </w:r>
      <w:r>
        <w:t>. The differences between the manual label and the predicted label to their means were -2.058% to 4.257%.</w:t>
      </w:r>
    </w:p>
    <w:p>
      <w:pPr>
        <w:pStyle w:val="3"/>
      </w:pPr>
      <w:r>
        <w:t>(</w:t>
      </w:r>
      <w:r>
        <w:fldChar w:fldCharType="begin"/>
      </w:r>
      <w:r>
        <w:instrText xml:space="preserve"> = 3 \* roman </w:instrText>
      </w:r>
      <w:r>
        <w:fldChar w:fldCharType="separate"/>
      </w:r>
      <w:r>
        <w:t>iii</w:t>
      </w:r>
      <w:r>
        <w:fldChar w:fldCharType="end"/>
      </w:r>
      <w:r>
        <w:t xml:space="preserve">) </w:t>
      </w:r>
      <w:r>
        <w:rPr>
          <w:rFonts w:hint="eastAsia"/>
        </w:rPr>
        <w:t>P</w:t>
      </w:r>
      <w:r>
        <w:t>rostate zonal anatomy segmentation</w:t>
      </w:r>
    </w:p>
    <w:p>
      <w:pPr>
        <w:pStyle w:val="4"/>
        <w:ind w:firstLine="600"/>
      </w:pPr>
      <w:r>
        <w:rPr>
          <w:rFonts w:eastAsia="等线"/>
        </w:rPr>
        <w:t>Prostate sextant locations</w:t>
      </w:r>
      <w:r>
        <w:t xml:space="preserve"> model</w:t>
      </w:r>
    </w:p>
    <w:p>
      <w:r>
        <w:t xml:space="preserve">First, the prostate gland is segmented by the established model (refer to part ii). For sextant location, the prostatic gland was then trisected to obtain the base, mid-gland, and apex </w:t>
      </w:r>
      <w:r>
        <w:rPr>
          <w:rFonts w:hint="eastAsia"/>
        </w:rPr>
        <w:t>in</w:t>
      </w:r>
      <w:r>
        <w:t xml:space="preserve"> the longitudinal axis </w:t>
      </w:r>
      <w:r>
        <w:rPr>
          <w:rFonts w:hint="eastAsia"/>
        </w:rPr>
        <w:t>direction</w:t>
      </w:r>
      <w:r>
        <w:t>.</w:t>
      </w:r>
      <w:r>
        <w:rPr>
          <w:rFonts w:eastAsia="等线"/>
        </w:rPr>
        <w:t xml:space="preserve"> It was</w:t>
      </w:r>
      <w:r>
        <w:t xml:space="preserve"> bisected to divide the prostate gland into left and right parts </w:t>
      </w:r>
      <w:r>
        <w:rPr>
          <w:rFonts w:hint="eastAsia"/>
        </w:rPr>
        <w:t>in</w:t>
      </w:r>
      <w:r>
        <w:t xml:space="preserve"> </w:t>
      </w:r>
      <w:r>
        <w:rPr>
          <w:rFonts w:hint="eastAsia"/>
        </w:rPr>
        <w:t>the</w:t>
      </w:r>
      <w:r>
        <w:t xml:space="preserve"> </w:t>
      </w:r>
      <w:r>
        <w:rPr>
          <w:rFonts w:hint="eastAsia"/>
        </w:rPr>
        <w:t>horizontal</w:t>
      </w:r>
      <w:r>
        <w:t xml:space="preserve"> </w:t>
      </w:r>
      <w:r>
        <w:rPr>
          <w:rFonts w:hint="eastAsia"/>
        </w:rPr>
        <w:t>axis</w:t>
      </w:r>
      <w:r>
        <w:t xml:space="preserve"> </w:t>
      </w:r>
      <w:r>
        <w:rPr>
          <w:rFonts w:hint="eastAsia"/>
        </w:rPr>
        <w:t>direction</w:t>
      </w:r>
      <w:r>
        <w:t>. Thus, the sextants were automatically generated (</w:t>
      </w:r>
      <w:r>
        <w:fldChar w:fldCharType="begin"/>
      </w:r>
      <w:r>
        <w:instrText xml:space="preserve"> REF _Ref127284281 \h  \* MERGEFORMAT </w:instrText>
      </w:r>
      <w:r>
        <w:fldChar w:fldCharType="separate"/>
      </w:r>
      <w:r>
        <w:t>Figure S6</w:t>
      </w:r>
      <w:r>
        <w:fldChar w:fldCharType="end"/>
      </w:r>
      <w:r>
        <w:t>)</w:t>
      </w:r>
      <w:bookmarkStart w:id="0" w:name="_Hlk99652456"/>
      <w:r>
        <w:t>.</w:t>
      </w:r>
    </w:p>
    <w:bookmarkEnd w:id="0"/>
    <w:p>
      <w:pPr>
        <w:pStyle w:val="4"/>
        <w:ind w:firstLine="602"/>
      </w:pPr>
      <w:r>
        <w:t>Prostate zonal anatomy segmentation</w:t>
      </w:r>
    </w:p>
    <w:p>
      <w:r>
        <w:rPr>
          <w:rFonts w:hint="eastAsia"/>
        </w:rPr>
        <w:t>S</w:t>
      </w:r>
      <w:r>
        <w:t xml:space="preserve">econd, for the anatomic zone locations, we developed an anatomic regional model to segment the peripheral zone (PZ), transition zone (TZ), central zone (CZ), </w:t>
      </w:r>
      <w:r>
        <w:rPr>
          <w:rFonts w:hint="eastAsia"/>
        </w:rPr>
        <w:t>a</w:t>
      </w:r>
      <w:r>
        <w:t xml:space="preserve">nterior fibromuscular stroma (AFS), </w:t>
      </w:r>
      <w:r>
        <w:rPr>
          <w:rFonts w:hint="eastAsia"/>
        </w:rPr>
        <w:t>urethra</w:t>
      </w:r>
      <w:r>
        <w:t xml:space="preserve"> (URE), left seminal vesicle (LS) and right seminal vesicle (RS) (</w:t>
      </w:r>
      <w:r>
        <w:fldChar w:fldCharType="begin"/>
      </w:r>
      <w:r>
        <w:instrText xml:space="preserve"> REF _Ref127284301 \h  \* MERGEFORMAT </w:instrText>
      </w:r>
      <w:r>
        <w:fldChar w:fldCharType="separate"/>
      </w:r>
      <w:r>
        <w:t>Figure S7</w:t>
      </w:r>
      <w:r>
        <w:fldChar w:fldCharType="end"/>
      </w:r>
      <w:r>
        <w:t>).</w:t>
      </w:r>
    </w:p>
    <w:p>
      <w:pPr>
        <w:pStyle w:val="4"/>
        <w:ind w:firstLine="602"/>
      </w:pPr>
      <w:r>
        <w:t>Data enrollment</w:t>
      </w:r>
    </w:p>
    <w:p>
      <w:r>
        <w:t>The mpMRI images were gathered retrospectively from a total of 1,225 patients, spanning from August 29, 2012, to November 26, 2021. Subsequent to importing the anonymized data, the DICOM files underwent conversion to Nifty format using dicom2nii.py in Python 3.5. T2WI was utilized for the creation of the prostate zonal anatomy segmentation model.</w:t>
      </w:r>
    </w:p>
    <w:p>
      <w:pPr>
        <w:pStyle w:val="4"/>
        <w:ind w:firstLine="602"/>
      </w:pPr>
      <w:r>
        <w:t>MR scanners and imaging protocols</w:t>
      </w:r>
    </w:p>
    <w:p>
      <w:r>
        <w:t>T2WI images were acquired from a total of 17 MR scanners provided by four different vendors. The transmit coils utilized were body coils, while the receive coils employed were phased array coils. Detailed information regarding the MR scanning protocols can be found in Table S6.</w:t>
      </w:r>
    </w:p>
    <w:p>
      <w:pPr>
        <w:pStyle w:val="4"/>
        <w:ind w:firstLine="602"/>
        <w:rPr>
          <w:rFonts w:ascii="Times New Roman Bold" w:hAnsi="Times New Roman Bold" w:cs="Times New Roman Bold"/>
        </w:rPr>
      </w:pPr>
      <w:r>
        <w:rPr>
          <w:rFonts w:hint="eastAsia"/>
        </w:rPr>
        <w:t>Development</w:t>
      </w:r>
      <w:r>
        <w:t xml:space="preserve"> </w:t>
      </w:r>
      <w:r>
        <w:rPr>
          <w:rFonts w:hint="eastAsia"/>
        </w:rPr>
        <w:t>of</w:t>
      </w:r>
      <w:r>
        <w:t xml:space="preserve"> the </w:t>
      </w:r>
      <w:r>
        <w:rPr>
          <w:rFonts w:hint="eastAsia"/>
        </w:rPr>
        <w:t>d</w:t>
      </w:r>
      <w:r>
        <w:t xml:space="preserve">eep learning </w:t>
      </w:r>
      <w:r>
        <w:rPr>
          <w:rFonts w:hint="eastAsia"/>
        </w:rPr>
        <w:t>model</w:t>
      </w:r>
    </w:p>
    <w:p>
      <w:pPr>
        <w:rPr>
          <w:rFonts w:eastAsiaTheme="minorEastAsia"/>
        </w:rPr>
      </w:pPr>
      <w:r>
        <w:t>T2WI images were resized to dimensions of 64×256×224 (z, y, x) pixels and served as the input for the network. Data augmentation in the training set involved random rotation (within a range of 10°), addition of random noise, and parallel translation within a range of [(-0.1; 0.1); (-0.1; 0.1)] pixels.</w:t>
      </w:r>
    </w:p>
    <w:p>
      <w:r>
        <w:t>A total of 1,225 images were randomly divided into sets: 80% for training, 10% for validation, and 10% for testing. For prostate anatomic segmentation, a 3D U-Net segmentation framework (2) was employed. All training processes were carried out using the NVIDIA Tesla P100 16G GPU. The algorithm was implemented in Python 3.6, utilizing PyTorch 0.4.1, OpenCV 3.4.0.12, Numpy 1.16.2, and SimpleITK 1.2.0. The batch size was set to 10, and the networks were trained for a total of 300 epochs. The optimizer used was Adam, with a learning rate of 0.0001 and a binary cross-entropy loss function to minimize loss.</w:t>
      </w:r>
    </w:p>
    <w:p>
      <w:pPr>
        <w:pStyle w:val="4"/>
        <w:ind w:firstLine="602"/>
      </w:pPr>
      <w:r>
        <w:t>Result</w:t>
      </w:r>
    </w:p>
    <w:p>
      <w:pPr>
        <w:ind w:firstLine="440"/>
      </w:pPr>
      <w:r>
        <w:rPr>
          <w:sz w:val="22"/>
        </w:rPr>
        <w:t>The DSC, J</w:t>
      </w:r>
      <w:r>
        <w:rPr>
          <w:rFonts w:hint="eastAsia"/>
          <w:sz w:val="22"/>
        </w:rPr>
        <w:t>ACRD</w:t>
      </w:r>
      <w:r>
        <w:rPr>
          <w:sz w:val="22"/>
        </w:rPr>
        <w:t xml:space="preserve">, VS, </w:t>
      </w:r>
      <w:r>
        <w:rPr>
          <w:rFonts w:hint="eastAsia"/>
          <w:sz w:val="22"/>
        </w:rPr>
        <w:t>H</w:t>
      </w:r>
      <w:r>
        <w:rPr>
          <w:sz w:val="22"/>
        </w:rPr>
        <w:t>D, and AD</w:t>
      </w:r>
      <w:r>
        <w:t xml:space="preserve"> in different datasets are shown in </w:t>
      </w:r>
      <w:r>
        <w:fldChar w:fldCharType="begin"/>
      </w:r>
      <w:r>
        <w:instrText xml:space="preserve"> REF _Ref127283484 \h  \* MERGEFORMAT </w:instrText>
      </w:r>
      <w:r>
        <w:fldChar w:fldCharType="separate"/>
      </w:r>
      <w:r>
        <w:t>Table S7</w:t>
      </w:r>
      <w:r>
        <w:fldChar w:fldCharType="end"/>
      </w:r>
      <w:r>
        <w:t>.</w:t>
      </w:r>
    </w:p>
    <w:p>
      <w:pPr>
        <w:rPr>
          <w:rFonts w:eastAsiaTheme="minorEastAsia"/>
        </w:rPr>
      </w:pPr>
    </w:p>
    <w:p>
      <w:pPr>
        <w:pStyle w:val="3"/>
        <w:ind w:firstLine="640"/>
        <w:rPr>
          <w:rFonts w:eastAsiaTheme="minorEastAsia"/>
        </w:rPr>
      </w:pPr>
      <w:r>
        <w:rPr>
          <w:rFonts w:hint="eastAsia" w:eastAsiaTheme="minorEastAsia"/>
        </w:rPr>
        <w:t>(</w:t>
      </w:r>
      <w:r>
        <w:rPr>
          <w:rFonts w:eastAsiaTheme="minorEastAsia"/>
        </w:rPr>
        <w:t>iv) Prostate cancer segmentation</w:t>
      </w:r>
    </w:p>
    <w:p>
      <w:pPr>
        <w:pStyle w:val="4"/>
        <w:ind w:firstLine="600"/>
        <w:rPr>
          <w:rFonts w:eastAsiaTheme="minorEastAsia"/>
        </w:rPr>
      </w:pPr>
      <w:r>
        <w:rPr>
          <w:rFonts w:hint="eastAsia" w:eastAsiaTheme="minorEastAsia"/>
        </w:rPr>
        <w:t>D</w:t>
      </w:r>
      <w:r>
        <w:rPr>
          <w:rFonts w:eastAsiaTheme="minorEastAsia"/>
        </w:rPr>
        <w:t>ata enrollment</w:t>
      </w:r>
    </w:p>
    <w:p>
      <w:pPr>
        <w:contextualSpacing/>
      </w:pPr>
      <w:r>
        <w:t>A total of 2,221 MRI images acquired between January 2014 and December 2019 were gathered retrospectively for the purpose of training an AI model for PCa segmentation. The inclusion criteria were specifically defined as follows: (a) a series of patients who underwent mpMRI prior to biopsy, primarily due to clinical suspicion of PCa arising from elevated serum prostate-specific antigen (PSA) levels, abnormal findings during digital rectal examination, and/or abnormal transrectal ultrasound results; (b) patients who subsequently underwent image-guided biopsy, transurethral prostatectomy, or radical prostatectomy within one month following the MRI examination and obtained pathological confirmation; (c) patients who had not received any PCa-related treatment prior to the examination; and (d) patients who tested negative for PCa during biopsy and exhibited no potential signs of PCa during clinical follow-up for a period exceeding one year.</w:t>
      </w:r>
    </w:p>
    <w:p>
      <w:pPr>
        <w:contextualSpacing/>
      </w:pPr>
      <w:r>
        <w:t>The exclusion criteria encompassed (a) incomplete image data, (b) substandard image quality, and (c) discrepancies between the MRI image and the pathology result, including variances in tumor location, clinically significant PCa (csPCa) not discernible through MRI, and cases where imaging suggested csPCa but pathology confirmed its absence.</w:t>
      </w:r>
    </w:p>
    <w:p>
      <w:pPr>
        <w:pStyle w:val="4"/>
        <w:ind w:firstLine="602"/>
      </w:pPr>
      <w:r>
        <w:t>MR scanners and imaging protocols</w:t>
      </w:r>
    </w:p>
    <w:p>
      <w:r>
        <w:rPr>
          <w:rFonts w:eastAsia="宋体" w:cs="宋体"/>
          <w:color w:val="000000"/>
          <w:kern w:val="0"/>
        </w:rPr>
        <w:t>Prostate MRI images were obtained from a total of 16 different MR scanners to compile the model development dataset. The MRI sequences encompassed T1WI, T2WI, DWI, and ADC maps. Detailed information regarding the MR scanning protocols is presented in Table S11</w:t>
      </w:r>
      <w:r>
        <w:t>.</w:t>
      </w:r>
    </w:p>
    <w:p>
      <w:pPr>
        <w:pStyle w:val="4"/>
        <w:ind w:firstLine="602"/>
        <w:rPr>
          <w:rFonts w:ascii="Times New Roman Bold" w:hAnsi="Times New Roman Bold" w:cs="Times New Roman Bold"/>
        </w:rPr>
      </w:pPr>
      <w:r>
        <w:rPr>
          <w:rFonts w:hint="eastAsia"/>
        </w:rPr>
        <w:t>Development</w:t>
      </w:r>
      <w:r>
        <w:t xml:space="preserve"> </w:t>
      </w:r>
      <w:r>
        <w:rPr>
          <w:rFonts w:hint="eastAsia"/>
        </w:rPr>
        <w:t>of</w:t>
      </w:r>
      <w:r>
        <w:t xml:space="preserve"> the </w:t>
      </w:r>
      <w:r>
        <w:rPr>
          <w:rFonts w:hint="eastAsia"/>
        </w:rPr>
        <w:t>d</w:t>
      </w:r>
      <w:r>
        <w:t xml:space="preserve">eep learning </w:t>
      </w:r>
      <w:r>
        <w:rPr>
          <w:rFonts w:hint="eastAsia"/>
        </w:rPr>
        <w:t>model</w:t>
      </w:r>
    </w:p>
    <w:p>
      <w:pPr>
        <w:rPr>
          <w:rFonts w:eastAsiaTheme="minorEastAsia"/>
        </w:rPr>
      </w:pPr>
      <w:r>
        <w:t>The ground truth of the prostate gland was meticulously delineated by two experts, each with over 5 years of experience. To ensure accurate alignment, the DWI, ADC maps, and T2WI images were registered through rigid transformation using the coordinate information stored in the DICOM image headers. Standardization and cropping were applied to all prostate areas, resulting in a uniform size of 64×64×64 (x, y, z), with pixel intensities normalized within the range of [0, 1]. To augment the training set, random rotations (within a range of 10°), random noise, and parallel translations within the range of [(-0.1, 0.1); (-0.1, 0.1)] pixels were applied.</w:t>
      </w:r>
    </w:p>
    <w:p>
      <w:pPr>
        <w:rPr>
          <w:color w:val="000000" w:themeColor="text1"/>
          <w14:textFill>
            <w14:solidFill>
              <w14:schemeClr w14:val="tx1"/>
            </w14:solidFill>
          </w14:textFill>
        </w:rPr>
      </w:pPr>
      <w:r>
        <w:t>The dataset was randomly divided into three sets: 80% for training, 10% for validation, and 10% for internal testing. The AI model utilized a combination of DWI and ADC maps as input for PCa segmentation. For the segmentation process, a cascade 3D U-Net framework was employed. Model training was conducted on an NVIDIA Tesla P100 16G GPU, with the algorithm implemented using Python 3.6, PyTorch 0.4.1, OpenCV 3.4.0.12, Numpy 1.16.2, and SimpleITK 1.2.0.</w:t>
      </w:r>
    </w:p>
    <w:p>
      <w:pPr>
        <w:pStyle w:val="4"/>
        <w:ind w:firstLine="600"/>
        <w:rPr>
          <w:rFonts w:eastAsiaTheme="minorEastAsia"/>
        </w:rPr>
      </w:pPr>
      <w:r>
        <w:rPr>
          <w:rFonts w:hint="eastAsia" w:eastAsiaTheme="minorEastAsia"/>
        </w:rPr>
        <w:t>R</w:t>
      </w:r>
      <w:r>
        <w:rPr>
          <w:rFonts w:eastAsiaTheme="minorEastAsia"/>
        </w:rPr>
        <w:t>esult</w:t>
      </w:r>
    </w:p>
    <w:p>
      <w:pPr>
        <w:contextualSpacing/>
        <w:rPr>
          <w:color w:val="000000" w:themeColor="text1"/>
          <w14:textFill>
            <w14:solidFill>
              <w14:schemeClr w14:val="tx1"/>
            </w14:solidFill>
          </w14:textFill>
        </w:rPr>
      </w:pPr>
      <w:r>
        <w:rPr>
          <w:color w:val="000000" w:themeColor="text1"/>
          <w14:textFill>
            <w14:solidFill>
              <w14:schemeClr w14:val="tx1"/>
            </w14:solidFill>
          </w14:textFill>
        </w:rPr>
        <w:t xml:space="preserve">In the test set, the model demonstrated excellent performance in lesion segmentation, achieving a DSC value of 0.80 [0.61, 0.86]. Additional evaluation metrics, including </w:t>
      </w:r>
      <w:r>
        <w:rPr>
          <w:color w:val="000000"/>
        </w:rPr>
        <w:t xml:space="preserve">the </w:t>
      </w:r>
      <w:r>
        <w:rPr>
          <w:color w:val="000000" w:themeColor="text1"/>
          <w14:textFill>
            <w14:solidFill>
              <w14:schemeClr w14:val="tx1"/>
            </w14:solidFill>
          </w14:textFill>
        </w:rPr>
        <w:t>Jaccard Index (JACRD), VS, HD, and AD in different datasets, can be found in Table S12.</w:t>
      </w:r>
    </w:p>
    <w:p>
      <w:pPr>
        <w:contextualSpacing/>
        <w:rPr>
          <w:color w:val="000000" w:themeColor="text1"/>
          <w14:textFill>
            <w14:solidFill>
              <w14:schemeClr w14:val="tx1"/>
            </w14:solidFill>
          </w14:textFill>
        </w:rPr>
      </w:pPr>
      <w:r>
        <w:rPr>
          <w:color w:val="000000" w:themeColor="text1"/>
          <w14:textFill>
            <w14:solidFill>
              <w14:schemeClr w14:val="tx1"/>
            </w14:solidFill>
          </w14:textFill>
        </w:rPr>
        <w:t>Furthermore, Table S13 provides the outcomes of the Bland‒Altman analysis for the measured values of PCa foci, encompassing the right-left (RL) diameter, anteroposterior (AP) diameter, superoinferior (SI) diameter, volume, and ADC value. The Bland‒Altman analysis compares the AI-generated measurements with those annotated by radiologists, serving as the reference standard. These results indicate a high degree of agreement in the predicted volumes, three-dimensional diameters, and ADC values of prostate cancer lesions when compared to the reference standard. The observed differences between the majority of AI results and the reference standard fall within the 95% limit of agreement.</w:t>
      </w:r>
    </w:p>
    <w:p>
      <w:pPr>
        <w:rPr>
          <w:rFonts w:eastAsiaTheme="minorEastAsia"/>
        </w:rPr>
      </w:pPr>
    </w:p>
    <w:p>
      <w:pPr>
        <w:pStyle w:val="3"/>
      </w:pPr>
      <w:r>
        <w:rPr>
          <w:rFonts w:hint="eastAsia"/>
        </w:rPr>
        <w:t>R</w:t>
      </w:r>
      <w:r>
        <w:t>eference</w:t>
      </w:r>
    </w:p>
    <w:p>
      <w:pPr>
        <w:pStyle w:val="22"/>
        <w:ind w:firstLine="400"/>
      </w:pPr>
      <w:r>
        <w:t>1. Zhu Y, Wei R, Gao G, Ding L, Zhang X, Wang X, Zhang J. Fully automatic segmentation on prostate MR images based on cascaded fully convolution network. J Magn Reson Imaging 2019;49:1149-56.</w:t>
      </w:r>
    </w:p>
    <w:p>
      <w:pPr>
        <w:pStyle w:val="22"/>
        <w:ind w:firstLine="400"/>
      </w:pPr>
      <w:r>
        <w:t>2. Çiçek Ö, Abdulkadir A, Lienkamp SS, Brox T, Ronneberger O, editors. 3D U-Net: Learning Dense Volumetric Segmentation from Sparse Annotation. Medical Image Computing and Computer-Assisted Intervention – MICCAI 2016; 2016 2016//; Cham: Springer International Publishing.</w:t>
      </w:r>
    </w:p>
    <w:p>
      <w:pPr>
        <w:pStyle w:val="22"/>
        <w:ind w:firstLine="400"/>
      </w:pPr>
    </w:p>
    <w:p>
      <w:pPr>
        <w:widowControl/>
        <w:ind w:firstLine="0" w:firstLineChars="0"/>
        <w:jc w:val="left"/>
        <w:rPr>
          <w:rFonts w:ascii="等线" w:hAnsi="等线" w:eastAsia="等线"/>
          <w:sz w:val="20"/>
        </w:rPr>
      </w:pPr>
      <w:r>
        <w:br w:type="page"/>
      </w:r>
    </w:p>
    <w:p>
      <w:pPr>
        <w:pStyle w:val="3"/>
        <w:ind w:firstLine="640"/>
        <w:rPr>
          <w:rFonts w:eastAsiaTheme="minorEastAsia"/>
        </w:rPr>
      </w:pPr>
      <w:bookmarkStart w:id="1" w:name="_Ref127282582"/>
      <w:r>
        <w:rPr>
          <w:rFonts w:eastAsiaTheme="minorEastAsia"/>
        </w:rPr>
        <w:t xml:space="preserve">Supplementary </w:t>
      </w:r>
      <w:r>
        <w:rPr>
          <w:rFonts w:hint="eastAsia" w:eastAsiaTheme="minorEastAsia"/>
        </w:rPr>
        <w:t>T</w:t>
      </w:r>
      <w:r>
        <w:rPr>
          <w:rFonts w:eastAsiaTheme="minorEastAsia"/>
        </w:rPr>
        <w:t>ables</w:t>
      </w:r>
    </w:p>
    <w:p>
      <w:pPr>
        <w:pStyle w:val="7"/>
        <w:ind w:firstLine="482"/>
        <w:rPr>
          <w:sz w:val="21"/>
          <w:szCs w:val="21"/>
          <w:shd w:val="clear" w:color="auto" w:fill="auto"/>
        </w:rPr>
      </w:pPr>
      <w:r>
        <w:rPr>
          <w:b/>
          <w:bCs/>
        </w:rPr>
        <w:t>Table S</w:t>
      </w:r>
      <w:r>
        <w:rPr>
          <w:b/>
          <w:bCs/>
        </w:rPr>
        <w:fldChar w:fldCharType="begin"/>
      </w:r>
      <w:r>
        <w:rPr>
          <w:b/>
          <w:bCs/>
        </w:rPr>
        <w:instrText xml:space="preserve"> SEQ Table_S \* ARABIC </w:instrText>
      </w:r>
      <w:r>
        <w:rPr>
          <w:b/>
          <w:bCs/>
        </w:rPr>
        <w:fldChar w:fldCharType="separate"/>
      </w:r>
      <w:r>
        <w:rPr>
          <w:b/>
          <w:bCs/>
        </w:rPr>
        <w:t>1</w:t>
      </w:r>
      <w:r>
        <w:rPr>
          <w:b/>
          <w:bCs/>
        </w:rPr>
        <w:fldChar w:fldCharType="end"/>
      </w:r>
      <w:bookmarkEnd w:id="1"/>
      <w:r>
        <w:t xml:space="preserve"> Information on the MR scanners and the image types</w:t>
      </w:r>
    </w:p>
    <w:tbl>
      <w:tblPr>
        <w:tblStyle w:val="13"/>
        <w:tblW w:w="9860" w:type="dxa"/>
        <w:jc w:val="center"/>
        <w:tblLayout w:type="autofit"/>
        <w:tblCellMar>
          <w:top w:w="0" w:type="dxa"/>
          <w:left w:w="108" w:type="dxa"/>
          <w:bottom w:w="0" w:type="dxa"/>
          <w:right w:w="108" w:type="dxa"/>
        </w:tblCellMar>
      </w:tblPr>
      <w:tblGrid>
        <w:gridCol w:w="2251"/>
        <w:gridCol w:w="1583"/>
        <w:gridCol w:w="1583"/>
        <w:gridCol w:w="1588"/>
        <w:gridCol w:w="1728"/>
        <w:gridCol w:w="1127"/>
      </w:tblGrid>
      <w:tr>
        <w:tblPrEx>
          <w:tblCellMar>
            <w:top w:w="0" w:type="dxa"/>
            <w:left w:w="108" w:type="dxa"/>
            <w:bottom w:w="0" w:type="dxa"/>
            <w:right w:w="108" w:type="dxa"/>
          </w:tblCellMar>
        </w:tblPrEx>
        <w:trPr>
          <w:trHeight w:val="292" w:hRule="atLeast"/>
          <w:jc w:val="center"/>
        </w:trPr>
        <w:tc>
          <w:tcPr>
            <w:tcW w:w="2280" w:type="dxa"/>
            <w:vMerge w:val="restart"/>
            <w:tcBorders>
              <w:top w:val="single" w:color="auto" w:sz="12" w:space="0"/>
              <w:left w:val="nil"/>
              <w:bottom w:val="single" w:color="000000" w:sz="8"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620"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Overall</w:t>
            </w:r>
          </w:p>
        </w:tc>
        <w:tc>
          <w:tcPr>
            <w:tcW w:w="1620"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Training</w:t>
            </w:r>
          </w:p>
        </w:tc>
        <w:tc>
          <w:tcPr>
            <w:tcW w:w="1620"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Validation</w:t>
            </w:r>
          </w:p>
        </w:tc>
        <w:tc>
          <w:tcPr>
            <w:tcW w:w="1791"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Testing</w:t>
            </w:r>
          </w:p>
        </w:tc>
        <w:tc>
          <w:tcPr>
            <w:tcW w:w="929" w:type="dxa"/>
            <w:vMerge w:val="restart"/>
            <w:tcBorders>
              <w:top w:val="single" w:color="auto" w:sz="12" w:space="0"/>
              <w:left w:val="nil"/>
              <w:bottom w:val="single" w:color="000000" w:sz="8" w:space="0"/>
              <w:right w:val="nil"/>
            </w:tcBorders>
            <w:vAlign w:val="center"/>
          </w:tcPr>
          <w:p>
            <w:pPr>
              <w:shd w:val="clear" w:color="auto" w:fill="FFFFFF"/>
              <w:ind w:firstLine="300"/>
              <w:rPr>
                <w:rFonts w:eastAsia="等线"/>
                <w:sz w:val="15"/>
                <w:szCs w:val="15"/>
              </w:rPr>
            </w:pPr>
            <w:r>
              <w:rPr>
                <w:rFonts w:eastAsia="等线"/>
                <w:i/>
                <w:iCs/>
                <w:sz w:val="15"/>
                <w:szCs w:val="15"/>
              </w:rPr>
              <w:t>P</w:t>
            </w:r>
            <w:r>
              <w:rPr>
                <w:rFonts w:eastAsia="等线"/>
                <w:sz w:val="15"/>
                <w:szCs w:val="15"/>
              </w:rPr>
              <w:t xml:space="preserve"> value</w:t>
            </w:r>
          </w:p>
        </w:tc>
      </w:tr>
      <w:tr>
        <w:tblPrEx>
          <w:tblCellMar>
            <w:top w:w="0" w:type="dxa"/>
            <w:left w:w="108" w:type="dxa"/>
            <w:bottom w:w="0" w:type="dxa"/>
            <w:right w:w="108" w:type="dxa"/>
          </w:tblCellMar>
        </w:tblPrEx>
        <w:trPr>
          <w:trHeight w:val="292" w:hRule="atLeast"/>
          <w:jc w:val="center"/>
        </w:trPr>
        <w:tc>
          <w:tcPr>
            <w:tcW w:w="0" w:type="auto"/>
            <w:vMerge w:val="continue"/>
            <w:tcBorders>
              <w:top w:val="single" w:color="auto" w:sz="12" w:space="0"/>
              <w:left w:val="nil"/>
              <w:bottom w:val="single" w:color="000000" w:sz="8" w:space="0"/>
              <w:right w:val="nil"/>
            </w:tcBorders>
            <w:vAlign w:val="center"/>
          </w:tcPr>
          <w:p>
            <w:pPr>
              <w:widowControl/>
              <w:ind w:firstLine="300"/>
              <w:jc w:val="left"/>
              <w:rPr>
                <w:rFonts w:ascii="Calibri" w:hAnsi="Calibri" w:eastAsia="等线"/>
                <w:sz w:val="15"/>
                <w:szCs w:val="15"/>
              </w:rPr>
            </w:pPr>
          </w:p>
        </w:tc>
        <w:tc>
          <w:tcPr>
            <w:tcW w:w="1620"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(n=5151)</w:t>
            </w:r>
          </w:p>
        </w:tc>
        <w:tc>
          <w:tcPr>
            <w:tcW w:w="1620"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(n=4122)</w:t>
            </w:r>
          </w:p>
        </w:tc>
        <w:tc>
          <w:tcPr>
            <w:tcW w:w="1620"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(n=513)</w:t>
            </w:r>
          </w:p>
        </w:tc>
        <w:tc>
          <w:tcPr>
            <w:tcW w:w="1791"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(n=516)</w:t>
            </w:r>
          </w:p>
        </w:tc>
        <w:tc>
          <w:tcPr>
            <w:tcW w:w="0" w:type="auto"/>
            <w:vMerge w:val="continue"/>
            <w:tcBorders>
              <w:top w:val="single" w:color="auto" w:sz="12" w:space="0"/>
              <w:left w:val="nil"/>
              <w:bottom w:val="single" w:color="000000" w:sz="8" w:space="0"/>
              <w:right w:val="nil"/>
            </w:tcBorders>
            <w:vAlign w:val="center"/>
          </w:tcPr>
          <w:p>
            <w:pPr>
              <w:widowControl/>
              <w:ind w:firstLine="300"/>
              <w:jc w:val="left"/>
              <w:rPr>
                <w:rFonts w:ascii="Calibri" w:hAnsi="Calibri"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Age (yrs)</w:t>
            </w:r>
          </w:p>
        </w:tc>
        <w:tc>
          <w:tcPr>
            <w:tcW w:w="1620"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宋体"/>
                <w:sz w:val="15"/>
                <w:szCs w:val="15"/>
              </w:rPr>
            </w:pPr>
          </w:p>
        </w:tc>
        <w:tc>
          <w:tcPr>
            <w:tcW w:w="1620" w:type="dxa"/>
            <w:tcBorders>
              <w:top w:val="nil"/>
              <w:left w:val="nil"/>
              <w:bottom w:val="nil"/>
              <w:right w:val="nil"/>
            </w:tcBorders>
            <w:vAlign w:val="center"/>
          </w:tcPr>
          <w:p>
            <w:pPr>
              <w:shd w:val="clear" w:color="auto" w:fill="FFFFFF"/>
              <w:ind w:firstLine="300"/>
              <w:rPr>
                <w:sz w:val="15"/>
                <w:szCs w:val="15"/>
              </w:rPr>
            </w:pPr>
          </w:p>
        </w:tc>
        <w:tc>
          <w:tcPr>
            <w:tcW w:w="1791" w:type="dxa"/>
            <w:tcBorders>
              <w:top w:val="nil"/>
              <w:left w:val="nil"/>
              <w:bottom w:val="nil"/>
              <w:right w:val="nil"/>
            </w:tcBorders>
            <w:vAlign w:val="center"/>
          </w:tcPr>
          <w:p>
            <w:pPr>
              <w:shd w:val="clear" w:color="auto" w:fill="FFFFFF"/>
              <w:ind w:firstLine="300"/>
              <w:rPr>
                <w:sz w:val="15"/>
                <w:szCs w:val="15"/>
              </w:rPr>
            </w:pPr>
          </w:p>
        </w:tc>
        <w:tc>
          <w:tcPr>
            <w:tcW w:w="929"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71.0 [65.0, 76.0]</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71.0 [65.0, 76.0]</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71.0 [66.0, 77.0]</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71.0 [65.0, 76.0]</w:t>
            </w:r>
          </w:p>
        </w:tc>
        <w:tc>
          <w:tcPr>
            <w:tcW w:w="92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0.46</w:t>
            </w: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Image Type</w:t>
            </w:r>
          </w:p>
        </w:tc>
        <w:tc>
          <w:tcPr>
            <w:tcW w:w="1620"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宋体"/>
                <w:sz w:val="15"/>
                <w:szCs w:val="15"/>
              </w:rPr>
            </w:pPr>
          </w:p>
        </w:tc>
        <w:tc>
          <w:tcPr>
            <w:tcW w:w="1620" w:type="dxa"/>
            <w:tcBorders>
              <w:top w:val="nil"/>
              <w:left w:val="nil"/>
              <w:bottom w:val="nil"/>
              <w:right w:val="nil"/>
            </w:tcBorders>
            <w:vAlign w:val="center"/>
          </w:tcPr>
          <w:p>
            <w:pPr>
              <w:shd w:val="clear" w:color="auto" w:fill="FFFFFF"/>
              <w:ind w:firstLine="300"/>
              <w:rPr>
                <w:sz w:val="15"/>
                <w:szCs w:val="15"/>
              </w:rPr>
            </w:pPr>
          </w:p>
        </w:tc>
        <w:tc>
          <w:tcPr>
            <w:tcW w:w="1791" w:type="dxa"/>
            <w:tcBorders>
              <w:top w:val="nil"/>
              <w:left w:val="nil"/>
              <w:bottom w:val="nil"/>
              <w:right w:val="nil"/>
            </w:tcBorders>
            <w:vAlign w:val="center"/>
          </w:tcPr>
          <w:p>
            <w:pPr>
              <w:shd w:val="clear" w:color="auto" w:fill="FFFFFF"/>
              <w:ind w:firstLine="300"/>
              <w:rPr>
                <w:sz w:val="15"/>
                <w:szCs w:val="15"/>
              </w:rPr>
            </w:pPr>
          </w:p>
        </w:tc>
        <w:tc>
          <w:tcPr>
            <w:tcW w:w="929"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ADC</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906 (17.6%)</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730 (17.7%)</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86 (16.8%)</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90 (17.4%)</w:t>
            </w:r>
          </w:p>
        </w:tc>
        <w:tc>
          <w:tcPr>
            <w:tcW w:w="92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P&gt;0.99</w:t>
            </w: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DWI_High</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1045 (20.3%)</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835 (20.3%)</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105 (20.5%)</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105 (20.3%)</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DWI_Low</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1012 (19.6%)</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808 (19.6%)</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102 (19.9%)</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102 (19.8%)</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T2WI_Fs</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1188 (23.1%)</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950 (23.0%)</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120 (23.4%)</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118 (22.9%)</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T2WI_nan</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1000 (19.4%)</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799 (19.4%)</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100 (19.5%)</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101 (19.6%)</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Magnetic Field</w:t>
            </w:r>
          </w:p>
        </w:tc>
        <w:tc>
          <w:tcPr>
            <w:tcW w:w="1620"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宋体"/>
                <w:sz w:val="15"/>
                <w:szCs w:val="15"/>
              </w:rPr>
            </w:pPr>
          </w:p>
        </w:tc>
        <w:tc>
          <w:tcPr>
            <w:tcW w:w="1620" w:type="dxa"/>
            <w:tcBorders>
              <w:top w:val="nil"/>
              <w:left w:val="nil"/>
              <w:bottom w:val="nil"/>
              <w:right w:val="nil"/>
            </w:tcBorders>
            <w:vAlign w:val="center"/>
          </w:tcPr>
          <w:p>
            <w:pPr>
              <w:shd w:val="clear" w:color="auto" w:fill="FFFFFF"/>
              <w:ind w:firstLine="300"/>
              <w:rPr>
                <w:sz w:val="15"/>
                <w:szCs w:val="15"/>
              </w:rPr>
            </w:pPr>
          </w:p>
        </w:tc>
        <w:tc>
          <w:tcPr>
            <w:tcW w:w="1791" w:type="dxa"/>
            <w:tcBorders>
              <w:top w:val="nil"/>
              <w:left w:val="nil"/>
              <w:bottom w:val="nil"/>
              <w:right w:val="nil"/>
            </w:tcBorders>
            <w:vAlign w:val="center"/>
          </w:tcPr>
          <w:p>
            <w:pPr>
              <w:shd w:val="clear" w:color="auto" w:fill="FFFFFF"/>
              <w:ind w:firstLine="300"/>
              <w:rPr>
                <w:sz w:val="15"/>
                <w:szCs w:val="15"/>
              </w:rPr>
            </w:pPr>
          </w:p>
        </w:tc>
        <w:tc>
          <w:tcPr>
            <w:tcW w:w="929"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 T</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657 (12.8%)</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523 (12.7%)</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59 (11.5%)</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75 (14.5%)</w:t>
            </w:r>
          </w:p>
        </w:tc>
        <w:tc>
          <w:tcPr>
            <w:tcW w:w="92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0.33</w:t>
            </w: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3.0 T</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4494 (87.2%)</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3599 (87.3%)</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454 (88.5%)</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441 (85.5%)</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Manufacture</w:t>
            </w:r>
          </w:p>
        </w:tc>
        <w:tc>
          <w:tcPr>
            <w:tcW w:w="1620"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宋体"/>
                <w:sz w:val="15"/>
                <w:szCs w:val="15"/>
              </w:rPr>
            </w:pPr>
          </w:p>
        </w:tc>
        <w:tc>
          <w:tcPr>
            <w:tcW w:w="1620" w:type="dxa"/>
            <w:tcBorders>
              <w:top w:val="nil"/>
              <w:left w:val="nil"/>
              <w:bottom w:val="nil"/>
              <w:right w:val="nil"/>
            </w:tcBorders>
            <w:vAlign w:val="center"/>
          </w:tcPr>
          <w:p>
            <w:pPr>
              <w:shd w:val="clear" w:color="auto" w:fill="FFFFFF"/>
              <w:ind w:firstLine="300"/>
              <w:rPr>
                <w:sz w:val="15"/>
                <w:szCs w:val="15"/>
              </w:rPr>
            </w:pPr>
          </w:p>
        </w:tc>
        <w:tc>
          <w:tcPr>
            <w:tcW w:w="1791" w:type="dxa"/>
            <w:tcBorders>
              <w:top w:val="nil"/>
              <w:left w:val="nil"/>
              <w:bottom w:val="nil"/>
              <w:right w:val="nil"/>
            </w:tcBorders>
            <w:vAlign w:val="center"/>
          </w:tcPr>
          <w:p>
            <w:pPr>
              <w:shd w:val="clear" w:color="auto" w:fill="FFFFFF"/>
              <w:ind w:firstLine="300"/>
              <w:rPr>
                <w:sz w:val="15"/>
                <w:szCs w:val="15"/>
              </w:rPr>
            </w:pPr>
          </w:p>
        </w:tc>
        <w:tc>
          <w:tcPr>
            <w:tcW w:w="929"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GE Medical Systems</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2635 (51.2%)</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2100 (50.9%)</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253 (49.3%)</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282 (54.7%)</w:t>
            </w:r>
          </w:p>
        </w:tc>
        <w:tc>
          <w:tcPr>
            <w:tcW w:w="92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0.50</w:t>
            </w:r>
          </w:p>
        </w:tc>
      </w:tr>
      <w:tr>
        <w:tblPrEx>
          <w:tblCellMar>
            <w:top w:w="0" w:type="dxa"/>
            <w:left w:w="108" w:type="dxa"/>
            <w:bottom w:w="0" w:type="dxa"/>
            <w:right w:w="108" w:type="dxa"/>
          </w:tblCellMar>
        </w:tblPrEx>
        <w:trPr>
          <w:trHeight w:val="292"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Philips Medical Systems</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491 (9.5%)</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397 (9.6%)</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50 (9.7%)</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 (8.5%)</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SIEMENS</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2025 (39.3%)</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1625 (39.4%)</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210 (40.9%)</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190 (36.8%)</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Station Name</w:t>
            </w:r>
          </w:p>
        </w:tc>
        <w:tc>
          <w:tcPr>
            <w:tcW w:w="1620"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宋体"/>
                <w:sz w:val="15"/>
                <w:szCs w:val="15"/>
              </w:rPr>
            </w:pPr>
          </w:p>
        </w:tc>
        <w:tc>
          <w:tcPr>
            <w:tcW w:w="1620" w:type="dxa"/>
            <w:tcBorders>
              <w:top w:val="nil"/>
              <w:left w:val="nil"/>
              <w:bottom w:val="nil"/>
              <w:right w:val="nil"/>
            </w:tcBorders>
            <w:vAlign w:val="center"/>
          </w:tcPr>
          <w:p>
            <w:pPr>
              <w:shd w:val="clear" w:color="auto" w:fill="FFFFFF"/>
              <w:ind w:firstLine="300"/>
              <w:rPr>
                <w:sz w:val="15"/>
                <w:szCs w:val="15"/>
              </w:rPr>
            </w:pPr>
          </w:p>
        </w:tc>
        <w:tc>
          <w:tcPr>
            <w:tcW w:w="1791" w:type="dxa"/>
            <w:tcBorders>
              <w:top w:val="nil"/>
              <w:left w:val="nil"/>
              <w:bottom w:val="nil"/>
              <w:right w:val="nil"/>
            </w:tcBorders>
            <w:vAlign w:val="center"/>
          </w:tcPr>
          <w:p>
            <w:pPr>
              <w:shd w:val="clear" w:color="auto" w:fill="FFFFFF"/>
              <w:ind w:firstLine="300"/>
              <w:rPr>
                <w:sz w:val="15"/>
                <w:szCs w:val="15"/>
              </w:rPr>
            </w:pPr>
          </w:p>
        </w:tc>
        <w:tc>
          <w:tcPr>
            <w:tcW w:w="929"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AWP145938</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597 (11.6%)</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468 (11.4%)</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73 (14.2%)</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56 (10.9%)</w:t>
            </w:r>
          </w:p>
        </w:tc>
        <w:tc>
          <w:tcPr>
            <w:tcW w:w="92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0.17</w:t>
            </w: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AWP152194</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119 (2.3%)</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96 (2.3%)</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 (2.3%)</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 (2.1%)</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AWP166059</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194 (3.8%)</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164 (4.0%)</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 (3.3%)</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13 (2.5%)</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AWP174090</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(0.2%)</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(0.1%)</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(0.6%)</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AWP39300</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(0.1%)</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(0.1%)</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(0.2%)</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DVMRDVMR</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1172 (22.8%)</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939 (22.8%)</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124 (24.2%)</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109 (21.1%)</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GEHC</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1023 (19.9%)</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821 (19.9%)</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87 (17.0%)</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115 (22.3%)</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GEHCGEHC</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440 (8.5%)</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340 (8.2%)</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42 (8.2%)</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58 (11.2%)</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MRC35207</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696 (13.5%)</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567 (13.8%)</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69 (13.5%)</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60 (11.6%)</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MRC40764</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387 (7.5%)</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306 (7.4%)</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37 (7.2%)</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 (8.5%)</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MRSUZTB03A</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57 (1.1%)</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49 (1.2%)</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(0.8%)</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(0.8%)</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PHILIPS-8FA1B4E</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72 (1.4%)</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62 (1.5%)</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(1.0%)</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(1.0%)</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PHILIPS-CB0GKAC</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 (0.2%)</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 (0.2%)</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(0.6%)</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28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PHILIPS-DSALI1J</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156 (3.0%)</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124 (3.0%)</w:t>
            </w: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 (3.3%)</w:t>
            </w:r>
          </w:p>
        </w:tc>
        <w:tc>
          <w:tcPr>
            <w:tcW w:w="179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 (2.9%)</w:t>
            </w:r>
          </w:p>
        </w:tc>
        <w:tc>
          <w:tcPr>
            <w:tcW w:w="929"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92" w:hRule="atLeast"/>
          <w:jc w:val="center"/>
        </w:trPr>
        <w:tc>
          <w:tcPr>
            <w:tcW w:w="228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PHILIPS-NK6RG9A</w:t>
            </w:r>
          </w:p>
        </w:tc>
        <w:tc>
          <w:tcPr>
            <w:tcW w:w="162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194 (3.8%)</w:t>
            </w:r>
          </w:p>
        </w:tc>
        <w:tc>
          <w:tcPr>
            <w:tcW w:w="162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153 (3.7%)</w:t>
            </w:r>
          </w:p>
        </w:tc>
        <w:tc>
          <w:tcPr>
            <w:tcW w:w="162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24 (4.7%)</w:t>
            </w:r>
          </w:p>
        </w:tc>
        <w:tc>
          <w:tcPr>
            <w:tcW w:w="1791"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17 (3.3%)</w:t>
            </w:r>
          </w:p>
        </w:tc>
        <w:tc>
          <w:tcPr>
            <w:tcW w:w="929"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r>
    </w:tbl>
    <w:p>
      <w:pPr>
        <w:widowControl/>
        <w:spacing w:line="480" w:lineRule="auto"/>
        <w:ind w:firstLine="0" w:firstLineChars="0"/>
        <w:contextualSpacing/>
      </w:pPr>
      <w:r>
        <w:rPr>
          <w:rFonts w:eastAsia="等线"/>
          <w:shd w:val="clear" w:color="auto" w:fill="FFFFFF" w:themeFill="background1"/>
        </w:rPr>
        <w:t xml:space="preserve">Quantitative variables </w:t>
      </w:r>
      <w:r>
        <w:rPr>
          <w:rFonts w:eastAsia="等线"/>
        </w:rPr>
        <w:t>are</w:t>
      </w:r>
      <w:r>
        <w:rPr>
          <w:rFonts w:eastAsia="等线"/>
          <w:shd w:val="clear" w:color="auto" w:fill="FFFFFF" w:themeFill="background1"/>
        </w:rPr>
        <w:t xml:space="preserve"> given as the median [Q1, Q3] for nonnormalized data. </w:t>
      </w:r>
      <w:r>
        <w:t xml:space="preserve">Fs fat saturation, </w:t>
      </w:r>
      <w:r>
        <w:rPr>
          <w:rFonts w:eastAsia="等线"/>
          <w:shd w:val="clear" w:color="auto" w:fill="FFFFFF" w:themeFill="background1"/>
        </w:rPr>
        <w:t xml:space="preserve">T2WI T2-weighted imaging, ADC </w:t>
      </w:r>
      <w:r>
        <w:rPr>
          <w:color w:val="000000" w:themeColor="text1"/>
          <w14:textFill>
            <w14:solidFill>
              <w14:schemeClr w14:val="tx1"/>
            </w14:solidFill>
          </w14:textFill>
        </w:rPr>
        <w:t>apparent diffusion coefficient, DWI diffusion-weighted imaging.</w:t>
      </w:r>
    </w:p>
    <w:p>
      <w:pPr>
        <w:ind w:firstLine="420"/>
        <w:rPr>
          <w:rFonts w:ascii="Calibri" w:hAnsi="Calibri" w:eastAsia="宋体"/>
          <w:sz w:val="21"/>
          <w:szCs w:val="21"/>
        </w:rPr>
      </w:pPr>
    </w:p>
    <w:p>
      <w:pPr>
        <w:widowControl/>
        <w:ind w:firstLine="0" w:firstLineChars="0"/>
        <w:jc w:val="left"/>
        <w:sectPr>
          <w:pgSz w:w="12240" w:h="15840"/>
          <w:pgMar w:top="1440" w:right="1800" w:bottom="1440" w:left="1800" w:header="720" w:footer="720" w:gutter="0"/>
          <w:cols w:space="720" w:num="1"/>
          <w:docGrid w:type="lines" w:linePitch="312" w:charSpace="0"/>
        </w:sectPr>
      </w:pPr>
    </w:p>
    <w:p>
      <w:pPr>
        <w:widowControl/>
        <w:ind w:firstLine="0" w:firstLineChars="0"/>
        <w:jc w:val="left"/>
      </w:pPr>
    </w:p>
    <w:p>
      <w:pPr>
        <w:pStyle w:val="7"/>
        <w:ind w:firstLine="478" w:firstLineChars="199"/>
        <w:rPr>
          <w:rFonts w:ascii="宋体" w:hAnsi="宋体"/>
          <w:shd w:val="clear" w:color="auto" w:fill="auto"/>
        </w:rPr>
      </w:pPr>
      <w:bookmarkStart w:id="2" w:name="_Ref127282752"/>
      <w:r>
        <w:rPr>
          <w:b/>
          <w:bCs/>
        </w:rPr>
        <w:t>Table S</w:t>
      </w:r>
      <w:r>
        <w:rPr>
          <w:b/>
          <w:bCs/>
        </w:rPr>
        <w:fldChar w:fldCharType="begin"/>
      </w:r>
      <w:r>
        <w:rPr>
          <w:b/>
          <w:bCs/>
        </w:rPr>
        <w:instrText xml:space="preserve"> SEQ Table_S \* ARABIC </w:instrText>
      </w:r>
      <w:r>
        <w:rPr>
          <w:b/>
          <w:bCs/>
        </w:rPr>
        <w:fldChar w:fldCharType="separate"/>
      </w:r>
      <w:r>
        <w:rPr>
          <w:b/>
          <w:bCs/>
        </w:rPr>
        <w:t>2</w:t>
      </w:r>
      <w:r>
        <w:rPr>
          <w:b/>
          <w:bCs/>
        </w:rPr>
        <w:fldChar w:fldCharType="end"/>
      </w:r>
      <w:bookmarkEnd w:id="2"/>
      <w:r>
        <w:rPr>
          <w:b/>
          <w:bCs/>
        </w:rPr>
        <w:t xml:space="preserve"> </w:t>
      </w:r>
      <w:r>
        <w:t>Prediction efficacies of the image classification model in different datasets</w:t>
      </w:r>
    </w:p>
    <w:tbl>
      <w:tblPr>
        <w:tblStyle w:val="13"/>
        <w:tblW w:w="14011" w:type="dxa"/>
        <w:jc w:val="center"/>
        <w:tblLayout w:type="fixed"/>
        <w:tblCellMar>
          <w:top w:w="0" w:type="dxa"/>
          <w:left w:w="108" w:type="dxa"/>
          <w:bottom w:w="0" w:type="dxa"/>
          <w:right w:w="108" w:type="dxa"/>
        </w:tblCellMar>
      </w:tblPr>
      <w:tblGrid>
        <w:gridCol w:w="1243"/>
        <w:gridCol w:w="957"/>
        <w:gridCol w:w="1096"/>
        <w:gridCol w:w="902"/>
        <w:gridCol w:w="1090"/>
        <w:gridCol w:w="1090"/>
        <w:gridCol w:w="1090"/>
        <w:gridCol w:w="1090"/>
        <w:gridCol w:w="1090"/>
        <w:gridCol w:w="1090"/>
        <w:gridCol w:w="1091"/>
        <w:gridCol w:w="1091"/>
        <w:gridCol w:w="1091"/>
      </w:tblGrid>
      <w:tr>
        <w:tblPrEx>
          <w:tblCellMar>
            <w:top w:w="0" w:type="dxa"/>
            <w:left w:w="108" w:type="dxa"/>
            <w:bottom w:w="0" w:type="dxa"/>
            <w:right w:w="108" w:type="dxa"/>
          </w:tblCellMar>
        </w:tblPrEx>
        <w:trPr>
          <w:trHeight w:val="90" w:hRule="atLeast"/>
          <w:jc w:val="center"/>
        </w:trPr>
        <w:tc>
          <w:tcPr>
            <w:tcW w:w="1243" w:type="dxa"/>
            <w:tcBorders>
              <w:top w:val="single" w:color="auto" w:sz="12" w:space="0"/>
              <w:left w:val="nil"/>
              <w:bottom w:val="single" w:color="auto" w:sz="8" w:space="0"/>
              <w:right w:val="nil"/>
            </w:tcBorders>
            <w:vAlign w:val="center"/>
          </w:tcPr>
          <w:p>
            <w:pPr>
              <w:shd w:val="clear" w:color="auto" w:fill="FFFFFF"/>
              <w:ind w:firstLine="300"/>
              <w:rPr>
                <w:rFonts w:ascii="Calibri" w:hAnsi="Calibri" w:eastAsia="等线"/>
                <w:sz w:val="15"/>
                <w:szCs w:val="15"/>
              </w:rPr>
            </w:pPr>
            <w:r>
              <w:rPr>
                <w:rFonts w:hint="eastAsia" w:ascii="等线" w:hAnsi="等线" w:eastAsia="等线"/>
                <w:sz w:val="15"/>
                <w:szCs w:val="15"/>
              </w:rPr>
              <w:t>　</w:t>
            </w:r>
          </w:p>
        </w:tc>
        <w:tc>
          <w:tcPr>
            <w:tcW w:w="957"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Image Type</w:t>
            </w:r>
          </w:p>
        </w:tc>
        <w:tc>
          <w:tcPr>
            <w:tcW w:w="1096"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Image Number</w:t>
            </w:r>
          </w:p>
        </w:tc>
        <w:tc>
          <w:tcPr>
            <w:tcW w:w="902"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Accuracy</w:t>
            </w:r>
          </w:p>
        </w:tc>
        <w:tc>
          <w:tcPr>
            <w:tcW w:w="1090"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Sensitivity</w:t>
            </w:r>
          </w:p>
        </w:tc>
        <w:tc>
          <w:tcPr>
            <w:tcW w:w="1090"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Specificity</w:t>
            </w:r>
          </w:p>
        </w:tc>
        <w:tc>
          <w:tcPr>
            <w:tcW w:w="1090"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PPV</w:t>
            </w:r>
          </w:p>
        </w:tc>
        <w:tc>
          <w:tcPr>
            <w:tcW w:w="1090"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NPV</w:t>
            </w:r>
          </w:p>
        </w:tc>
        <w:tc>
          <w:tcPr>
            <w:tcW w:w="1090"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F1</w:t>
            </w:r>
          </w:p>
        </w:tc>
        <w:tc>
          <w:tcPr>
            <w:tcW w:w="1090"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Kappa</w:t>
            </w:r>
          </w:p>
        </w:tc>
        <w:tc>
          <w:tcPr>
            <w:tcW w:w="1091"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Prevalence</w:t>
            </w:r>
          </w:p>
        </w:tc>
        <w:tc>
          <w:tcPr>
            <w:tcW w:w="1091"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Detection Rate</w:t>
            </w:r>
          </w:p>
        </w:tc>
        <w:tc>
          <w:tcPr>
            <w:tcW w:w="1091" w:type="dxa"/>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Detection Prevalence</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Train</w:t>
            </w: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p>
        </w:tc>
        <w:tc>
          <w:tcPr>
            <w:tcW w:w="1096" w:type="dxa"/>
            <w:tcBorders>
              <w:top w:val="nil"/>
              <w:left w:val="nil"/>
              <w:bottom w:val="nil"/>
              <w:right w:val="nil"/>
            </w:tcBorders>
            <w:noWrap/>
            <w:vAlign w:val="center"/>
          </w:tcPr>
          <w:p>
            <w:pPr>
              <w:shd w:val="clear" w:color="auto" w:fill="FFFFFF"/>
              <w:ind w:firstLine="300"/>
              <w:rPr>
                <w:rFonts w:eastAsia="等线"/>
                <w:sz w:val="15"/>
                <w:szCs w:val="15"/>
              </w:rPr>
            </w:pP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ADC</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718</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0.174</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0.174</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0.174</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DWI_High</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849</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0.996</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0.994</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0.998</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0.991</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0.998</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0.992</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0.206</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0.205</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0.207</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DWI_Low</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815</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0.992</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0.987</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0.998</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0.991</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0.997</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0.989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0.986</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0.198</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0.195</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0.197</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T2WI_Fs</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957</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0.998</w:t>
            </w:r>
          </w:p>
        </w:tc>
        <w:tc>
          <w:tcPr>
            <w:tcW w:w="1090" w:type="dxa"/>
            <w:tcBorders>
              <w:top w:val="nil"/>
              <w:left w:val="nil"/>
              <w:bottom w:val="nil"/>
              <w:right w:val="nil"/>
            </w:tcBorders>
            <w:noWrap/>
            <w:vAlign w:val="center"/>
          </w:tcPr>
          <w:p>
            <w:pPr>
              <w:shd w:val="clear" w:color="auto" w:fill="FFFFFF"/>
              <w:ind w:firstLine="300"/>
              <w:jc w:val="left"/>
              <w:rPr>
                <w:rFonts w:eastAsia="等线"/>
                <w:sz w:val="15"/>
                <w:szCs w:val="15"/>
              </w:rPr>
            </w:pPr>
            <w:r>
              <w:rPr>
                <w:rFonts w:eastAsia="等线"/>
                <w:sz w:val="15"/>
                <w:szCs w:val="15"/>
              </w:rPr>
              <w:t>0.997</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0.998</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0.997</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0.997</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0.232</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0.231</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0.232</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T2WI_nan</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783</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0.190</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Validation</w:t>
            </w: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p>
        </w:tc>
        <w:tc>
          <w:tcPr>
            <w:tcW w:w="1096" w:type="dxa"/>
            <w:tcBorders>
              <w:top w:val="nil"/>
              <w:left w:val="nil"/>
              <w:bottom w:val="nil"/>
              <w:right w:val="nil"/>
            </w:tcBorders>
            <w:noWrap/>
            <w:vAlign w:val="center"/>
          </w:tcPr>
          <w:p>
            <w:pPr>
              <w:shd w:val="clear" w:color="auto" w:fill="FFFFFF"/>
              <w:ind w:firstLine="300"/>
              <w:jc w:val="center"/>
              <w:rPr>
                <w:rFonts w:eastAsia="宋体"/>
                <w:sz w:val="15"/>
                <w:szCs w:val="15"/>
              </w:rPr>
            </w:pPr>
          </w:p>
        </w:tc>
        <w:tc>
          <w:tcPr>
            <w:tcW w:w="902" w:type="dxa"/>
            <w:tcBorders>
              <w:top w:val="nil"/>
              <w:left w:val="nil"/>
              <w:bottom w:val="nil"/>
              <w:right w:val="nil"/>
            </w:tcBorders>
            <w:noWrap/>
            <w:vAlign w:val="center"/>
          </w:tcPr>
          <w:p>
            <w:pPr>
              <w:shd w:val="clear" w:color="auto" w:fill="FFFFFF"/>
              <w:ind w:firstLine="300"/>
              <w:rPr>
                <w:sz w:val="15"/>
                <w:szCs w:val="15"/>
              </w:rPr>
            </w:pPr>
          </w:p>
        </w:tc>
        <w:tc>
          <w:tcPr>
            <w:tcW w:w="1090" w:type="dxa"/>
            <w:tcBorders>
              <w:top w:val="nil"/>
              <w:left w:val="nil"/>
              <w:bottom w:val="nil"/>
              <w:right w:val="nil"/>
            </w:tcBorders>
            <w:noWrap/>
            <w:vAlign w:val="center"/>
          </w:tcPr>
          <w:p>
            <w:pPr>
              <w:shd w:val="clear" w:color="auto" w:fill="FFFFFF"/>
              <w:ind w:firstLine="300"/>
              <w:rPr>
                <w:sz w:val="15"/>
                <w:szCs w:val="15"/>
              </w:rPr>
            </w:pPr>
          </w:p>
        </w:tc>
        <w:tc>
          <w:tcPr>
            <w:tcW w:w="1090" w:type="dxa"/>
            <w:tcBorders>
              <w:top w:val="nil"/>
              <w:left w:val="nil"/>
              <w:bottom w:val="nil"/>
              <w:right w:val="nil"/>
            </w:tcBorders>
            <w:noWrap/>
            <w:vAlign w:val="center"/>
          </w:tcPr>
          <w:p>
            <w:pPr>
              <w:shd w:val="clear" w:color="auto" w:fill="FFFFFF"/>
              <w:ind w:firstLine="300"/>
              <w:rPr>
                <w:sz w:val="15"/>
                <w:szCs w:val="15"/>
              </w:rPr>
            </w:pPr>
          </w:p>
        </w:tc>
        <w:tc>
          <w:tcPr>
            <w:tcW w:w="1090" w:type="dxa"/>
            <w:tcBorders>
              <w:top w:val="nil"/>
              <w:left w:val="nil"/>
              <w:bottom w:val="nil"/>
              <w:right w:val="nil"/>
            </w:tcBorders>
            <w:noWrap/>
            <w:vAlign w:val="center"/>
          </w:tcPr>
          <w:p>
            <w:pPr>
              <w:shd w:val="clear" w:color="auto" w:fill="FFFFFF"/>
              <w:ind w:firstLine="300"/>
              <w:rPr>
                <w:sz w:val="15"/>
                <w:szCs w:val="15"/>
              </w:rPr>
            </w:pPr>
          </w:p>
        </w:tc>
        <w:tc>
          <w:tcPr>
            <w:tcW w:w="1090" w:type="dxa"/>
            <w:tcBorders>
              <w:top w:val="nil"/>
              <w:left w:val="nil"/>
              <w:bottom w:val="nil"/>
              <w:right w:val="nil"/>
            </w:tcBorders>
            <w:noWrap/>
            <w:vAlign w:val="center"/>
          </w:tcPr>
          <w:p>
            <w:pPr>
              <w:shd w:val="clear" w:color="auto" w:fill="FFFFFF"/>
              <w:ind w:firstLine="300"/>
              <w:rPr>
                <w:sz w:val="15"/>
                <w:szCs w:val="15"/>
              </w:rPr>
            </w:pPr>
          </w:p>
        </w:tc>
        <w:tc>
          <w:tcPr>
            <w:tcW w:w="1090" w:type="dxa"/>
            <w:tcBorders>
              <w:top w:val="nil"/>
              <w:left w:val="nil"/>
              <w:bottom w:val="nil"/>
              <w:right w:val="nil"/>
            </w:tcBorders>
            <w:noWrap/>
            <w:vAlign w:val="center"/>
          </w:tcPr>
          <w:p>
            <w:pPr>
              <w:shd w:val="clear" w:color="auto" w:fill="FFFFFF"/>
              <w:ind w:firstLine="300"/>
              <w:rPr>
                <w:sz w:val="15"/>
                <w:szCs w:val="15"/>
              </w:rPr>
            </w:pPr>
          </w:p>
        </w:tc>
        <w:tc>
          <w:tcPr>
            <w:tcW w:w="1090" w:type="dxa"/>
            <w:tcBorders>
              <w:top w:val="nil"/>
              <w:left w:val="nil"/>
              <w:bottom w:val="nil"/>
              <w:right w:val="nil"/>
            </w:tcBorders>
            <w:noWrap/>
            <w:vAlign w:val="center"/>
          </w:tcPr>
          <w:p>
            <w:pPr>
              <w:shd w:val="clear" w:color="auto" w:fill="FFFFFF"/>
              <w:ind w:firstLine="300"/>
              <w:rPr>
                <w:sz w:val="15"/>
                <w:szCs w:val="15"/>
              </w:rPr>
            </w:pPr>
          </w:p>
        </w:tc>
        <w:tc>
          <w:tcPr>
            <w:tcW w:w="1091" w:type="dxa"/>
            <w:tcBorders>
              <w:top w:val="nil"/>
              <w:left w:val="nil"/>
              <w:bottom w:val="nil"/>
              <w:right w:val="nil"/>
            </w:tcBorders>
            <w:noWrap/>
            <w:vAlign w:val="center"/>
          </w:tcPr>
          <w:p>
            <w:pPr>
              <w:shd w:val="clear" w:color="auto" w:fill="FFFFFF"/>
              <w:ind w:firstLine="300"/>
              <w:rPr>
                <w:sz w:val="15"/>
                <w:szCs w:val="15"/>
              </w:rPr>
            </w:pPr>
          </w:p>
        </w:tc>
        <w:tc>
          <w:tcPr>
            <w:tcW w:w="1091" w:type="dxa"/>
            <w:tcBorders>
              <w:top w:val="nil"/>
              <w:left w:val="nil"/>
              <w:bottom w:val="nil"/>
              <w:right w:val="nil"/>
            </w:tcBorders>
            <w:noWrap/>
            <w:vAlign w:val="center"/>
          </w:tcPr>
          <w:p>
            <w:pPr>
              <w:shd w:val="clear" w:color="auto" w:fill="FFFFFF"/>
              <w:ind w:firstLine="300"/>
              <w:rPr>
                <w:sz w:val="15"/>
                <w:szCs w:val="15"/>
              </w:rPr>
            </w:pPr>
          </w:p>
        </w:tc>
        <w:tc>
          <w:tcPr>
            <w:tcW w:w="1091" w:type="dxa"/>
            <w:tcBorders>
              <w:top w:val="nil"/>
              <w:left w:val="nil"/>
              <w:bottom w:val="nil"/>
              <w:right w:val="nil"/>
            </w:tcBorders>
            <w:noWrap/>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ADC</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96</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0.187</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0.187</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0.187</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DWI_High</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93</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0.989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0.978</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0.995</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0.989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0.987</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0.181</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0.177</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0.177</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DWI_Low</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101</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0.998</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0.995</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0.981</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0.988</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0.197</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0.197</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0.201</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T2WI_Fs</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107</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0.209</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0.209</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0.209</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T2WI_nan</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116</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0.226</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0.226</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0.226</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Test</w:t>
            </w: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ADC</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92</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0.178</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0.178</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0.178</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DWI_High</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103</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0.995</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0.998</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0.995</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0.994</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0.200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0.198</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0.198</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DWI_Low</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96</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0.999</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0.998</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0.995</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0.994</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0.186</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0.186</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0.188</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nil"/>
              <w:right w:val="nil"/>
            </w:tcBorders>
            <w:noWrap/>
            <w:vAlign w:val="center"/>
          </w:tcPr>
          <w:p>
            <w:pPr>
              <w:shd w:val="clear" w:color="auto" w:fill="FFFFFF"/>
              <w:ind w:firstLine="300"/>
              <w:rPr>
                <w:rFonts w:eastAsia="等线"/>
                <w:sz w:val="15"/>
                <w:szCs w:val="15"/>
              </w:rPr>
            </w:pPr>
          </w:p>
        </w:tc>
        <w:tc>
          <w:tcPr>
            <w:tcW w:w="95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T2WI_Fs</w:t>
            </w:r>
          </w:p>
        </w:tc>
        <w:tc>
          <w:tcPr>
            <w:tcW w:w="1096" w:type="dxa"/>
            <w:tcBorders>
              <w:top w:val="nil"/>
              <w:left w:val="nil"/>
              <w:bottom w:val="nil"/>
              <w:right w:val="nil"/>
            </w:tcBorders>
            <w:noWrap/>
            <w:vAlign w:val="center"/>
          </w:tcPr>
          <w:p>
            <w:pPr>
              <w:shd w:val="clear" w:color="auto" w:fill="FFFFFF"/>
              <w:ind w:firstLine="300"/>
              <w:jc w:val="center"/>
              <w:rPr>
                <w:rFonts w:eastAsia="等线"/>
                <w:sz w:val="15"/>
                <w:szCs w:val="15"/>
              </w:rPr>
            </w:pPr>
            <w:r>
              <w:rPr>
                <w:rFonts w:eastAsia="等线"/>
                <w:sz w:val="15"/>
                <w:szCs w:val="15"/>
              </w:rPr>
              <w:t>124</w:t>
            </w:r>
          </w:p>
        </w:tc>
        <w:tc>
          <w:tcPr>
            <w:tcW w:w="90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0.240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0.240</w:t>
            </w:r>
          </w:p>
        </w:tc>
        <w:tc>
          <w:tcPr>
            <w:tcW w:w="1091"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0.240</w:t>
            </w:r>
          </w:p>
        </w:tc>
      </w:tr>
      <w:tr>
        <w:tblPrEx>
          <w:tblCellMar>
            <w:top w:w="0" w:type="dxa"/>
            <w:left w:w="108" w:type="dxa"/>
            <w:bottom w:w="0" w:type="dxa"/>
            <w:right w:w="108" w:type="dxa"/>
          </w:tblCellMar>
        </w:tblPrEx>
        <w:trPr>
          <w:trHeight w:val="90" w:hRule="atLeast"/>
          <w:jc w:val="center"/>
        </w:trPr>
        <w:tc>
          <w:tcPr>
            <w:tcW w:w="1243"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957"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T2WI_nan</w:t>
            </w:r>
          </w:p>
        </w:tc>
        <w:tc>
          <w:tcPr>
            <w:tcW w:w="1096" w:type="dxa"/>
            <w:tcBorders>
              <w:top w:val="nil"/>
              <w:left w:val="nil"/>
              <w:bottom w:val="single" w:color="auto" w:sz="12" w:space="0"/>
              <w:right w:val="nil"/>
            </w:tcBorders>
            <w:noWrap/>
            <w:vAlign w:val="center"/>
          </w:tcPr>
          <w:p>
            <w:pPr>
              <w:shd w:val="clear" w:color="auto" w:fill="FFFFFF"/>
              <w:ind w:firstLine="300"/>
              <w:jc w:val="center"/>
              <w:rPr>
                <w:rFonts w:eastAsia="等线"/>
                <w:sz w:val="15"/>
                <w:szCs w:val="15"/>
              </w:rPr>
            </w:pPr>
            <w:r>
              <w:rPr>
                <w:rFonts w:eastAsia="等线"/>
                <w:sz w:val="15"/>
                <w:szCs w:val="15"/>
              </w:rPr>
              <w:t>101</w:t>
            </w:r>
          </w:p>
        </w:tc>
        <w:tc>
          <w:tcPr>
            <w:tcW w:w="902"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0"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1.000</w:t>
            </w:r>
          </w:p>
        </w:tc>
        <w:tc>
          <w:tcPr>
            <w:tcW w:w="1091"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0.196</w:t>
            </w:r>
          </w:p>
        </w:tc>
        <w:tc>
          <w:tcPr>
            <w:tcW w:w="1091"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0.196</w:t>
            </w:r>
          </w:p>
        </w:tc>
        <w:tc>
          <w:tcPr>
            <w:tcW w:w="1091"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0.196</w:t>
            </w:r>
          </w:p>
        </w:tc>
      </w:tr>
    </w:tbl>
    <w:p>
      <w:pPr>
        <w:widowControl/>
        <w:jc w:val="left"/>
        <w:rPr>
          <w:rFonts w:ascii="Calibri" w:hAnsi="Calibri" w:eastAsia="宋体"/>
          <w:sz w:val="21"/>
          <w:szCs w:val="21"/>
        </w:rPr>
      </w:pPr>
      <w:r>
        <w:t>ADC apparent diffusion coefficient, T2WI T2-weighted imaging, DWI diffusion weighted imaging, Fs fat saturation, PPV positive predictive value, NPV negative predictive value.</w:t>
      </w:r>
    </w:p>
    <w:p>
      <w:pPr>
        <w:widowControl/>
        <w:ind w:firstLine="482"/>
        <w:jc w:val="left"/>
        <w:rPr>
          <w:rFonts w:ascii="Times New Roman Bold" w:hAnsi="Times New Roman Bold" w:cs="宋体"/>
          <w:b/>
          <w:bCs/>
        </w:rPr>
        <w:sectPr>
          <w:pgSz w:w="15840" w:h="12240" w:orient="landscape"/>
          <w:pgMar w:top="1803" w:right="1440" w:bottom="1803" w:left="1440" w:header="720" w:footer="720" w:gutter="0"/>
          <w:cols w:space="720" w:num="1"/>
          <w:docGrid w:type="lines" w:linePitch="319" w:charSpace="0"/>
        </w:sectPr>
      </w:pPr>
    </w:p>
    <w:p>
      <w:pPr>
        <w:pStyle w:val="7"/>
        <w:ind w:firstLine="482"/>
        <w:rPr>
          <w:rFonts w:ascii="宋体" w:hAnsi="宋体"/>
        </w:rPr>
      </w:pPr>
      <w:bookmarkStart w:id="3" w:name="_Ref127282789"/>
      <w:r>
        <w:rPr>
          <w:b/>
          <w:bCs/>
        </w:rPr>
        <w:t>Table S</w:t>
      </w:r>
      <w:r>
        <w:rPr>
          <w:b/>
          <w:bCs/>
        </w:rPr>
        <w:fldChar w:fldCharType="begin"/>
      </w:r>
      <w:r>
        <w:rPr>
          <w:b/>
          <w:bCs/>
        </w:rPr>
        <w:instrText xml:space="preserve"> SEQ Table_S \* ARABIC </w:instrText>
      </w:r>
      <w:r>
        <w:rPr>
          <w:b/>
          <w:bCs/>
        </w:rPr>
        <w:fldChar w:fldCharType="separate"/>
      </w:r>
      <w:r>
        <w:rPr>
          <w:b/>
          <w:bCs/>
        </w:rPr>
        <w:t>3</w:t>
      </w:r>
      <w:r>
        <w:rPr>
          <w:b/>
          <w:bCs/>
        </w:rPr>
        <w:fldChar w:fldCharType="end"/>
      </w:r>
      <w:bookmarkEnd w:id="3"/>
      <w:r>
        <w:t xml:space="preserve"> Information on the MR scanners and the image types</w:t>
      </w:r>
    </w:p>
    <w:tbl>
      <w:tblPr>
        <w:tblStyle w:val="13"/>
        <w:tblW w:w="10343" w:type="dxa"/>
        <w:jc w:val="center"/>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Layout w:type="fixed"/>
        <w:tblCellMar>
          <w:top w:w="0" w:type="dxa"/>
          <w:left w:w="108" w:type="dxa"/>
          <w:bottom w:w="0" w:type="dxa"/>
          <w:right w:w="108" w:type="dxa"/>
        </w:tblCellMar>
      </w:tblPr>
      <w:tblGrid>
        <w:gridCol w:w="2125"/>
        <w:gridCol w:w="1753"/>
        <w:gridCol w:w="1808"/>
        <w:gridCol w:w="1644"/>
        <w:gridCol w:w="1643"/>
        <w:gridCol w:w="1370"/>
      </w:tblGrid>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82" w:hRule="atLeast"/>
          <w:jc w:val="center"/>
        </w:trPr>
        <w:tc>
          <w:tcPr>
            <w:tcW w:w="2125" w:type="dxa"/>
            <w:vMerge w:val="restart"/>
            <w:tcBorders>
              <w:top w:val="single" w:color="auto" w:sz="12" w:space="0"/>
              <w:left w:val="nil"/>
              <w:bottom w:val="single" w:color="auto" w:sz="6" w:space="0"/>
              <w:right w:val="nil"/>
            </w:tcBorders>
            <w:vAlign w:val="center"/>
          </w:tcPr>
          <w:p>
            <w:pPr>
              <w:shd w:val="clear" w:color="auto" w:fill="FFFFFF"/>
              <w:ind w:firstLine="300"/>
              <w:rPr>
                <w:rFonts w:ascii="Calibri" w:hAnsi="Calibri" w:eastAsia="等线"/>
                <w:sz w:val="15"/>
                <w:szCs w:val="15"/>
              </w:rPr>
            </w:pPr>
            <w:r>
              <w:rPr>
                <w:rFonts w:hint="eastAsia" w:ascii="等线" w:hAnsi="等线" w:eastAsia="等线"/>
                <w:sz w:val="15"/>
                <w:szCs w:val="15"/>
              </w:rPr>
              <w:t>　</w:t>
            </w:r>
          </w:p>
        </w:tc>
        <w:tc>
          <w:tcPr>
            <w:tcW w:w="1753"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Overall</w:t>
            </w:r>
          </w:p>
        </w:tc>
        <w:tc>
          <w:tcPr>
            <w:tcW w:w="1808"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Train</w:t>
            </w:r>
          </w:p>
        </w:tc>
        <w:tc>
          <w:tcPr>
            <w:tcW w:w="1644"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Validation</w:t>
            </w:r>
          </w:p>
        </w:tc>
        <w:tc>
          <w:tcPr>
            <w:tcW w:w="1643"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Test</w:t>
            </w:r>
          </w:p>
        </w:tc>
        <w:tc>
          <w:tcPr>
            <w:tcW w:w="1370" w:type="dxa"/>
            <w:vMerge w:val="restart"/>
            <w:tcBorders>
              <w:top w:val="single" w:color="auto" w:sz="12" w:space="0"/>
              <w:left w:val="nil"/>
              <w:bottom w:val="single" w:color="auto" w:sz="6" w:space="0"/>
              <w:right w:val="nil"/>
            </w:tcBorders>
            <w:vAlign w:val="center"/>
          </w:tcPr>
          <w:p>
            <w:pPr>
              <w:shd w:val="clear" w:color="auto" w:fill="FFFFFF"/>
              <w:ind w:firstLine="300"/>
              <w:rPr>
                <w:rFonts w:eastAsia="等线"/>
                <w:sz w:val="15"/>
                <w:szCs w:val="15"/>
              </w:rPr>
            </w:pPr>
            <w:r>
              <w:rPr>
                <w:rFonts w:eastAsia="等线"/>
                <w:i/>
                <w:iCs/>
                <w:sz w:val="15"/>
                <w:szCs w:val="15"/>
              </w:rPr>
              <w:t>P</w:t>
            </w:r>
            <w:r>
              <w:rPr>
                <w:rFonts w:eastAsia="等线"/>
                <w:sz w:val="15"/>
                <w:szCs w:val="15"/>
              </w:rPr>
              <w:t xml:space="preserve"> Value</w:t>
            </w: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95" w:hRule="atLeast"/>
          <w:jc w:val="center"/>
        </w:trPr>
        <w:tc>
          <w:tcPr>
            <w:tcW w:w="2125" w:type="dxa"/>
            <w:vMerge w:val="continue"/>
            <w:tcBorders>
              <w:top w:val="single" w:color="auto" w:sz="12" w:space="0"/>
              <w:left w:val="nil"/>
              <w:bottom w:val="single" w:color="auto" w:sz="6" w:space="0"/>
              <w:right w:val="nil"/>
            </w:tcBorders>
            <w:vAlign w:val="center"/>
          </w:tcPr>
          <w:p>
            <w:pPr>
              <w:widowControl/>
              <w:ind w:firstLine="300"/>
              <w:jc w:val="left"/>
              <w:rPr>
                <w:rFonts w:ascii="Calibri" w:hAnsi="Calibri" w:eastAsia="等线"/>
                <w:sz w:val="15"/>
                <w:szCs w:val="15"/>
              </w:rPr>
            </w:pPr>
          </w:p>
        </w:tc>
        <w:tc>
          <w:tcPr>
            <w:tcW w:w="1753" w:type="dxa"/>
            <w:tcBorders>
              <w:top w:val="nil"/>
              <w:left w:val="nil"/>
              <w:bottom w:val="single" w:color="auto" w:sz="6" w:space="0"/>
              <w:right w:val="nil"/>
            </w:tcBorders>
            <w:vAlign w:val="center"/>
          </w:tcPr>
          <w:p>
            <w:pPr>
              <w:shd w:val="clear" w:color="auto" w:fill="FFFFFF"/>
              <w:ind w:firstLine="300"/>
              <w:rPr>
                <w:rFonts w:eastAsia="等线"/>
                <w:sz w:val="15"/>
                <w:szCs w:val="15"/>
              </w:rPr>
            </w:pPr>
            <w:r>
              <w:rPr>
                <w:rFonts w:eastAsia="等线"/>
                <w:sz w:val="15"/>
                <w:szCs w:val="15"/>
              </w:rPr>
              <w:t>(n=5974)</w:t>
            </w:r>
          </w:p>
        </w:tc>
        <w:tc>
          <w:tcPr>
            <w:tcW w:w="1808" w:type="dxa"/>
            <w:tcBorders>
              <w:top w:val="nil"/>
              <w:left w:val="nil"/>
              <w:bottom w:val="single" w:color="auto" w:sz="6" w:space="0"/>
              <w:right w:val="nil"/>
            </w:tcBorders>
            <w:vAlign w:val="center"/>
          </w:tcPr>
          <w:p>
            <w:pPr>
              <w:shd w:val="clear" w:color="auto" w:fill="FFFFFF"/>
              <w:ind w:firstLine="300"/>
              <w:rPr>
                <w:rFonts w:eastAsia="等线"/>
                <w:sz w:val="15"/>
                <w:szCs w:val="15"/>
              </w:rPr>
            </w:pPr>
            <w:r>
              <w:rPr>
                <w:rFonts w:eastAsia="等线"/>
                <w:sz w:val="15"/>
                <w:szCs w:val="15"/>
              </w:rPr>
              <w:t>(n=4780)</w:t>
            </w:r>
          </w:p>
        </w:tc>
        <w:tc>
          <w:tcPr>
            <w:tcW w:w="1644" w:type="dxa"/>
            <w:tcBorders>
              <w:top w:val="nil"/>
              <w:left w:val="nil"/>
              <w:bottom w:val="single" w:color="auto" w:sz="6" w:space="0"/>
              <w:right w:val="nil"/>
            </w:tcBorders>
            <w:vAlign w:val="center"/>
          </w:tcPr>
          <w:p>
            <w:pPr>
              <w:shd w:val="clear" w:color="auto" w:fill="FFFFFF"/>
              <w:ind w:firstLine="300"/>
              <w:rPr>
                <w:rFonts w:eastAsia="等线"/>
                <w:sz w:val="15"/>
                <w:szCs w:val="15"/>
              </w:rPr>
            </w:pPr>
            <w:r>
              <w:rPr>
                <w:rFonts w:eastAsia="等线"/>
                <w:sz w:val="15"/>
                <w:szCs w:val="15"/>
              </w:rPr>
              <w:t>(n=601)</w:t>
            </w:r>
          </w:p>
        </w:tc>
        <w:tc>
          <w:tcPr>
            <w:tcW w:w="1643" w:type="dxa"/>
            <w:tcBorders>
              <w:top w:val="nil"/>
              <w:left w:val="nil"/>
              <w:bottom w:val="single" w:color="auto" w:sz="6" w:space="0"/>
              <w:right w:val="nil"/>
            </w:tcBorders>
            <w:vAlign w:val="center"/>
          </w:tcPr>
          <w:p>
            <w:pPr>
              <w:shd w:val="clear" w:color="auto" w:fill="FFFFFF"/>
              <w:ind w:firstLine="300"/>
              <w:rPr>
                <w:rFonts w:eastAsia="等线"/>
                <w:sz w:val="15"/>
                <w:szCs w:val="15"/>
              </w:rPr>
            </w:pPr>
            <w:r>
              <w:rPr>
                <w:rFonts w:eastAsia="等线"/>
                <w:sz w:val="15"/>
                <w:szCs w:val="15"/>
              </w:rPr>
              <w:t>(n=593)</w:t>
            </w:r>
          </w:p>
        </w:tc>
        <w:tc>
          <w:tcPr>
            <w:tcW w:w="1370" w:type="dxa"/>
            <w:vMerge w:val="continue"/>
            <w:tcBorders>
              <w:top w:val="single" w:color="auto" w:sz="12" w:space="0"/>
              <w:left w:val="nil"/>
              <w:bottom w:val="single" w:color="auto" w:sz="6" w:space="0"/>
              <w:right w:val="nil"/>
            </w:tcBorders>
            <w:vAlign w:val="center"/>
          </w:tcPr>
          <w:p>
            <w:pPr>
              <w:widowControl/>
              <w:ind w:firstLine="300"/>
              <w:jc w:val="left"/>
              <w:rPr>
                <w:rFonts w:ascii="Calibri" w:hAnsi="Calibri"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Magnetic Field</w:t>
            </w:r>
          </w:p>
        </w:tc>
        <w:tc>
          <w:tcPr>
            <w:tcW w:w="1753" w:type="dxa"/>
            <w:tcBorders>
              <w:top w:val="nil"/>
              <w:left w:val="nil"/>
              <w:bottom w:val="nil"/>
              <w:right w:val="nil"/>
            </w:tcBorders>
            <w:vAlign w:val="center"/>
          </w:tcPr>
          <w:p>
            <w:pPr>
              <w:shd w:val="clear" w:color="auto" w:fill="FFFFFF"/>
              <w:ind w:firstLine="300"/>
              <w:rPr>
                <w:rFonts w:eastAsia="等线"/>
                <w:sz w:val="15"/>
                <w:szCs w:val="15"/>
              </w:rPr>
            </w:pPr>
          </w:p>
        </w:tc>
        <w:tc>
          <w:tcPr>
            <w:tcW w:w="1808" w:type="dxa"/>
            <w:tcBorders>
              <w:top w:val="nil"/>
              <w:left w:val="nil"/>
              <w:bottom w:val="nil"/>
              <w:right w:val="nil"/>
            </w:tcBorders>
            <w:vAlign w:val="center"/>
          </w:tcPr>
          <w:p>
            <w:pPr>
              <w:shd w:val="clear" w:color="auto" w:fill="FFFFFF"/>
              <w:ind w:firstLine="300"/>
              <w:rPr>
                <w:rFonts w:eastAsia="宋体"/>
                <w:sz w:val="15"/>
                <w:szCs w:val="15"/>
              </w:rPr>
            </w:pPr>
          </w:p>
        </w:tc>
        <w:tc>
          <w:tcPr>
            <w:tcW w:w="1644" w:type="dxa"/>
            <w:tcBorders>
              <w:top w:val="nil"/>
              <w:left w:val="nil"/>
              <w:bottom w:val="nil"/>
              <w:right w:val="nil"/>
            </w:tcBorders>
            <w:vAlign w:val="center"/>
          </w:tcPr>
          <w:p>
            <w:pPr>
              <w:shd w:val="clear" w:color="auto" w:fill="FFFFFF"/>
              <w:ind w:firstLine="300"/>
              <w:rPr>
                <w:sz w:val="15"/>
                <w:szCs w:val="15"/>
              </w:rPr>
            </w:pPr>
          </w:p>
        </w:tc>
        <w:tc>
          <w:tcPr>
            <w:tcW w:w="1643" w:type="dxa"/>
            <w:tcBorders>
              <w:top w:val="nil"/>
              <w:left w:val="nil"/>
              <w:bottom w:val="nil"/>
              <w:right w:val="nil"/>
            </w:tcBorders>
            <w:vAlign w:val="center"/>
          </w:tcPr>
          <w:p>
            <w:pPr>
              <w:shd w:val="clear" w:color="auto" w:fill="FFFFFF"/>
              <w:ind w:firstLine="300"/>
              <w:rPr>
                <w:sz w:val="15"/>
                <w:szCs w:val="15"/>
              </w:rPr>
            </w:pPr>
          </w:p>
        </w:tc>
        <w:tc>
          <w:tcPr>
            <w:tcW w:w="1370" w:type="dxa"/>
            <w:tcBorders>
              <w:top w:val="nil"/>
              <w:left w:val="nil"/>
              <w:bottom w:val="nil"/>
              <w:right w:val="nil"/>
            </w:tcBorders>
            <w:vAlign w:val="center"/>
          </w:tcPr>
          <w:p>
            <w:pPr>
              <w:shd w:val="clear" w:color="auto" w:fill="FFFFFF"/>
              <w:ind w:firstLine="300"/>
              <w:rPr>
                <w:sz w:val="15"/>
                <w:szCs w:val="15"/>
              </w:rPr>
            </w:pPr>
            <w:r>
              <w:rPr>
                <w:rFonts w:eastAsia="等线"/>
                <w:sz w:val="15"/>
                <w:szCs w:val="15"/>
              </w:rPr>
              <w:t>0.50</w:t>
            </w: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1.5T</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1034 (17.3%)</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841 (17.6%)</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96 (16.0%)</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97 (16.4%)</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3.0T</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4940 (82.7%)</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3939 (82.4%)</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505 (84.0%)</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496 (83.6%)</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Image Type</w:t>
            </w:r>
          </w:p>
        </w:tc>
        <w:tc>
          <w:tcPr>
            <w:tcW w:w="1753" w:type="dxa"/>
            <w:tcBorders>
              <w:top w:val="nil"/>
              <w:left w:val="nil"/>
              <w:bottom w:val="nil"/>
              <w:right w:val="nil"/>
            </w:tcBorders>
            <w:vAlign w:val="center"/>
          </w:tcPr>
          <w:p>
            <w:pPr>
              <w:shd w:val="clear" w:color="auto" w:fill="FFFFFF"/>
              <w:ind w:firstLine="300"/>
              <w:rPr>
                <w:rFonts w:eastAsia="等线"/>
                <w:sz w:val="15"/>
                <w:szCs w:val="15"/>
              </w:rPr>
            </w:pPr>
          </w:p>
        </w:tc>
        <w:tc>
          <w:tcPr>
            <w:tcW w:w="1808" w:type="dxa"/>
            <w:tcBorders>
              <w:top w:val="nil"/>
              <w:left w:val="nil"/>
              <w:bottom w:val="nil"/>
              <w:right w:val="nil"/>
            </w:tcBorders>
            <w:vAlign w:val="center"/>
          </w:tcPr>
          <w:p>
            <w:pPr>
              <w:shd w:val="clear" w:color="auto" w:fill="FFFFFF"/>
              <w:ind w:firstLine="300"/>
              <w:rPr>
                <w:rFonts w:eastAsia="宋体"/>
                <w:sz w:val="15"/>
                <w:szCs w:val="15"/>
              </w:rPr>
            </w:pPr>
          </w:p>
        </w:tc>
        <w:tc>
          <w:tcPr>
            <w:tcW w:w="1644" w:type="dxa"/>
            <w:tcBorders>
              <w:top w:val="nil"/>
              <w:left w:val="nil"/>
              <w:bottom w:val="nil"/>
              <w:right w:val="nil"/>
            </w:tcBorders>
            <w:vAlign w:val="center"/>
          </w:tcPr>
          <w:p>
            <w:pPr>
              <w:shd w:val="clear" w:color="auto" w:fill="FFFFFF"/>
              <w:ind w:firstLine="300"/>
              <w:rPr>
                <w:sz w:val="15"/>
                <w:szCs w:val="15"/>
              </w:rPr>
            </w:pPr>
          </w:p>
        </w:tc>
        <w:tc>
          <w:tcPr>
            <w:tcW w:w="1643" w:type="dxa"/>
            <w:tcBorders>
              <w:top w:val="nil"/>
              <w:left w:val="nil"/>
              <w:bottom w:val="nil"/>
              <w:right w:val="nil"/>
            </w:tcBorders>
            <w:vAlign w:val="center"/>
          </w:tcPr>
          <w:p>
            <w:pPr>
              <w:shd w:val="clear" w:color="auto" w:fill="FFFFFF"/>
              <w:ind w:firstLine="300"/>
              <w:rPr>
                <w:sz w:val="15"/>
                <w:szCs w:val="15"/>
              </w:rPr>
            </w:pPr>
          </w:p>
        </w:tc>
        <w:tc>
          <w:tcPr>
            <w:tcW w:w="1370" w:type="dxa"/>
            <w:tcBorders>
              <w:top w:val="nil"/>
              <w:left w:val="nil"/>
              <w:bottom w:val="nil"/>
              <w:right w:val="nil"/>
            </w:tcBorders>
            <w:vAlign w:val="center"/>
          </w:tcPr>
          <w:p>
            <w:pPr>
              <w:shd w:val="clear" w:color="auto" w:fill="FFFFFF"/>
              <w:ind w:firstLine="300"/>
              <w:rPr>
                <w:sz w:val="15"/>
                <w:szCs w:val="15"/>
              </w:rPr>
            </w:pPr>
            <w:r>
              <w:rPr>
                <w:rFonts w:eastAsia="等线"/>
                <w:sz w:val="15"/>
                <w:szCs w:val="15"/>
              </w:rPr>
              <w:t>0.35</w:t>
            </w: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ADC</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2320 (38.8%)</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1873 (39.2%)</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217 (36.1%)</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230 (38.8%)</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T2WI</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3654 (61.2%)</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2907 (60.8%)</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384 (63.9%)</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363 (61.2%)</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Manufacture</w:t>
            </w:r>
          </w:p>
        </w:tc>
        <w:tc>
          <w:tcPr>
            <w:tcW w:w="1753" w:type="dxa"/>
            <w:tcBorders>
              <w:top w:val="nil"/>
              <w:left w:val="nil"/>
              <w:bottom w:val="nil"/>
              <w:right w:val="nil"/>
            </w:tcBorders>
            <w:vAlign w:val="center"/>
          </w:tcPr>
          <w:p>
            <w:pPr>
              <w:shd w:val="clear" w:color="auto" w:fill="FFFFFF"/>
              <w:ind w:firstLine="300"/>
              <w:rPr>
                <w:rFonts w:eastAsia="等线"/>
                <w:sz w:val="15"/>
                <w:szCs w:val="15"/>
              </w:rPr>
            </w:pPr>
          </w:p>
        </w:tc>
        <w:tc>
          <w:tcPr>
            <w:tcW w:w="1808" w:type="dxa"/>
            <w:tcBorders>
              <w:top w:val="nil"/>
              <w:left w:val="nil"/>
              <w:bottom w:val="nil"/>
              <w:right w:val="nil"/>
            </w:tcBorders>
            <w:vAlign w:val="center"/>
          </w:tcPr>
          <w:p>
            <w:pPr>
              <w:shd w:val="clear" w:color="auto" w:fill="FFFFFF"/>
              <w:ind w:firstLine="300"/>
              <w:rPr>
                <w:rFonts w:eastAsia="宋体"/>
                <w:sz w:val="15"/>
                <w:szCs w:val="15"/>
              </w:rPr>
            </w:pPr>
          </w:p>
        </w:tc>
        <w:tc>
          <w:tcPr>
            <w:tcW w:w="1644" w:type="dxa"/>
            <w:tcBorders>
              <w:top w:val="nil"/>
              <w:left w:val="nil"/>
              <w:bottom w:val="nil"/>
              <w:right w:val="nil"/>
            </w:tcBorders>
            <w:vAlign w:val="center"/>
          </w:tcPr>
          <w:p>
            <w:pPr>
              <w:shd w:val="clear" w:color="auto" w:fill="FFFFFF"/>
              <w:ind w:firstLine="300"/>
              <w:rPr>
                <w:sz w:val="15"/>
                <w:szCs w:val="15"/>
              </w:rPr>
            </w:pPr>
          </w:p>
        </w:tc>
        <w:tc>
          <w:tcPr>
            <w:tcW w:w="1643" w:type="dxa"/>
            <w:tcBorders>
              <w:top w:val="nil"/>
              <w:left w:val="nil"/>
              <w:bottom w:val="nil"/>
              <w:right w:val="nil"/>
            </w:tcBorders>
            <w:vAlign w:val="center"/>
          </w:tcPr>
          <w:p>
            <w:pPr>
              <w:shd w:val="clear" w:color="auto" w:fill="FFFFFF"/>
              <w:ind w:firstLine="300"/>
              <w:rPr>
                <w:sz w:val="15"/>
                <w:szCs w:val="15"/>
              </w:rPr>
            </w:pPr>
          </w:p>
        </w:tc>
        <w:tc>
          <w:tcPr>
            <w:tcW w:w="1370" w:type="dxa"/>
            <w:tcBorders>
              <w:top w:val="nil"/>
              <w:left w:val="nil"/>
              <w:bottom w:val="nil"/>
              <w:right w:val="nil"/>
            </w:tcBorders>
            <w:vAlign w:val="center"/>
          </w:tcPr>
          <w:p>
            <w:pPr>
              <w:shd w:val="clear" w:color="auto" w:fill="FFFFFF"/>
              <w:ind w:firstLine="300"/>
              <w:rPr>
                <w:sz w:val="15"/>
                <w:szCs w:val="15"/>
              </w:rPr>
            </w:pPr>
            <w:r>
              <w:rPr>
                <w:rFonts w:eastAsia="等线"/>
                <w:sz w:val="15"/>
                <w:szCs w:val="15"/>
              </w:rPr>
              <w:t>0.79</w:t>
            </w: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GE MEDICAL SYSTEMS</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3243 (54.3%)</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2599 (54.4%)</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316 (52.6%)</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328 (55.3%)</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Philips Medical Systems</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810 (13.6%)</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637 (13.3%)</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91 (15.1%)</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82 (13.8%)</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SIEMENS</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1695 (28.4%)</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1368 (28.6%)</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168 (28.0%)</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159 (26.8%)</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UIH</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226 (3.8%)</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176 (3.7%)</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26 (4.3%)</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24 (4.0%)</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Model Name</w:t>
            </w:r>
          </w:p>
        </w:tc>
        <w:tc>
          <w:tcPr>
            <w:tcW w:w="1753" w:type="dxa"/>
            <w:tcBorders>
              <w:top w:val="nil"/>
              <w:left w:val="nil"/>
              <w:bottom w:val="nil"/>
              <w:right w:val="nil"/>
            </w:tcBorders>
            <w:vAlign w:val="center"/>
          </w:tcPr>
          <w:p>
            <w:pPr>
              <w:shd w:val="clear" w:color="auto" w:fill="FFFFFF"/>
              <w:ind w:firstLine="300"/>
              <w:rPr>
                <w:rFonts w:eastAsia="等线"/>
                <w:sz w:val="15"/>
                <w:szCs w:val="15"/>
              </w:rPr>
            </w:pPr>
          </w:p>
        </w:tc>
        <w:tc>
          <w:tcPr>
            <w:tcW w:w="1808" w:type="dxa"/>
            <w:tcBorders>
              <w:top w:val="nil"/>
              <w:left w:val="nil"/>
              <w:bottom w:val="nil"/>
              <w:right w:val="nil"/>
            </w:tcBorders>
            <w:vAlign w:val="center"/>
          </w:tcPr>
          <w:p>
            <w:pPr>
              <w:shd w:val="clear" w:color="auto" w:fill="FFFFFF"/>
              <w:ind w:firstLine="300"/>
              <w:rPr>
                <w:rFonts w:eastAsia="宋体"/>
                <w:sz w:val="15"/>
                <w:szCs w:val="15"/>
              </w:rPr>
            </w:pPr>
          </w:p>
        </w:tc>
        <w:tc>
          <w:tcPr>
            <w:tcW w:w="1644" w:type="dxa"/>
            <w:tcBorders>
              <w:top w:val="nil"/>
              <w:left w:val="nil"/>
              <w:bottom w:val="nil"/>
              <w:right w:val="nil"/>
            </w:tcBorders>
            <w:vAlign w:val="center"/>
          </w:tcPr>
          <w:p>
            <w:pPr>
              <w:shd w:val="clear" w:color="auto" w:fill="FFFFFF"/>
              <w:ind w:firstLine="300"/>
              <w:rPr>
                <w:sz w:val="15"/>
                <w:szCs w:val="15"/>
              </w:rPr>
            </w:pPr>
          </w:p>
        </w:tc>
        <w:tc>
          <w:tcPr>
            <w:tcW w:w="1643" w:type="dxa"/>
            <w:tcBorders>
              <w:top w:val="nil"/>
              <w:left w:val="nil"/>
              <w:bottom w:val="nil"/>
              <w:right w:val="nil"/>
            </w:tcBorders>
            <w:vAlign w:val="center"/>
          </w:tcPr>
          <w:p>
            <w:pPr>
              <w:shd w:val="clear" w:color="auto" w:fill="FFFFFF"/>
              <w:ind w:firstLine="300"/>
              <w:rPr>
                <w:sz w:val="15"/>
                <w:szCs w:val="15"/>
              </w:rPr>
            </w:pPr>
          </w:p>
        </w:tc>
        <w:tc>
          <w:tcPr>
            <w:tcW w:w="1370" w:type="dxa"/>
            <w:tcBorders>
              <w:top w:val="nil"/>
              <w:left w:val="nil"/>
              <w:bottom w:val="nil"/>
              <w:right w:val="nil"/>
            </w:tcBorders>
            <w:vAlign w:val="center"/>
          </w:tcPr>
          <w:p>
            <w:pPr>
              <w:shd w:val="clear" w:color="auto" w:fill="FFFFFF"/>
              <w:ind w:firstLine="300"/>
              <w:rPr>
                <w:sz w:val="15"/>
                <w:szCs w:val="15"/>
              </w:rPr>
            </w:pPr>
            <w:r>
              <w:rPr>
                <w:rFonts w:eastAsia="等线"/>
                <w:sz w:val="15"/>
                <w:szCs w:val="15"/>
              </w:rPr>
              <w:t>0.87</w:t>
            </w: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Achieva</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150 (2.5%)</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123 (2.6%)</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 (2.8%)</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 (1.7%)</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69"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Ingenia</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583 (9.8%)</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456 (9.5%)</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64 (10.6%)</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63 (10.6%)</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Ingenia CX</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(0.1%)</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(0.0%)</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(0.2%)</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Discovery MR750</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2753 (46.1%)</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2204 (46.1%)</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276 (45.9%)</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273 (46.0%)</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Discovery MR750w</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304 (5.1%)</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250 (5.2%)</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21 (3.5%)</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33 (5.6%)</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EXCITE</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173 (2.9%)</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135 (2.8%)</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16 (2.7%)</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22 (3.7%)</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HDxt</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 (0.2%)</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 (0.2%)</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(0.3%)</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Premier</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(0.0%)</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(0.0%)</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(0.2%)</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Aera</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889 (14.9%)</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724 (15.1%)</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81 (13.5%)</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84 (14.2%)</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Amira</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(0.1%)</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(0.1%)</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(0.2%)</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Essenza</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(0.0%)</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(0.0%)</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Multiva</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74 (1.2%)</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56 (1.2%)</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 (1.5%)</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 (1.5%)</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Prisma</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127 (2.1%)</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99 (2.1%)</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16 (2.7%)</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 (2.0%)</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Skyra</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188 (3.1%)</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156 (3.3%)</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18 (3.0%)</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 (2.4%)</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TrioTim</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348 (5.8%)</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273 (5.7%)</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39 (6.5%)</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36 (6.1%)</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86" w:hRule="atLeast"/>
          <w:jc w:val="center"/>
        </w:trPr>
        <w:tc>
          <w:tcPr>
            <w:tcW w:w="212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Verio</w:t>
            </w:r>
          </w:p>
        </w:tc>
        <w:tc>
          <w:tcPr>
            <w:tcW w:w="175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137 (2.3%)</w:t>
            </w:r>
          </w:p>
        </w:tc>
        <w:tc>
          <w:tcPr>
            <w:tcW w:w="1808"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111 (2.3%)</w:t>
            </w:r>
          </w:p>
        </w:tc>
        <w:tc>
          <w:tcPr>
            <w:tcW w:w="164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13 (2.2%)</w:t>
            </w:r>
          </w:p>
        </w:tc>
        <w:tc>
          <w:tcPr>
            <w:tcW w:w="164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13 (2.2%)</w:t>
            </w:r>
          </w:p>
        </w:tc>
        <w:tc>
          <w:tcPr>
            <w:tcW w:w="1370" w:type="dxa"/>
            <w:tcBorders>
              <w:top w:val="nil"/>
              <w:left w:val="nil"/>
              <w:bottom w:val="nil"/>
              <w:right w:val="nil"/>
            </w:tcBorders>
            <w:vAlign w:val="center"/>
          </w:tcPr>
          <w:p>
            <w:pPr>
              <w:shd w:val="clear" w:color="auto" w:fill="FFFFFF"/>
              <w:ind w:firstLine="300"/>
              <w:rPr>
                <w:rFonts w:eastAsia="等线"/>
                <w:sz w:val="15"/>
                <w:szCs w:val="15"/>
              </w:rPr>
            </w:pPr>
          </w:p>
        </w:tc>
      </w:tr>
      <w:tr>
        <w:tblPrEx>
          <w:tblBorders>
            <w:top w:val="single" w:color="auto" w:sz="12" w:space="0"/>
            <w:left w:val="none" w:color="auto" w:sz="0" w:space="0"/>
            <w:bottom w:val="single" w:color="auto" w:sz="12" w:space="0"/>
            <w:right w:val="none" w:color="auto" w:sz="0" w:space="0"/>
            <w:insideH w:val="outset" w:color="auto" w:sz="6" w:space="0"/>
            <w:insideV w:val="outset" w:color="auto" w:sz="6" w:space="0"/>
          </w:tblBorders>
          <w:tblCellMar>
            <w:top w:w="0" w:type="dxa"/>
            <w:left w:w="108" w:type="dxa"/>
            <w:bottom w:w="0" w:type="dxa"/>
            <w:right w:w="108" w:type="dxa"/>
          </w:tblCellMar>
        </w:tblPrEx>
        <w:trPr>
          <w:trHeight w:val="295" w:hRule="atLeast"/>
          <w:jc w:val="center"/>
        </w:trPr>
        <w:tc>
          <w:tcPr>
            <w:tcW w:w="2125"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uMR 790</w:t>
            </w:r>
          </w:p>
        </w:tc>
        <w:tc>
          <w:tcPr>
            <w:tcW w:w="1753"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226 (3.8%)</w:t>
            </w:r>
          </w:p>
        </w:tc>
        <w:tc>
          <w:tcPr>
            <w:tcW w:w="1808"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176 (3.7%)</w:t>
            </w:r>
          </w:p>
        </w:tc>
        <w:tc>
          <w:tcPr>
            <w:tcW w:w="1644"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26 (4.3%)</w:t>
            </w:r>
          </w:p>
        </w:tc>
        <w:tc>
          <w:tcPr>
            <w:tcW w:w="1643"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24 (4.0%)</w:t>
            </w:r>
          </w:p>
        </w:tc>
        <w:tc>
          <w:tcPr>
            <w:tcW w:w="137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r>
    </w:tbl>
    <w:p>
      <w:pPr>
        <w:widowControl/>
        <w:spacing w:line="480" w:lineRule="auto"/>
        <w:ind w:firstLine="0" w:firstLineChars="0"/>
        <w:contextualSpacing/>
        <w:rPr>
          <w:sz w:val="22"/>
        </w:rPr>
      </w:pPr>
      <w:r>
        <w:rPr>
          <w:rFonts w:eastAsia="等线"/>
          <w:sz w:val="22"/>
          <w:szCs w:val="22"/>
          <w:shd w:val="clear" w:color="auto" w:fill="FFFFFF" w:themeFill="background1"/>
        </w:rPr>
        <w:t xml:space="preserve">Quantitative variables </w:t>
      </w:r>
      <w:r>
        <w:rPr>
          <w:rFonts w:eastAsia="等线"/>
          <w:sz w:val="22"/>
          <w:szCs w:val="22"/>
        </w:rPr>
        <w:t>are</w:t>
      </w:r>
      <w:r>
        <w:rPr>
          <w:rFonts w:eastAsia="等线"/>
          <w:sz w:val="22"/>
          <w:szCs w:val="22"/>
          <w:shd w:val="clear" w:color="auto" w:fill="FFFFFF" w:themeFill="background1"/>
        </w:rPr>
        <w:t xml:space="preserve"> given as the median [Q1, Q3] for nonnormalized data. </w:t>
      </w:r>
      <w:r>
        <w:t>ADC apparent diffusion coefficient, T2WI T2-weighted imaging</w:t>
      </w:r>
    </w:p>
    <w:p>
      <w:pPr>
        <w:ind w:firstLine="482"/>
        <w:rPr>
          <w:rFonts w:ascii="Times New Roman Bold" w:hAnsi="Times New Roman Bold"/>
          <w:b/>
          <w:bCs/>
        </w:rPr>
      </w:pPr>
      <w:r>
        <w:rPr>
          <w:rFonts w:ascii="Times New Roman Bold" w:hAnsi="Times New Roman Bold"/>
          <w:b/>
          <w:bCs/>
        </w:rPr>
        <w:br w:type="page"/>
      </w:r>
    </w:p>
    <w:p>
      <w:pPr>
        <w:widowControl/>
        <w:ind w:firstLine="482"/>
        <w:jc w:val="left"/>
        <w:rPr>
          <w:rFonts w:ascii="Times New Roman Bold" w:hAnsi="Times New Roman Bold" w:cs="宋体"/>
          <w:b/>
          <w:bCs/>
        </w:rPr>
        <w:sectPr>
          <w:pgSz w:w="12240" w:h="15840"/>
          <w:pgMar w:top="1440" w:right="1803" w:bottom="1440" w:left="1803" w:header="720" w:footer="720" w:gutter="0"/>
          <w:cols w:space="720" w:num="1"/>
          <w:docGrid w:type="lines" w:linePitch="319" w:charSpace="0"/>
        </w:sectPr>
      </w:pPr>
    </w:p>
    <w:p>
      <w:pPr>
        <w:pStyle w:val="7"/>
        <w:ind w:firstLine="482"/>
        <w:jc w:val="center"/>
        <w:rPr>
          <w:rFonts w:ascii="Calibri" w:hAnsi="Calibri"/>
          <w:sz w:val="21"/>
          <w:szCs w:val="21"/>
          <w:shd w:val="clear" w:color="auto" w:fill="auto"/>
        </w:rPr>
      </w:pPr>
      <w:bookmarkStart w:id="4" w:name="_Ref127282836"/>
      <w:r>
        <w:rPr>
          <w:b/>
          <w:bCs/>
        </w:rPr>
        <w:t>Table S</w:t>
      </w:r>
      <w:r>
        <w:rPr>
          <w:b/>
          <w:bCs/>
        </w:rPr>
        <w:fldChar w:fldCharType="begin"/>
      </w:r>
      <w:r>
        <w:rPr>
          <w:b/>
          <w:bCs/>
        </w:rPr>
        <w:instrText xml:space="preserve"> SEQ Table_S \* ARABIC </w:instrText>
      </w:r>
      <w:r>
        <w:rPr>
          <w:b/>
          <w:bCs/>
        </w:rPr>
        <w:fldChar w:fldCharType="separate"/>
      </w:r>
      <w:r>
        <w:rPr>
          <w:b/>
          <w:bCs/>
        </w:rPr>
        <w:t>4</w:t>
      </w:r>
      <w:r>
        <w:rPr>
          <w:b/>
          <w:bCs/>
        </w:rPr>
        <w:fldChar w:fldCharType="end"/>
      </w:r>
      <w:bookmarkEnd w:id="4"/>
      <w:r>
        <w:rPr>
          <w:b/>
          <w:bCs/>
        </w:rPr>
        <w:t xml:space="preserve"> </w:t>
      </w:r>
      <w:r>
        <w:t>Segmentation metrics in different datasets</w:t>
      </w:r>
    </w:p>
    <w:tbl>
      <w:tblPr>
        <w:tblStyle w:val="13"/>
        <w:tblW w:w="13117" w:type="dxa"/>
        <w:jc w:val="center"/>
        <w:tblLayout w:type="fixed"/>
        <w:tblCellMar>
          <w:top w:w="0" w:type="dxa"/>
          <w:left w:w="108" w:type="dxa"/>
          <w:bottom w:w="0" w:type="dxa"/>
          <w:right w:w="108" w:type="dxa"/>
        </w:tblCellMar>
      </w:tblPr>
      <w:tblGrid>
        <w:gridCol w:w="1187"/>
        <w:gridCol w:w="1276"/>
        <w:gridCol w:w="1277"/>
        <w:gridCol w:w="256"/>
        <w:gridCol w:w="1700"/>
        <w:gridCol w:w="1277"/>
        <w:gridCol w:w="256"/>
        <w:gridCol w:w="1620"/>
        <w:gridCol w:w="1196"/>
        <w:gridCol w:w="256"/>
        <w:gridCol w:w="1620"/>
        <w:gridCol w:w="1196"/>
      </w:tblGrid>
      <w:tr>
        <w:tblPrEx>
          <w:tblCellMar>
            <w:top w:w="0" w:type="dxa"/>
            <w:left w:w="108" w:type="dxa"/>
            <w:bottom w:w="0" w:type="dxa"/>
            <w:right w:w="108" w:type="dxa"/>
          </w:tblCellMar>
        </w:tblPrEx>
        <w:trPr>
          <w:trHeight w:val="358" w:hRule="atLeast"/>
          <w:jc w:val="center"/>
        </w:trPr>
        <w:tc>
          <w:tcPr>
            <w:tcW w:w="1187"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2553" w:type="dxa"/>
            <w:gridSpan w:val="2"/>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Overall</w:t>
            </w:r>
          </w:p>
        </w:tc>
        <w:tc>
          <w:tcPr>
            <w:tcW w:w="256" w:type="dxa"/>
            <w:tcBorders>
              <w:top w:val="single" w:color="auto" w:sz="12" w:space="0"/>
              <w:left w:val="nil"/>
              <w:bottom w:val="nil"/>
              <w:right w:val="nil"/>
            </w:tcBorders>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2977" w:type="dxa"/>
            <w:gridSpan w:val="2"/>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Train</w:t>
            </w:r>
          </w:p>
        </w:tc>
        <w:tc>
          <w:tcPr>
            <w:tcW w:w="256"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2816" w:type="dxa"/>
            <w:gridSpan w:val="2"/>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Validation</w:t>
            </w:r>
          </w:p>
        </w:tc>
        <w:tc>
          <w:tcPr>
            <w:tcW w:w="256"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2816" w:type="dxa"/>
            <w:gridSpan w:val="2"/>
            <w:tcBorders>
              <w:top w:val="single" w:color="auto" w:sz="12" w:space="0"/>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Test</w:t>
            </w:r>
          </w:p>
        </w:tc>
      </w:tr>
      <w:tr>
        <w:tblPrEx>
          <w:tblCellMar>
            <w:top w:w="0" w:type="dxa"/>
            <w:left w:w="108" w:type="dxa"/>
            <w:bottom w:w="0" w:type="dxa"/>
            <w:right w:w="108" w:type="dxa"/>
          </w:tblCellMar>
        </w:tblPrEx>
        <w:trPr>
          <w:trHeight w:val="348" w:hRule="atLeast"/>
          <w:jc w:val="center"/>
        </w:trPr>
        <w:tc>
          <w:tcPr>
            <w:tcW w:w="1187" w:type="dxa"/>
            <w:vMerge w:val="restart"/>
            <w:tcBorders>
              <w:top w:val="nil"/>
              <w:left w:val="nil"/>
              <w:bottom w:val="single" w:color="000000" w:sz="8" w:space="0"/>
              <w:right w:val="nil"/>
            </w:tcBorders>
            <w:vAlign w:val="center"/>
          </w:tcPr>
          <w:p>
            <w:pPr>
              <w:shd w:val="clear" w:color="auto" w:fill="FFFFFF"/>
              <w:ind w:firstLine="300"/>
              <w:rPr>
                <w:rFonts w:eastAsia="等线"/>
                <w:sz w:val="15"/>
                <w:szCs w:val="15"/>
              </w:rPr>
            </w:pPr>
          </w:p>
        </w:tc>
        <w:tc>
          <w:tcPr>
            <w:tcW w:w="127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ADC</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T2WI</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70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ADC</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T2WI</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ADC</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T2WI</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ADC</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T2WI</w:t>
            </w:r>
          </w:p>
        </w:tc>
      </w:tr>
      <w:tr>
        <w:tblPrEx>
          <w:tblCellMar>
            <w:top w:w="0" w:type="dxa"/>
            <w:left w:w="108" w:type="dxa"/>
            <w:bottom w:w="0" w:type="dxa"/>
            <w:right w:w="108" w:type="dxa"/>
          </w:tblCellMar>
        </w:tblPrEx>
        <w:trPr>
          <w:trHeight w:val="348" w:hRule="atLeast"/>
          <w:jc w:val="center"/>
        </w:trPr>
        <w:tc>
          <w:tcPr>
            <w:tcW w:w="1187" w:type="dxa"/>
            <w:vMerge w:val="continue"/>
            <w:tcBorders>
              <w:top w:val="nil"/>
              <w:left w:val="nil"/>
              <w:bottom w:val="single" w:color="000000" w:sz="8" w:space="0"/>
              <w:right w:val="nil"/>
            </w:tcBorders>
            <w:vAlign w:val="center"/>
          </w:tcPr>
          <w:p>
            <w:pPr>
              <w:widowControl/>
              <w:ind w:firstLine="300"/>
              <w:jc w:val="left"/>
              <w:rPr>
                <w:rFonts w:ascii="Calibri" w:hAnsi="Calibri" w:eastAsia="等线"/>
                <w:sz w:val="15"/>
                <w:szCs w:val="15"/>
              </w:rPr>
            </w:pPr>
          </w:p>
        </w:tc>
        <w:tc>
          <w:tcPr>
            <w:tcW w:w="1276"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(n=2320)</w:t>
            </w:r>
          </w:p>
        </w:tc>
        <w:tc>
          <w:tcPr>
            <w:tcW w:w="1277"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(n=3654)</w:t>
            </w:r>
          </w:p>
        </w:tc>
        <w:tc>
          <w:tcPr>
            <w:tcW w:w="256"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00"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(n=1873)</w:t>
            </w:r>
          </w:p>
        </w:tc>
        <w:tc>
          <w:tcPr>
            <w:tcW w:w="1277"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(n=2907)</w:t>
            </w:r>
          </w:p>
        </w:tc>
        <w:tc>
          <w:tcPr>
            <w:tcW w:w="256"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620"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(n=217)</w:t>
            </w:r>
          </w:p>
        </w:tc>
        <w:tc>
          <w:tcPr>
            <w:tcW w:w="1196"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(n=384)</w:t>
            </w:r>
          </w:p>
        </w:tc>
        <w:tc>
          <w:tcPr>
            <w:tcW w:w="256"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620"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(n=230)</w:t>
            </w:r>
          </w:p>
        </w:tc>
        <w:tc>
          <w:tcPr>
            <w:tcW w:w="1196"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(n=363)</w:t>
            </w:r>
          </w:p>
        </w:tc>
      </w:tr>
      <w:tr>
        <w:tblPrEx>
          <w:tblCellMar>
            <w:top w:w="0" w:type="dxa"/>
            <w:left w:w="108" w:type="dxa"/>
            <w:bottom w:w="0" w:type="dxa"/>
            <w:right w:w="108" w:type="dxa"/>
          </w:tblCellMar>
        </w:tblPrEx>
        <w:trPr>
          <w:trHeight w:val="676" w:hRule="atLeast"/>
          <w:jc w:val="center"/>
        </w:trPr>
        <w:tc>
          <w:tcPr>
            <w:tcW w:w="118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DSC</w:t>
            </w:r>
          </w:p>
        </w:tc>
        <w:tc>
          <w:tcPr>
            <w:tcW w:w="127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0.921 (0.0337)</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0.937 (0.0322)</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70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0.925 (0.0279)</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0.940 (0.0270)</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0.902 (0.0491)</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0.922 (0.0445)</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0.900 (0.0446)</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0.923 (0.0449)</w:t>
            </w:r>
          </w:p>
        </w:tc>
      </w:tr>
      <w:tr>
        <w:tblPrEx>
          <w:tblCellMar>
            <w:top w:w="0" w:type="dxa"/>
            <w:left w:w="108" w:type="dxa"/>
            <w:bottom w:w="0" w:type="dxa"/>
            <w:right w:w="108" w:type="dxa"/>
          </w:tblCellMar>
        </w:tblPrEx>
        <w:trPr>
          <w:trHeight w:val="656" w:hRule="atLeast"/>
          <w:jc w:val="center"/>
        </w:trPr>
        <w:tc>
          <w:tcPr>
            <w:tcW w:w="118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JACRD</w:t>
            </w:r>
          </w:p>
        </w:tc>
        <w:tc>
          <w:tcPr>
            <w:tcW w:w="127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0.854 (0.0549)</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0.883 (0.0537)</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70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0.862 (0.0467)</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0.889 (0.0458)</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0.825 (0.0755)</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0.857 (0.0717)</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0.822 (0.0704)</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0.861 (0.0726)</w:t>
            </w:r>
          </w:p>
        </w:tc>
      </w:tr>
      <w:tr>
        <w:tblPrEx>
          <w:tblCellMar>
            <w:top w:w="0" w:type="dxa"/>
            <w:left w:w="108" w:type="dxa"/>
            <w:bottom w:w="0" w:type="dxa"/>
            <w:right w:w="108" w:type="dxa"/>
          </w:tblCellMar>
        </w:tblPrEx>
        <w:trPr>
          <w:trHeight w:val="656" w:hRule="atLeast"/>
          <w:jc w:val="center"/>
        </w:trPr>
        <w:tc>
          <w:tcPr>
            <w:tcW w:w="118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VS</w:t>
            </w:r>
          </w:p>
        </w:tc>
        <w:tc>
          <w:tcPr>
            <w:tcW w:w="127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0.970 (0.0303)</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0.979 (0.0245)</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70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0.974 (0.0236)</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0.981 (0.0200)</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0.953 (0.0478)</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0.967 (0.0370)</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0.955 (0.0449)</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0.971 (0.0339)</w:t>
            </w:r>
          </w:p>
        </w:tc>
      </w:tr>
      <w:tr>
        <w:tblPrEx>
          <w:tblCellMar>
            <w:top w:w="0" w:type="dxa"/>
            <w:left w:w="108" w:type="dxa"/>
            <w:bottom w:w="0" w:type="dxa"/>
            <w:right w:w="108" w:type="dxa"/>
          </w:tblCellMar>
        </w:tblPrEx>
        <w:trPr>
          <w:trHeight w:val="656" w:hRule="atLeast"/>
          <w:jc w:val="center"/>
        </w:trPr>
        <w:tc>
          <w:tcPr>
            <w:tcW w:w="118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HD</w:t>
            </w:r>
          </w:p>
        </w:tc>
        <w:tc>
          <w:tcPr>
            <w:tcW w:w="127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6.460 (3.150)</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5.880 (2.830)</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70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6.20 (2.720)</w:t>
            </w:r>
          </w:p>
        </w:tc>
        <w:tc>
          <w:tcPr>
            <w:tcW w:w="1277"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5.640 (2.490)</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7.450 (4.700)</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6.780 (3.730)</w:t>
            </w:r>
          </w:p>
        </w:tc>
        <w:tc>
          <w:tcPr>
            <w:tcW w:w="256" w:type="dxa"/>
            <w:tcBorders>
              <w:top w:val="nil"/>
              <w:left w:val="nil"/>
              <w:bottom w:val="nil"/>
              <w:right w:val="nil"/>
            </w:tcBorders>
            <w:vAlign w:val="center"/>
          </w:tcPr>
          <w:p>
            <w:pPr>
              <w:shd w:val="clear" w:color="auto" w:fill="FFFFFF"/>
              <w:ind w:firstLine="300"/>
              <w:rPr>
                <w:rFonts w:eastAsia="等线"/>
                <w:sz w:val="15"/>
                <w:szCs w:val="15"/>
              </w:rPr>
            </w:pPr>
          </w:p>
        </w:tc>
        <w:tc>
          <w:tcPr>
            <w:tcW w:w="162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7.700 (3.990)</w:t>
            </w:r>
          </w:p>
        </w:tc>
        <w:tc>
          <w:tcPr>
            <w:tcW w:w="119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6.840 (3.730)</w:t>
            </w:r>
          </w:p>
        </w:tc>
      </w:tr>
      <w:tr>
        <w:tblPrEx>
          <w:tblCellMar>
            <w:top w:w="0" w:type="dxa"/>
            <w:left w:w="108" w:type="dxa"/>
            <w:bottom w:w="0" w:type="dxa"/>
            <w:right w:w="108" w:type="dxa"/>
          </w:tblCellMar>
        </w:tblPrEx>
        <w:trPr>
          <w:trHeight w:val="687" w:hRule="atLeast"/>
          <w:jc w:val="center"/>
        </w:trPr>
        <w:tc>
          <w:tcPr>
            <w:tcW w:w="1187"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AD</w:t>
            </w:r>
          </w:p>
        </w:tc>
        <w:tc>
          <w:tcPr>
            <w:tcW w:w="1276"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0.140 (0.149)</w:t>
            </w:r>
          </w:p>
        </w:tc>
        <w:tc>
          <w:tcPr>
            <w:tcW w:w="1277"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0.168 (4.01)</w:t>
            </w:r>
          </w:p>
        </w:tc>
        <w:tc>
          <w:tcPr>
            <w:tcW w:w="256"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0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0.122 (0.0962)</w:t>
            </w:r>
          </w:p>
        </w:tc>
        <w:tc>
          <w:tcPr>
            <w:tcW w:w="1277"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0.172 (4.49)</w:t>
            </w:r>
          </w:p>
        </w:tc>
        <w:tc>
          <w:tcPr>
            <w:tcW w:w="256"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62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0.213 (0.293)</w:t>
            </w:r>
          </w:p>
        </w:tc>
        <w:tc>
          <w:tcPr>
            <w:tcW w:w="1196"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0.152 (0.196)</w:t>
            </w:r>
          </w:p>
        </w:tc>
        <w:tc>
          <w:tcPr>
            <w:tcW w:w="256"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62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0.214 (0.233)</w:t>
            </w:r>
          </w:p>
        </w:tc>
        <w:tc>
          <w:tcPr>
            <w:tcW w:w="1196"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0.149 (0.186)</w:t>
            </w:r>
          </w:p>
        </w:tc>
      </w:tr>
    </w:tbl>
    <w:p>
      <w:pPr>
        <w:shd w:val="clear" w:color="auto" w:fill="FFFFFF"/>
      </w:pPr>
      <w:r>
        <w:t>Data conforming to a normal distribution are presented as the mean (standard deviation)</w:t>
      </w:r>
      <w:r>
        <w:rPr>
          <w:rFonts w:ascii="宋体" w:hAnsi="宋体" w:eastAsia="宋体" w:cs="宋体"/>
        </w:rPr>
        <w:t xml:space="preserve">. </w:t>
      </w:r>
      <w:r>
        <w:t>DSC Dice similarity coefficient, VS volumetric similarity, HD Hausdorff distance, AD Average distance, T2WI T2-weighted imaging, ADC apparent diffusion coefficient.</w:t>
      </w:r>
    </w:p>
    <w:p>
      <w:pPr>
        <w:shd w:val="clear" w:color="auto" w:fill="FFFFFF"/>
        <w:ind w:firstLine="420"/>
        <w:rPr>
          <w:rFonts w:ascii="Calibri" w:hAnsi="Calibri" w:eastAsia="宋体"/>
          <w:sz w:val="21"/>
          <w:szCs w:val="21"/>
        </w:rPr>
      </w:pPr>
    </w:p>
    <w:p>
      <w:r>
        <w:br w:type="page"/>
      </w:r>
    </w:p>
    <w:p>
      <w:pPr>
        <w:pStyle w:val="7"/>
        <w:ind w:firstLine="482"/>
        <w:jc w:val="center"/>
      </w:pPr>
      <w:bookmarkStart w:id="5" w:name="_Ref127283273"/>
      <w:r>
        <w:rPr>
          <w:b/>
          <w:bCs/>
        </w:rPr>
        <w:t>Table S</w:t>
      </w:r>
      <w:r>
        <w:rPr>
          <w:b/>
          <w:bCs/>
        </w:rPr>
        <w:fldChar w:fldCharType="begin"/>
      </w:r>
      <w:r>
        <w:rPr>
          <w:b/>
          <w:bCs/>
        </w:rPr>
        <w:instrText xml:space="preserve"> SEQ Table_S \* ARABIC </w:instrText>
      </w:r>
      <w:r>
        <w:rPr>
          <w:b/>
          <w:bCs/>
        </w:rPr>
        <w:fldChar w:fldCharType="separate"/>
      </w:r>
      <w:r>
        <w:rPr>
          <w:b/>
          <w:bCs/>
        </w:rPr>
        <w:t>5</w:t>
      </w:r>
      <w:r>
        <w:rPr>
          <w:b/>
          <w:bCs/>
        </w:rPr>
        <w:fldChar w:fldCharType="end"/>
      </w:r>
      <w:bookmarkEnd w:id="5"/>
      <w:r>
        <w:t xml:space="preserve"> Bland‒Altman analysis of the measured values of the prostate gland</w:t>
      </w:r>
    </w:p>
    <w:p/>
    <w:tbl>
      <w:tblPr>
        <w:tblStyle w:val="13"/>
        <w:tblW w:w="11075" w:type="dxa"/>
        <w:jc w:val="center"/>
        <w:tblLayout w:type="fixed"/>
        <w:tblCellMar>
          <w:top w:w="0" w:type="dxa"/>
          <w:left w:w="108" w:type="dxa"/>
          <w:bottom w:w="0" w:type="dxa"/>
          <w:right w:w="108" w:type="dxa"/>
        </w:tblCellMar>
      </w:tblPr>
      <w:tblGrid>
        <w:gridCol w:w="2867"/>
        <w:gridCol w:w="1623"/>
        <w:gridCol w:w="1860"/>
        <w:gridCol w:w="1608"/>
        <w:gridCol w:w="1385"/>
        <w:gridCol w:w="1732"/>
      </w:tblGrid>
      <w:tr>
        <w:tblPrEx>
          <w:tblCellMar>
            <w:top w:w="0" w:type="dxa"/>
            <w:left w:w="108" w:type="dxa"/>
            <w:bottom w:w="0" w:type="dxa"/>
            <w:right w:w="108" w:type="dxa"/>
          </w:tblCellMar>
        </w:tblPrEx>
        <w:trPr>
          <w:trHeight w:val="300" w:hRule="atLeast"/>
          <w:jc w:val="center"/>
        </w:trPr>
        <w:tc>
          <w:tcPr>
            <w:tcW w:w="2867" w:type="dxa"/>
            <w:tcBorders>
              <w:top w:val="single" w:color="auto" w:sz="12" w:space="0"/>
              <w:left w:val="nil"/>
              <w:bottom w:val="single" w:color="auto" w:sz="8" w:space="0"/>
              <w:right w:val="nil"/>
            </w:tcBorders>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623" w:type="dxa"/>
            <w:tcBorders>
              <w:top w:val="single" w:color="auto" w:sz="12" w:space="0"/>
              <w:left w:val="nil"/>
              <w:bottom w:val="single" w:color="auto" w:sz="8" w:space="0"/>
              <w:right w:val="nil"/>
            </w:tcBorders>
            <w:noWrap/>
            <w:vAlign w:val="center"/>
          </w:tcPr>
          <w:p>
            <w:pPr>
              <w:shd w:val="clear" w:color="auto" w:fill="FFFFFF"/>
              <w:ind w:firstLine="300"/>
              <w:rPr>
                <w:rFonts w:eastAsia="等线"/>
                <w:sz w:val="15"/>
                <w:szCs w:val="15"/>
              </w:rPr>
            </w:pPr>
            <w:r>
              <w:rPr>
                <w:rFonts w:eastAsia="等线"/>
                <w:sz w:val="15"/>
                <w:szCs w:val="15"/>
              </w:rPr>
              <w:t>RL Diameter</w:t>
            </w:r>
          </w:p>
          <w:p>
            <w:pPr>
              <w:shd w:val="clear" w:color="auto" w:fill="FFFFFF"/>
              <w:ind w:firstLine="300"/>
              <w:rPr>
                <w:rFonts w:eastAsia="等线"/>
                <w:sz w:val="15"/>
                <w:szCs w:val="15"/>
              </w:rPr>
            </w:pPr>
            <w:r>
              <w:rPr>
                <w:rFonts w:eastAsia="等线"/>
                <w:sz w:val="15"/>
                <w:szCs w:val="15"/>
              </w:rPr>
              <w:t>(mm)</w:t>
            </w:r>
          </w:p>
        </w:tc>
        <w:tc>
          <w:tcPr>
            <w:tcW w:w="1860" w:type="dxa"/>
            <w:tcBorders>
              <w:top w:val="single" w:color="auto" w:sz="12" w:space="0"/>
              <w:left w:val="nil"/>
              <w:bottom w:val="single" w:color="auto" w:sz="8" w:space="0"/>
              <w:right w:val="nil"/>
            </w:tcBorders>
            <w:noWrap/>
            <w:vAlign w:val="center"/>
          </w:tcPr>
          <w:p>
            <w:pPr>
              <w:shd w:val="clear" w:color="auto" w:fill="FFFFFF"/>
              <w:ind w:firstLine="300"/>
              <w:rPr>
                <w:rFonts w:eastAsia="等线"/>
                <w:sz w:val="15"/>
                <w:szCs w:val="15"/>
              </w:rPr>
            </w:pPr>
            <w:r>
              <w:rPr>
                <w:rFonts w:eastAsia="等线"/>
                <w:sz w:val="15"/>
                <w:szCs w:val="15"/>
              </w:rPr>
              <w:t>AP Diameter</w:t>
            </w:r>
          </w:p>
          <w:p>
            <w:pPr>
              <w:shd w:val="clear" w:color="auto" w:fill="FFFFFF"/>
              <w:ind w:firstLine="300"/>
              <w:rPr>
                <w:rFonts w:eastAsia="等线"/>
                <w:sz w:val="15"/>
                <w:szCs w:val="15"/>
              </w:rPr>
            </w:pPr>
            <w:r>
              <w:rPr>
                <w:rFonts w:eastAsia="等线"/>
                <w:sz w:val="15"/>
                <w:szCs w:val="15"/>
              </w:rPr>
              <w:t>(mm)</w:t>
            </w:r>
          </w:p>
        </w:tc>
        <w:tc>
          <w:tcPr>
            <w:tcW w:w="1608" w:type="dxa"/>
            <w:tcBorders>
              <w:top w:val="single" w:color="auto" w:sz="12" w:space="0"/>
              <w:left w:val="nil"/>
              <w:bottom w:val="single" w:color="auto" w:sz="8" w:space="0"/>
              <w:right w:val="nil"/>
            </w:tcBorders>
            <w:noWrap/>
            <w:vAlign w:val="center"/>
          </w:tcPr>
          <w:p>
            <w:pPr>
              <w:shd w:val="clear" w:color="auto" w:fill="FFFFFF"/>
              <w:ind w:firstLine="300"/>
              <w:rPr>
                <w:rFonts w:eastAsia="等线"/>
                <w:sz w:val="15"/>
                <w:szCs w:val="15"/>
              </w:rPr>
            </w:pPr>
            <w:r>
              <w:rPr>
                <w:rFonts w:eastAsia="等线"/>
                <w:sz w:val="15"/>
                <w:szCs w:val="15"/>
              </w:rPr>
              <w:t>SI Diameter</w:t>
            </w:r>
          </w:p>
          <w:p>
            <w:pPr>
              <w:shd w:val="clear" w:color="auto" w:fill="FFFFFF"/>
              <w:ind w:firstLine="300"/>
              <w:rPr>
                <w:rFonts w:eastAsia="等线"/>
                <w:sz w:val="15"/>
                <w:szCs w:val="15"/>
              </w:rPr>
            </w:pPr>
            <w:r>
              <w:rPr>
                <w:rFonts w:eastAsia="等线"/>
                <w:sz w:val="15"/>
                <w:szCs w:val="15"/>
              </w:rPr>
              <w:t>(mm)</w:t>
            </w:r>
          </w:p>
        </w:tc>
        <w:tc>
          <w:tcPr>
            <w:tcW w:w="1385" w:type="dxa"/>
            <w:tcBorders>
              <w:top w:val="single" w:color="auto" w:sz="12" w:space="0"/>
              <w:left w:val="nil"/>
              <w:bottom w:val="single" w:color="auto" w:sz="8" w:space="0"/>
              <w:right w:val="nil"/>
            </w:tcBorders>
            <w:noWrap/>
            <w:vAlign w:val="center"/>
          </w:tcPr>
          <w:p>
            <w:pPr>
              <w:shd w:val="clear" w:color="auto" w:fill="FFFFFF"/>
              <w:ind w:firstLine="300"/>
              <w:rPr>
                <w:rFonts w:eastAsia="等线"/>
                <w:sz w:val="15"/>
                <w:szCs w:val="15"/>
              </w:rPr>
            </w:pPr>
            <w:r>
              <w:rPr>
                <w:rFonts w:eastAsia="等线"/>
                <w:sz w:val="15"/>
                <w:szCs w:val="15"/>
              </w:rPr>
              <w:t>Volume</w:t>
            </w:r>
          </w:p>
          <w:p>
            <w:pPr>
              <w:shd w:val="clear" w:color="auto" w:fill="FFFFFF"/>
              <w:ind w:firstLine="300"/>
              <w:rPr>
                <w:rFonts w:eastAsia="等线"/>
                <w:sz w:val="15"/>
                <w:szCs w:val="15"/>
              </w:rPr>
            </w:pPr>
            <w:r>
              <w:rPr>
                <w:rFonts w:eastAsia="等线"/>
                <w:sz w:val="15"/>
                <w:szCs w:val="15"/>
              </w:rPr>
              <w:t>(cm</w:t>
            </w:r>
            <w:r>
              <w:rPr>
                <w:rFonts w:eastAsia="等线"/>
                <w:sz w:val="15"/>
                <w:szCs w:val="15"/>
                <w:vertAlign w:val="superscript"/>
              </w:rPr>
              <w:t>3</w:t>
            </w:r>
            <w:r>
              <w:rPr>
                <w:rFonts w:eastAsia="等线"/>
                <w:sz w:val="15"/>
                <w:szCs w:val="15"/>
              </w:rPr>
              <w:t>)</w:t>
            </w:r>
          </w:p>
        </w:tc>
        <w:tc>
          <w:tcPr>
            <w:tcW w:w="1732" w:type="dxa"/>
            <w:tcBorders>
              <w:top w:val="single" w:color="auto" w:sz="12" w:space="0"/>
              <w:left w:val="nil"/>
              <w:bottom w:val="single" w:color="auto" w:sz="8" w:space="0"/>
              <w:right w:val="nil"/>
            </w:tcBorders>
            <w:noWrap/>
            <w:vAlign w:val="center"/>
          </w:tcPr>
          <w:p>
            <w:pPr>
              <w:shd w:val="clear" w:color="auto" w:fill="FFFFFF"/>
              <w:ind w:firstLine="300"/>
              <w:rPr>
                <w:rFonts w:eastAsia="等线"/>
                <w:sz w:val="15"/>
                <w:szCs w:val="15"/>
              </w:rPr>
            </w:pPr>
            <w:r>
              <w:rPr>
                <w:rFonts w:eastAsia="等线"/>
                <w:sz w:val="15"/>
                <w:szCs w:val="15"/>
              </w:rPr>
              <w:t>Signal Intensity</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Means of label and plabel</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56.025</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59.670</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63.655</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108.623</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56.025</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Differences</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2.230</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2.540</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-1.310</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-0.924</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2.230</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Means/differences proportion</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3.980</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4.257</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-2.058</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-0.851</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3.980</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Means of label</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57.140</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60.940</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63.000</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108.160</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57.140</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Means of plabel</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54.910</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58.400</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64.310</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109.085</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54.910</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kern w:val="0"/>
                <w:sz w:val="15"/>
                <w:szCs w:val="15"/>
              </w:rPr>
            </w:pPr>
            <w:r>
              <w:rPr>
                <w:sz w:val="15"/>
                <w:szCs w:val="15"/>
              </w:rPr>
              <w:t>Bias of the label and plabel</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0.733</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1.094</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-1.180</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-0.623</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0.733</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Bias Upper CI</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0.800</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1.172</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-1.063</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-0.477</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0.800</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Bias Lower CI</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0.665</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1.017</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-1.298</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-0.769</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0.665</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Bias Std Dev</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2.679</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3.057</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4.643</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5.756</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2.679</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Bias Standard Error</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0.035</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0.040</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0.060</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0.745</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0.035</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LOA Standard Error</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0.059</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0.068</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0.103</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0.127</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0.059</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Upper LOA</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5.984</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7.085</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7.919</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10.659</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5.984</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Upper LOA_upperCI</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6.100</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7.218</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8.120</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10.908</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6.100</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Upper LOA_lowerCI</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5.868</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6.953</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7.718</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10.409</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5.868</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Lower LOA</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-4.519</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-4.897</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-10.280</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-11.904</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-4.519</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Lower LOA_upperCI</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-4.403</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-4.764</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-10.078</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-11.655</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-4.403</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Lower LOA_lowerCI</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-4.635</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-5.029</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-10.481</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-12.154</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-4.635</w:t>
            </w:r>
          </w:p>
        </w:tc>
      </w:tr>
      <w:tr>
        <w:tblPrEx>
          <w:tblCellMar>
            <w:top w:w="0" w:type="dxa"/>
            <w:left w:w="108" w:type="dxa"/>
            <w:bottom w:w="0" w:type="dxa"/>
            <w:right w:w="108" w:type="dxa"/>
          </w:tblCellMar>
        </w:tblPrEx>
        <w:trPr>
          <w:trHeight w:val="283" w:hRule="atLeast"/>
          <w:jc w:val="center"/>
        </w:trPr>
        <w:tc>
          <w:tcPr>
            <w:tcW w:w="2867"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Regression fixed slope</w:t>
            </w:r>
          </w:p>
        </w:tc>
        <w:tc>
          <w:tcPr>
            <w:tcW w:w="1623"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0.076</w:t>
            </w:r>
          </w:p>
        </w:tc>
        <w:tc>
          <w:tcPr>
            <w:tcW w:w="1860"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0.071</w:t>
            </w:r>
          </w:p>
        </w:tc>
        <w:tc>
          <w:tcPr>
            <w:tcW w:w="1608"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0.032</w:t>
            </w:r>
          </w:p>
        </w:tc>
        <w:tc>
          <w:tcPr>
            <w:tcW w:w="1385"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0.023</w:t>
            </w:r>
          </w:p>
        </w:tc>
        <w:tc>
          <w:tcPr>
            <w:tcW w:w="1732" w:type="dxa"/>
            <w:tcBorders>
              <w:top w:val="nil"/>
              <w:left w:val="nil"/>
              <w:bottom w:val="nil"/>
              <w:right w:val="nil"/>
            </w:tcBorders>
            <w:noWrap/>
            <w:vAlign w:val="center"/>
          </w:tcPr>
          <w:p>
            <w:pPr>
              <w:shd w:val="clear" w:color="auto" w:fill="FFFFFF"/>
              <w:ind w:firstLine="300"/>
              <w:rPr>
                <w:rFonts w:eastAsia="等线"/>
                <w:sz w:val="15"/>
                <w:szCs w:val="15"/>
              </w:rPr>
            </w:pPr>
            <w:r>
              <w:rPr>
                <w:rFonts w:eastAsia="等线"/>
                <w:sz w:val="15"/>
                <w:szCs w:val="15"/>
              </w:rPr>
              <w:t>0.076</w:t>
            </w:r>
          </w:p>
        </w:tc>
      </w:tr>
      <w:tr>
        <w:tblPrEx>
          <w:tblCellMar>
            <w:top w:w="0" w:type="dxa"/>
            <w:left w:w="108" w:type="dxa"/>
            <w:bottom w:w="0" w:type="dxa"/>
            <w:right w:w="108" w:type="dxa"/>
          </w:tblCellMar>
        </w:tblPrEx>
        <w:trPr>
          <w:trHeight w:val="292" w:hRule="atLeast"/>
          <w:jc w:val="center"/>
        </w:trPr>
        <w:tc>
          <w:tcPr>
            <w:tcW w:w="2867"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Regression fixed intercept</w:t>
            </w:r>
          </w:p>
        </w:tc>
        <w:tc>
          <w:tcPr>
            <w:tcW w:w="1623"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-3.100</w:t>
            </w:r>
          </w:p>
        </w:tc>
        <w:tc>
          <w:tcPr>
            <w:tcW w:w="1860"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-2.100</w:t>
            </w:r>
          </w:p>
        </w:tc>
        <w:tc>
          <w:tcPr>
            <w:tcW w:w="1608"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-2.700</w:t>
            </w:r>
          </w:p>
        </w:tc>
        <w:tc>
          <w:tcPr>
            <w:tcW w:w="1385"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-1.900</w:t>
            </w:r>
          </w:p>
        </w:tc>
        <w:tc>
          <w:tcPr>
            <w:tcW w:w="1732" w:type="dxa"/>
            <w:tcBorders>
              <w:top w:val="nil"/>
              <w:left w:val="nil"/>
              <w:bottom w:val="single" w:color="auto" w:sz="12" w:space="0"/>
              <w:right w:val="nil"/>
            </w:tcBorders>
            <w:noWrap/>
            <w:vAlign w:val="center"/>
          </w:tcPr>
          <w:p>
            <w:pPr>
              <w:shd w:val="clear" w:color="auto" w:fill="FFFFFF"/>
              <w:ind w:firstLine="300"/>
              <w:rPr>
                <w:rFonts w:eastAsia="等线"/>
                <w:sz w:val="15"/>
                <w:szCs w:val="15"/>
              </w:rPr>
            </w:pPr>
            <w:r>
              <w:rPr>
                <w:rFonts w:eastAsia="等线"/>
                <w:sz w:val="15"/>
                <w:szCs w:val="15"/>
              </w:rPr>
              <w:t>-3.100</w:t>
            </w:r>
          </w:p>
        </w:tc>
      </w:tr>
    </w:tbl>
    <w:p>
      <w:pPr>
        <w:shd w:val="clear" w:color="auto" w:fill="FFFFFF"/>
        <w:sectPr>
          <w:pgSz w:w="15840" w:h="12240" w:orient="landscape"/>
          <w:pgMar w:top="1803" w:right="1440" w:bottom="1803" w:left="1440" w:header="720" w:footer="720" w:gutter="0"/>
          <w:cols w:space="720" w:num="1"/>
          <w:docGrid w:type="lines" w:linePitch="319" w:charSpace="0"/>
        </w:sectPr>
      </w:pPr>
      <w:r>
        <w:t>LOA limits of agreement, CI confidence interval, RL right and left, AP anterior and posterior, SI superior and inferior</w:t>
      </w:r>
    </w:p>
    <w:p>
      <w:pPr>
        <w:pStyle w:val="7"/>
        <w:ind w:firstLine="0" w:firstLineChars="0"/>
        <w:jc w:val="center"/>
        <w:rPr>
          <w:rFonts w:ascii="宋体" w:hAnsi="宋体"/>
        </w:rPr>
      </w:pPr>
      <w:bookmarkStart w:id="6" w:name="_Ref127283340"/>
      <w:r>
        <w:rPr>
          <w:b/>
          <w:bCs/>
        </w:rPr>
        <w:t>Table S</w:t>
      </w:r>
      <w:r>
        <w:rPr>
          <w:b/>
          <w:bCs/>
        </w:rPr>
        <w:fldChar w:fldCharType="begin"/>
      </w:r>
      <w:r>
        <w:rPr>
          <w:b/>
          <w:bCs/>
        </w:rPr>
        <w:instrText xml:space="preserve"> SEQ Table_S \* ARABIC </w:instrText>
      </w:r>
      <w:r>
        <w:rPr>
          <w:b/>
          <w:bCs/>
        </w:rPr>
        <w:fldChar w:fldCharType="separate"/>
      </w:r>
      <w:r>
        <w:rPr>
          <w:b/>
          <w:bCs/>
        </w:rPr>
        <w:t>6</w:t>
      </w:r>
      <w:r>
        <w:rPr>
          <w:b/>
          <w:bCs/>
        </w:rPr>
        <w:fldChar w:fldCharType="end"/>
      </w:r>
      <w:bookmarkEnd w:id="6"/>
      <w:r>
        <w:rPr>
          <w:b/>
          <w:bCs/>
        </w:rPr>
        <w:t xml:space="preserve"> </w:t>
      </w:r>
      <w:r>
        <w:t>Scanning protocols of the T2WI</w:t>
      </w:r>
    </w:p>
    <w:tbl>
      <w:tblPr>
        <w:tblStyle w:val="13"/>
        <w:tblW w:w="9620" w:type="dxa"/>
        <w:jc w:val="center"/>
        <w:tblLayout w:type="fixed"/>
        <w:tblCellMar>
          <w:top w:w="0" w:type="dxa"/>
          <w:left w:w="108" w:type="dxa"/>
          <w:bottom w:w="0" w:type="dxa"/>
          <w:right w:w="108" w:type="dxa"/>
        </w:tblCellMar>
      </w:tblPr>
      <w:tblGrid>
        <w:gridCol w:w="2560"/>
        <w:gridCol w:w="1494"/>
        <w:gridCol w:w="1769"/>
        <w:gridCol w:w="1555"/>
        <w:gridCol w:w="1542"/>
        <w:gridCol w:w="700"/>
      </w:tblGrid>
      <w:tr>
        <w:tblPrEx>
          <w:tblCellMar>
            <w:top w:w="0" w:type="dxa"/>
            <w:left w:w="108" w:type="dxa"/>
            <w:bottom w:w="0" w:type="dxa"/>
            <w:right w:w="108" w:type="dxa"/>
          </w:tblCellMar>
        </w:tblPrEx>
        <w:trPr>
          <w:trHeight w:val="292" w:hRule="atLeast"/>
          <w:jc w:val="center"/>
        </w:trPr>
        <w:tc>
          <w:tcPr>
            <w:tcW w:w="2560" w:type="dxa"/>
            <w:vMerge w:val="restart"/>
            <w:tcBorders>
              <w:top w:val="single" w:color="auto" w:sz="12" w:space="0"/>
              <w:left w:val="nil"/>
              <w:bottom w:val="single" w:color="000000" w:sz="8" w:space="0"/>
              <w:right w:val="nil"/>
            </w:tcBorders>
            <w:vAlign w:val="center"/>
          </w:tcPr>
          <w:p>
            <w:pPr>
              <w:shd w:val="clear" w:color="auto" w:fill="FFFFFF"/>
              <w:ind w:firstLine="300"/>
              <w:rPr>
                <w:rFonts w:ascii="Calibri" w:hAnsi="Calibri" w:eastAsia="等线"/>
                <w:sz w:val="15"/>
                <w:szCs w:val="15"/>
              </w:rPr>
            </w:pPr>
            <w:r>
              <w:rPr>
                <w:rFonts w:hint="eastAsia" w:ascii="等线" w:hAnsi="等线" w:eastAsia="等线"/>
                <w:sz w:val="15"/>
                <w:szCs w:val="15"/>
              </w:rPr>
              <w:t>　</w:t>
            </w:r>
          </w:p>
        </w:tc>
        <w:tc>
          <w:tcPr>
            <w:tcW w:w="1494" w:type="dxa"/>
            <w:tcBorders>
              <w:top w:val="single" w:color="auto"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Overall</w:t>
            </w:r>
          </w:p>
        </w:tc>
        <w:tc>
          <w:tcPr>
            <w:tcW w:w="1769"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train</w:t>
            </w:r>
          </w:p>
        </w:tc>
        <w:tc>
          <w:tcPr>
            <w:tcW w:w="1555"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validate</w:t>
            </w:r>
          </w:p>
        </w:tc>
        <w:tc>
          <w:tcPr>
            <w:tcW w:w="1542"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test</w:t>
            </w:r>
          </w:p>
        </w:tc>
        <w:tc>
          <w:tcPr>
            <w:tcW w:w="700" w:type="dxa"/>
            <w:vMerge w:val="restart"/>
            <w:tcBorders>
              <w:top w:val="single" w:color="auto" w:sz="12" w:space="0"/>
              <w:left w:val="nil"/>
              <w:bottom w:val="single" w:color="000000" w:sz="8" w:space="0"/>
              <w:right w:val="nil"/>
            </w:tcBorders>
            <w:vAlign w:val="center"/>
          </w:tcPr>
          <w:p>
            <w:pPr>
              <w:shd w:val="clear" w:color="auto" w:fill="FFFFFF"/>
              <w:ind w:firstLine="300"/>
              <w:rPr>
                <w:rFonts w:eastAsia="等线"/>
                <w:sz w:val="15"/>
                <w:szCs w:val="15"/>
              </w:rPr>
            </w:pPr>
            <w:r>
              <w:rPr>
                <w:rFonts w:eastAsia="等线"/>
                <w:i/>
                <w:iCs/>
                <w:sz w:val="15"/>
                <w:szCs w:val="15"/>
              </w:rPr>
              <w:t>P</w:t>
            </w:r>
            <w:r>
              <w:rPr>
                <w:rFonts w:eastAsia="等线"/>
                <w:sz w:val="15"/>
                <w:szCs w:val="15"/>
              </w:rPr>
              <w:t xml:space="preserve"> value</w:t>
            </w:r>
          </w:p>
        </w:tc>
      </w:tr>
      <w:tr>
        <w:tblPrEx>
          <w:tblCellMar>
            <w:top w:w="0" w:type="dxa"/>
            <w:left w:w="108" w:type="dxa"/>
            <w:bottom w:w="0" w:type="dxa"/>
            <w:right w:w="108" w:type="dxa"/>
          </w:tblCellMar>
        </w:tblPrEx>
        <w:trPr>
          <w:trHeight w:val="297" w:hRule="atLeast"/>
          <w:jc w:val="center"/>
        </w:trPr>
        <w:tc>
          <w:tcPr>
            <w:tcW w:w="2560" w:type="dxa"/>
            <w:vMerge w:val="continue"/>
            <w:tcBorders>
              <w:top w:val="single" w:color="auto" w:sz="12" w:space="0"/>
              <w:left w:val="nil"/>
              <w:bottom w:val="single" w:color="000000" w:sz="8" w:space="0"/>
              <w:right w:val="nil"/>
            </w:tcBorders>
            <w:vAlign w:val="center"/>
          </w:tcPr>
          <w:p>
            <w:pPr>
              <w:widowControl/>
              <w:ind w:firstLine="300"/>
              <w:jc w:val="left"/>
              <w:rPr>
                <w:rFonts w:ascii="Calibri" w:hAnsi="Calibri" w:eastAsia="等线"/>
                <w:sz w:val="15"/>
                <w:szCs w:val="15"/>
              </w:rPr>
            </w:pPr>
          </w:p>
        </w:tc>
        <w:tc>
          <w:tcPr>
            <w:tcW w:w="1494" w:type="dxa"/>
            <w:tcBorders>
              <w:top w:val="nil"/>
              <w:left w:val="nil"/>
              <w:bottom w:val="single" w:color="auto"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(N=1225)</w:t>
            </w:r>
          </w:p>
        </w:tc>
        <w:tc>
          <w:tcPr>
            <w:tcW w:w="1769"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(N=973)</w:t>
            </w:r>
          </w:p>
        </w:tc>
        <w:tc>
          <w:tcPr>
            <w:tcW w:w="1555"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(N=99)</w:t>
            </w:r>
          </w:p>
        </w:tc>
        <w:tc>
          <w:tcPr>
            <w:tcW w:w="1542"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(N=153)</w:t>
            </w:r>
          </w:p>
        </w:tc>
        <w:tc>
          <w:tcPr>
            <w:tcW w:w="700" w:type="dxa"/>
            <w:vMerge w:val="continue"/>
            <w:tcBorders>
              <w:top w:val="single" w:color="auto" w:sz="12" w:space="0"/>
              <w:left w:val="nil"/>
              <w:bottom w:val="single" w:color="000000" w:sz="8" w:space="0"/>
              <w:right w:val="nil"/>
            </w:tcBorders>
            <w:vAlign w:val="center"/>
          </w:tcPr>
          <w:p>
            <w:pPr>
              <w:widowControl/>
              <w:ind w:firstLine="300"/>
              <w:jc w:val="left"/>
              <w:rPr>
                <w:rFonts w:ascii="Calibri" w:hAnsi="Calibri"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Magnetic Field</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1.5T</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271 (22.1%)</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213 (21.9%)</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 (14.1%)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 (28.8%)</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0.02</w:t>
            </w: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3.0T</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954 (77.9%)</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760 (78.1%)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85 (85.9%)</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109 (71.2%)</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Manufacture</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GE MEDICAL SYSTEMS</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665 (54.3%)</w:t>
            </w:r>
          </w:p>
        </w:tc>
        <w:tc>
          <w:tcPr>
            <w:tcW w:w="1769"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540 (55.5%)</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65 (65.7%)</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60 (39.2%)</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&lt;0.001</w:t>
            </w: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Philips Medical Systems</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155 (12.7%)</w:t>
            </w:r>
          </w:p>
        </w:tc>
        <w:tc>
          <w:tcPr>
            <w:tcW w:w="1769"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111 (11.4%)</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 (10.1%)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34 (22.2%)</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SIEMENS</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365 (29.8%)</w:t>
            </w:r>
          </w:p>
        </w:tc>
        <w:tc>
          <w:tcPr>
            <w:tcW w:w="1769"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289 (29.7%)</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20 (20.2%)</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56 (36.6%)</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UIH</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40 (3.3%)</w:t>
            </w:r>
          </w:p>
        </w:tc>
        <w:tc>
          <w:tcPr>
            <w:tcW w:w="1769"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33 (3.4%)</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(4.0%)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(2.0%)</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Model Name</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Achieva</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26 (2.1%)</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20 (2.1%)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(3.0%)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(2.0%)</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0.01</w:t>
            </w: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Aera</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239 (19.5%)</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192 (19.7%)</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(8.1%)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39 (25.5%)</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Amira</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 (0.1%)</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DISCOVERY MR750</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547 (44.7%)</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446 (45.8%)</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54 (54.5%)</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47 (30.7%)</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DISCOVERY MR750w</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78 (6.4%)</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64 (6.6%)</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(5.1%)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 (5.9%)</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Ingenia</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111 (9.1%)</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79 (8.1%)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(5.1%)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27 (17.6%)</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Ingenia CX</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 (0.1%)</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MAGNETOM_ESSENZA</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 (0.1%)</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Multiva</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17 (1.4%)</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 (1.1%)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(2.0%)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(2.6%)</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Prisma</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10 (0.8%)</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 (0.7%)</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(1.0%)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(1.3%)</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EXCITE</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36 (2.9%)</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28 (2.9%)</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(5.1%)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(2.0%)</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HDxt</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3 (0.2%)</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(1.0%)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(0.7%)</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Premier</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 (0.1%)</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Skyra</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34 (2.8%)</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28 (2.9%)</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(3.0%)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(2.0%)</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TrioTim</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41 (3.3%)</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35 (3.6%)</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(2.0%)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(2.6%)</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uMR 790</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40 (3.3%)</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33 (3.4%)</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(4.0%)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(2.0%)</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Verio</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39 (3.2%)</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25 (2.6%)</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(6.1%)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(5.2%)</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FatSat</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fs</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87 (7.1%)</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67 (6.9%)</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 (10.1%)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 (6.5%)</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0.47</w:t>
            </w: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nonfs</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1138 (92.9%)</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906 (93.1%)</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89 (89.9%)</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143 (93.5%)</w:t>
            </w:r>
          </w:p>
        </w:tc>
        <w:tc>
          <w:tcPr>
            <w:tcW w:w="70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Repetition Time (ms)</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3560 [3040, 3880]</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3460 [3040, 3850]</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3560 [3070, 3790]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3730 [3000, 4200]</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0.30</w:t>
            </w: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Echo Time (ms)</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92.9 [87.5, 112]</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92.2 [87.4, 110]</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90.3 [87.4, 103]</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99.0 [88.0, 115]</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0.05</w:t>
            </w: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Pixel Bandwidth (Hz)</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163 [163, 200]</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163 [163, 200]</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163 [122, 188]</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200 [160, 218]</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&lt;0.001</w:t>
            </w:r>
          </w:p>
        </w:tc>
      </w:tr>
      <w:tr>
        <w:tblPrEx>
          <w:tblCellMar>
            <w:top w:w="0" w:type="dxa"/>
            <w:left w:w="108" w:type="dxa"/>
            <w:bottom w:w="0" w:type="dxa"/>
            <w:right w:w="108" w:type="dxa"/>
          </w:tblCellMar>
        </w:tblPrEx>
        <w:trPr>
          <w:trHeight w:val="283"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Flip Angle</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111 [111, 140]</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111 [111, 140]</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111 [111, 111]</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111 [111, 150]</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0.37</w:t>
            </w: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Reconstruction Diameter</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240 [200, 240]</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240 [200, 240]</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240 [200, 240]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220 [200, 240]</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0.01</w:t>
            </w: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Slice Thickness (mm)</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4.00 [3.50, 4.00]</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[3.50, 4.00]</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[3.40, 4.00]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[3.50, 4.00]</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0.44</w:t>
            </w: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Slice Spacing (mm)</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4.00 [4.00, 4.00]</w:t>
            </w:r>
          </w:p>
        </w:tc>
        <w:tc>
          <w:tcPr>
            <w:tcW w:w="1769"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4.00]</w:t>
            </w:r>
          </w:p>
        </w:tc>
        <w:tc>
          <w:tcPr>
            <w:tcW w:w="155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4.00]</w:t>
            </w:r>
          </w:p>
        </w:tc>
        <w:tc>
          <w:tcPr>
            <w:tcW w:w="154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[3.60, 4.00]</w:t>
            </w:r>
          </w:p>
        </w:tc>
        <w:tc>
          <w:tcPr>
            <w:tcW w:w="700" w:type="dxa"/>
            <w:tcBorders>
              <w:top w:val="nil"/>
              <w:left w:val="nil"/>
              <w:bottom w:val="nil"/>
              <w:right w:val="nil"/>
            </w:tcBorders>
            <w:vAlign w:val="center"/>
          </w:tcPr>
          <w:p>
            <w:pPr>
              <w:shd w:val="clear" w:color="auto" w:fill="FFFFFF"/>
              <w:ind w:firstLine="300"/>
              <w:rPr>
                <w:rFonts w:eastAsia="等线"/>
                <w:kern w:val="0"/>
                <w:sz w:val="15"/>
                <w:szCs w:val="15"/>
              </w:rPr>
            </w:pPr>
            <w:r>
              <w:rPr>
                <w:rFonts w:eastAsia="等线"/>
                <w:sz w:val="15"/>
                <w:szCs w:val="15"/>
              </w:rPr>
              <w:t>0.06</w:t>
            </w:r>
          </w:p>
        </w:tc>
      </w:tr>
      <w:tr>
        <w:tblPrEx>
          <w:tblCellMar>
            <w:top w:w="0" w:type="dxa"/>
            <w:left w:w="108" w:type="dxa"/>
            <w:bottom w:w="0" w:type="dxa"/>
            <w:right w:w="108" w:type="dxa"/>
          </w:tblCellMar>
        </w:tblPrEx>
        <w:trPr>
          <w:trHeight w:val="566" w:hRule="atLeast"/>
          <w:jc w:val="center"/>
        </w:trPr>
        <w:tc>
          <w:tcPr>
            <w:tcW w:w="25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Pixel Spacing (mm)</w:t>
            </w:r>
          </w:p>
        </w:tc>
        <w:tc>
          <w:tcPr>
            <w:tcW w:w="1494"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769" w:type="dxa"/>
            <w:tcBorders>
              <w:top w:val="nil"/>
              <w:left w:val="nil"/>
              <w:bottom w:val="nil"/>
              <w:right w:val="nil"/>
            </w:tcBorders>
            <w:vAlign w:val="center"/>
          </w:tcPr>
          <w:p>
            <w:pPr>
              <w:shd w:val="clear" w:color="auto" w:fill="FFFFFF"/>
              <w:ind w:firstLine="300"/>
              <w:rPr>
                <w:rFonts w:eastAsia="等线"/>
                <w:sz w:val="15"/>
                <w:szCs w:val="15"/>
              </w:rPr>
            </w:pPr>
          </w:p>
        </w:tc>
        <w:tc>
          <w:tcPr>
            <w:tcW w:w="1555" w:type="dxa"/>
            <w:tcBorders>
              <w:top w:val="nil"/>
              <w:left w:val="nil"/>
              <w:bottom w:val="nil"/>
              <w:right w:val="nil"/>
            </w:tcBorders>
            <w:vAlign w:val="center"/>
          </w:tcPr>
          <w:p>
            <w:pPr>
              <w:shd w:val="clear" w:color="auto" w:fill="FFFFFF"/>
              <w:ind w:firstLine="300"/>
              <w:rPr>
                <w:rFonts w:eastAsia="宋体"/>
                <w:sz w:val="15"/>
                <w:szCs w:val="15"/>
              </w:rPr>
            </w:pPr>
          </w:p>
        </w:tc>
        <w:tc>
          <w:tcPr>
            <w:tcW w:w="1542" w:type="dxa"/>
            <w:tcBorders>
              <w:top w:val="nil"/>
              <w:left w:val="nil"/>
              <w:bottom w:val="nil"/>
              <w:right w:val="nil"/>
            </w:tcBorders>
            <w:vAlign w:val="center"/>
          </w:tcPr>
          <w:p>
            <w:pPr>
              <w:shd w:val="clear" w:color="auto" w:fill="FFFFFF"/>
              <w:ind w:firstLine="300"/>
              <w:rPr>
                <w:sz w:val="15"/>
                <w:szCs w:val="15"/>
              </w:rPr>
            </w:pPr>
          </w:p>
        </w:tc>
        <w:tc>
          <w:tcPr>
            <w:tcW w:w="70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75" w:hRule="atLeast"/>
          <w:jc w:val="center"/>
        </w:trPr>
        <w:tc>
          <w:tcPr>
            <w:tcW w:w="2560"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94" w:type="dxa"/>
            <w:tcBorders>
              <w:top w:val="nil"/>
              <w:left w:val="nil"/>
              <w:bottom w:val="single" w:color="auto" w:sz="12" w:space="0"/>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0.469 [0.469, 0.577]</w:t>
            </w:r>
          </w:p>
        </w:tc>
        <w:tc>
          <w:tcPr>
            <w:tcW w:w="1769"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0.469 [0.469, 0.625]</w:t>
            </w:r>
          </w:p>
        </w:tc>
        <w:tc>
          <w:tcPr>
            <w:tcW w:w="1555"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0.469[0.417, 0.469]</w:t>
            </w:r>
          </w:p>
        </w:tc>
        <w:tc>
          <w:tcPr>
            <w:tcW w:w="1542"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0.469 [0.344, 0.625]</w:t>
            </w:r>
          </w:p>
        </w:tc>
        <w:tc>
          <w:tcPr>
            <w:tcW w:w="700" w:type="dxa"/>
            <w:tcBorders>
              <w:top w:val="nil"/>
              <w:left w:val="nil"/>
              <w:bottom w:val="single" w:color="auto" w:sz="12" w:space="0"/>
              <w:right w:val="nil"/>
            </w:tcBorders>
            <w:vAlign w:val="center"/>
          </w:tcPr>
          <w:p>
            <w:pPr>
              <w:shd w:val="clear" w:color="auto" w:fill="FFFFFF"/>
              <w:ind w:firstLine="300"/>
              <w:rPr>
                <w:rFonts w:eastAsia="等线"/>
                <w:kern w:val="0"/>
                <w:sz w:val="15"/>
                <w:szCs w:val="15"/>
              </w:rPr>
            </w:pPr>
            <w:r>
              <w:rPr>
                <w:rFonts w:eastAsia="等线"/>
                <w:sz w:val="15"/>
                <w:szCs w:val="15"/>
              </w:rPr>
              <w:t>0.05</w:t>
            </w:r>
          </w:p>
        </w:tc>
      </w:tr>
    </w:tbl>
    <w:p>
      <w:pPr>
        <w:sectPr>
          <w:pgSz w:w="11906" w:h="16838"/>
          <w:pgMar w:top="720" w:right="720" w:bottom="720" w:left="720" w:header="851" w:footer="992" w:gutter="0"/>
          <w:cols w:space="425" w:num="1"/>
          <w:docGrid w:type="lines" w:linePitch="326" w:charSpace="0"/>
        </w:sectPr>
      </w:pPr>
      <w:r>
        <w:br w:type="page"/>
      </w:r>
    </w:p>
    <w:p>
      <w:pPr>
        <w:ind w:firstLine="420"/>
        <w:rPr>
          <w:rFonts w:ascii="Calibri" w:hAnsi="Calibri" w:eastAsia="宋体"/>
          <w:sz w:val="21"/>
          <w:szCs w:val="21"/>
        </w:rPr>
      </w:pPr>
    </w:p>
    <w:p>
      <w:pPr>
        <w:pStyle w:val="7"/>
        <w:ind w:firstLine="482"/>
        <w:jc w:val="center"/>
      </w:pPr>
      <w:bookmarkStart w:id="7" w:name="_Ref127283484"/>
      <w:r>
        <w:rPr>
          <w:b/>
          <w:bCs/>
        </w:rPr>
        <w:t>Table S</w:t>
      </w:r>
      <w:r>
        <w:rPr>
          <w:b/>
          <w:bCs/>
        </w:rPr>
        <w:fldChar w:fldCharType="begin"/>
      </w:r>
      <w:r>
        <w:rPr>
          <w:b/>
          <w:bCs/>
        </w:rPr>
        <w:instrText xml:space="preserve"> SEQ Table_S \* ARABIC </w:instrText>
      </w:r>
      <w:r>
        <w:rPr>
          <w:b/>
          <w:bCs/>
        </w:rPr>
        <w:fldChar w:fldCharType="separate"/>
      </w:r>
      <w:r>
        <w:rPr>
          <w:b/>
          <w:bCs/>
        </w:rPr>
        <w:t>7</w:t>
      </w:r>
      <w:r>
        <w:rPr>
          <w:b/>
          <w:bCs/>
        </w:rPr>
        <w:fldChar w:fldCharType="end"/>
      </w:r>
      <w:bookmarkEnd w:id="7"/>
      <w:r>
        <w:rPr>
          <w:b/>
          <w:bCs/>
        </w:rPr>
        <w:t xml:space="preserve"> </w:t>
      </w:r>
      <w:r>
        <w:t>Segmentation metrics of the model</w:t>
      </w:r>
    </w:p>
    <w:tbl>
      <w:tblPr>
        <w:tblStyle w:val="13"/>
        <w:tblW w:w="11615" w:type="dxa"/>
        <w:jc w:val="center"/>
        <w:tblLayout w:type="fixed"/>
        <w:tblCellMar>
          <w:top w:w="0" w:type="dxa"/>
          <w:left w:w="108" w:type="dxa"/>
          <w:bottom w:w="0" w:type="dxa"/>
          <w:right w:w="108" w:type="dxa"/>
        </w:tblCellMar>
      </w:tblPr>
      <w:tblGrid>
        <w:gridCol w:w="2675"/>
        <w:gridCol w:w="1863"/>
        <w:gridCol w:w="1863"/>
        <w:gridCol w:w="1832"/>
        <w:gridCol w:w="2122"/>
        <w:gridCol w:w="1260"/>
      </w:tblGrid>
      <w:tr>
        <w:tblPrEx>
          <w:tblCellMar>
            <w:top w:w="0" w:type="dxa"/>
            <w:left w:w="108" w:type="dxa"/>
            <w:bottom w:w="0" w:type="dxa"/>
            <w:right w:w="108" w:type="dxa"/>
          </w:tblCellMar>
        </w:tblPrEx>
        <w:trPr>
          <w:trHeight w:val="280" w:hRule="atLeast"/>
          <w:jc w:val="center"/>
        </w:trPr>
        <w:tc>
          <w:tcPr>
            <w:tcW w:w="2675" w:type="dxa"/>
            <w:vMerge w:val="restart"/>
            <w:tcBorders>
              <w:top w:val="single" w:color="auto" w:sz="8" w:space="0"/>
              <w:left w:val="nil"/>
              <w:bottom w:val="single" w:color="000000" w:sz="4" w:space="0"/>
              <w:right w:val="nil"/>
            </w:tcBorders>
            <w:vAlign w:val="center"/>
          </w:tcPr>
          <w:p>
            <w:pPr>
              <w:ind w:firstLine="300"/>
              <w:rPr>
                <w:rFonts w:ascii="等线" w:hAnsi="等线" w:cs="等线"/>
                <w:sz w:val="15"/>
                <w:szCs w:val="15"/>
              </w:rPr>
            </w:pPr>
          </w:p>
        </w:tc>
        <w:tc>
          <w:tcPr>
            <w:tcW w:w="1863" w:type="dxa"/>
            <w:tcBorders>
              <w:top w:val="single" w:color="auto" w:sz="8" w:space="0"/>
              <w:left w:val="nil"/>
              <w:bottom w:val="nil"/>
              <w:right w:val="nil"/>
            </w:tcBorders>
            <w:vAlign w:val="center"/>
          </w:tcPr>
          <w:p>
            <w:pPr>
              <w:shd w:val="clear" w:color="auto" w:fill="FFFFFF"/>
              <w:ind w:firstLine="300"/>
              <w:rPr>
                <w:rFonts w:ascii="Calibri" w:hAnsi="Calibri" w:eastAsia="等线"/>
                <w:sz w:val="15"/>
                <w:szCs w:val="15"/>
              </w:rPr>
            </w:pPr>
            <w:r>
              <w:rPr>
                <w:rFonts w:eastAsia="等线"/>
                <w:sz w:val="15"/>
                <w:szCs w:val="15"/>
              </w:rPr>
              <w:t>Overall</w:t>
            </w:r>
          </w:p>
        </w:tc>
        <w:tc>
          <w:tcPr>
            <w:tcW w:w="1863" w:type="dxa"/>
            <w:tcBorders>
              <w:top w:val="single" w:color="auto" w:sz="8"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train</w:t>
            </w:r>
          </w:p>
        </w:tc>
        <w:tc>
          <w:tcPr>
            <w:tcW w:w="1832" w:type="dxa"/>
            <w:tcBorders>
              <w:top w:val="single" w:color="auto" w:sz="8"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validate</w:t>
            </w:r>
          </w:p>
        </w:tc>
        <w:tc>
          <w:tcPr>
            <w:tcW w:w="2122" w:type="dxa"/>
            <w:tcBorders>
              <w:top w:val="single" w:color="auto" w:sz="8"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test</w:t>
            </w:r>
          </w:p>
        </w:tc>
        <w:tc>
          <w:tcPr>
            <w:tcW w:w="1260" w:type="dxa"/>
            <w:vMerge w:val="restart"/>
            <w:tcBorders>
              <w:top w:val="single" w:color="auto" w:sz="8" w:space="0"/>
              <w:left w:val="nil"/>
              <w:bottom w:val="single" w:color="000000" w:sz="4" w:space="0"/>
              <w:right w:val="nil"/>
            </w:tcBorders>
            <w:vAlign w:val="center"/>
          </w:tcPr>
          <w:p>
            <w:pPr>
              <w:shd w:val="clear" w:color="auto" w:fill="FFFFFF"/>
              <w:ind w:firstLine="300"/>
              <w:rPr>
                <w:rFonts w:eastAsia="等线"/>
                <w:sz w:val="15"/>
                <w:szCs w:val="15"/>
              </w:rPr>
            </w:pPr>
            <w:r>
              <w:rPr>
                <w:rFonts w:eastAsia="等线"/>
                <w:sz w:val="15"/>
                <w:szCs w:val="15"/>
              </w:rPr>
              <w:t>P Value</w:t>
            </w:r>
          </w:p>
        </w:tc>
      </w:tr>
      <w:tr>
        <w:tblPrEx>
          <w:tblCellMar>
            <w:top w:w="0" w:type="dxa"/>
            <w:left w:w="108" w:type="dxa"/>
            <w:bottom w:w="0" w:type="dxa"/>
            <w:right w:w="108" w:type="dxa"/>
          </w:tblCellMar>
        </w:tblPrEx>
        <w:trPr>
          <w:trHeight w:val="280" w:hRule="atLeast"/>
          <w:jc w:val="center"/>
        </w:trPr>
        <w:tc>
          <w:tcPr>
            <w:tcW w:w="2675" w:type="dxa"/>
            <w:vMerge w:val="continue"/>
            <w:tcBorders>
              <w:top w:val="single" w:color="auto" w:sz="8" w:space="0"/>
              <w:left w:val="nil"/>
              <w:bottom w:val="single" w:color="000000" w:sz="4" w:space="0"/>
              <w:right w:val="nil"/>
            </w:tcBorders>
            <w:vAlign w:val="center"/>
          </w:tcPr>
          <w:p>
            <w:pPr>
              <w:widowControl/>
              <w:ind w:firstLine="300"/>
              <w:jc w:val="left"/>
              <w:rPr>
                <w:rFonts w:ascii="等线" w:hAnsi="等线" w:eastAsia="宋体" w:cs="等线"/>
                <w:sz w:val="15"/>
                <w:szCs w:val="15"/>
              </w:rPr>
            </w:pPr>
          </w:p>
        </w:tc>
        <w:tc>
          <w:tcPr>
            <w:tcW w:w="1863" w:type="dxa"/>
            <w:tcBorders>
              <w:top w:val="nil"/>
              <w:left w:val="nil"/>
              <w:bottom w:val="single" w:color="auto" w:sz="4" w:space="0"/>
              <w:right w:val="nil"/>
            </w:tcBorders>
            <w:vAlign w:val="center"/>
          </w:tcPr>
          <w:p>
            <w:pPr>
              <w:shd w:val="clear" w:color="auto" w:fill="FFFFFF"/>
              <w:ind w:firstLine="300"/>
              <w:rPr>
                <w:rFonts w:eastAsia="等线"/>
                <w:sz w:val="15"/>
                <w:szCs w:val="15"/>
              </w:rPr>
            </w:pPr>
            <w:r>
              <w:rPr>
                <w:rFonts w:eastAsia="等线"/>
                <w:sz w:val="15"/>
                <w:szCs w:val="15"/>
              </w:rPr>
              <w:t>(N=1225)</w:t>
            </w:r>
          </w:p>
        </w:tc>
        <w:tc>
          <w:tcPr>
            <w:tcW w:w="1863" w:type="dxa"/>
            <w:tcBorders>
              <w:top w:val="nil"/>
              <w:left w:val="nil"/>
              <w:bottom w:val="single" w:color="auto" w:sz="4" w:space="0"/>
              <w:right w:val="nil"/>
            </w:tcBorders>
            <w:vAlign w:val="center"/>
          </w:tcPr>
          <w:p>
            <w:pPr>
              <w:shd w:val="clear" w:color="auto" w:fill="FFFFFF"/>
              <w:ind w:firstLine="300"/>
              <w:rPr>
                <w:rFonts w:eastAsia="等线"/>
                <w:sz w:val="15"/>
                <w:szCs w:val="15"/>
              </w:rPr>
            </w:pPr>
            <w:r>
              <w:rPr>
                <w:rFonts w:eastAsia="等线"/>
                <w:sz w:val="15"/>
                <w:szCs w:val="15"/>
              </w:rPr>
              <w:t>(N=979)</w:t>
            </w:r>
          </w:p>
        </w:tc>
        <w:tc>
          <w:tcPr>
            <w:tcW w:w="1832" w:type="dxa"/>
            <w:tcBorders>
              <w:top w:val="nil"/>
              <w:left w:val="nil"/>
              <w:bottom w:val="single" w:color="auto" w:sz="4" w:space="0"/>
              <w:right w:val="nil"/>
            </w:tcBorders>
            <w:vAlign w:val="center"/>
          </w:tcPr>
          <w:p>
            <w:pPr>
              <w:shd w:val="clear" w:color="auto" w:fill="FFFFFF"/>
              <w:ind w:firstLine="300"/>
              <w:rPr>
                <w:rFonts w:eastAsia="等线"/>
                <w:sz w:val="15"/>
                <w:szCs w:val="15"/>
              </w:rPr>
            </w:pPr>
            <w:r>
              <w:rPr>
                <w:rFonts w:eastAsia="等线"/>
                <w:sz w:val="15"/>
                <w:szCs w:val="15"/>
              </w:rPr>
              <w:t>(N=123)</w:t>
            </w:r>
          </w:p>
        </w:tc>
        <w:tc>
          <w:tcPr>
            <w:tcW w:w="2122" w:type="dxa"/>
            <w:tcBorders>
              <w:top w:val="nil"/>
              <w:left w:val="nil"/>
              <w:bottom w:val="single" w:color="auto" w:sz="4" w:space="0"/>
              <w:right w:val="nil"/>
            </w:tcBorders>
            <w:vAlign w:val="center"/>
          </w:tcPr>
          <w:p>
            <w:pPr>
              <w:shd w:val="clear" w:color="auto" w:fill="FFFFFF"/>
              <w:ind w:firstLine="300"/>
              <w:rPr>
                <w:rFonts w:eastAsia="等线"/>
                <w:sz w:val="15"/>
                <w:szCs w:val="15"/>
              </w:rPr>
            </w:pPr>
            <w:r>
              <w:rPr>
                <w:rFonts w:eastAsia="等线"/>
                <w:sz w:val="15"/>
                <w:szCs w:val="15"/>
              </w:rPr>
              <w:t>(N=123)</w:t>
            </w:r>
          </w:p>
        </w:tc>
        <w:tc>
          <w:tcPr>
            <w:tcW w:w="1260" w:type="dxa"/>
            <w:vMerge w:val="continue"/>
            <w:tcBorders>
              <w:top w:val="single" w:color="auto" w:sz="8" w:space="0"/>
              <w:left w:val="nil"/>
              <w:bottom w:val="single" w:color="000000" w:sz="4" w:space="0"/>
              <w:right w:val="nil"/>
            </w:tcBorders>
            <w:vAlign w:val="center"/>
          </w:tcPr>
          <w:p>
            <w:pPr>
              <w:widowControl/>
              <w:ind w:firstLine="300"/>
              <w:jc w:val="left"/>
              <w:rPr>
                <w:rFonts w:ascii="Calibri" w:hAnsi="Calibri" w:eastAsia="等线"/>
                <w:sz w:val="15"/>
                <w:szCs w:val="15"/>
              </w:rPr>
            </w:pP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r>
              <w:rPr>
                <w:rFonts w:eastAsia="等线"/>
                <w:sz w:val="15"/>
                <w:szCs w:val="15"/>
                <w:shd w:val="clear" w:color="auto" w:fill="7F7F7F"/>
              </w:rPr>
              <w:t>AFS</w:t>
            </w:r>
          </w:p>
        </w:tc>
        <w:tc>
          <w:tcPr>
            <w:tcW w:w="1863"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1863" w:type="dxa"/>
            <w:tcBorders>
              <w:top w:val="nil"/>
              <w:left w:val="nil"/>
              <w:bottom w:val="nil"/>
              <w:right w:val="nil"/>
            </w:tcBorders>
            <w:vAlign w:val="center"/>
          </w:tcPr>
          <w:p>
            <w:pPr>
              <w:shd w:val="clear" w:color="auto" w:fill="FFFFFF"/>
              <w:ind w:firstLine="300"/>
              <w:rPr>
                <w:rFonts w:eastAsia="宋体"/>
                <w:sz w:val="15"/>
                <w:szCs w:val="15"/>
                <w:shd w:val="clear" w:color="auto" w:fill="7F7F7F"/>
              </w:rPr>
            </w:pPr>
          </w:p>
        </w:tc>
        <w:tc>
          <w:tcPr>
            <w:tcW w:w="1832" w:type="dxa"/>
            <w:tcBorders>
              <w:top w:val="nil"/>
              <w:left w:val="nil"/>
              <w:bottom w:val="nil"/>
              <w:right w:val="nil"/>
            </w:tcBorders>
            <w:vAlign w:val="center"/>
          </w:tcPr>
          <w:p>
            <w:pPr>
              <w:shd w:val="clear" w:color="auto" w:fill="FFFFFF"/>
              <w:ind w:firstLine="300"/>
              <w:rPr>
                <w:sz w:val="15"/>
                <w:szCs w:val="15"/>
                <w:shd w:val="clear" w:color="auto" w:fill="7F7F7F"/>
              </w:rPr>
            </w:pPr>
          </w:p>
        </w:tc>
        <w:tc>
          <w:tcPr>
            <w:tcW w:w="2122" w:type="dxa"/>
            <w:tcBorders>
              <w:top w:val="nil"/>
              <w:left w:val="nil"/>
              <w:bottom w:val="nil"/>
              <w:right w:val="nil"/>
            </w:tcBorders>
            <w:vAlign w:val="center"/>
          </w:tcPr>
          <w:p>
            <w:pPr>
              <w:shd w:val="clear" w:color="auto" w:fill="FFFFFF"/>
              <w:ind w:firstLine="300"/>
              <w:rPr>
                <w:sz w:val="15"/>
                <w:szCs w:val="15"/>
                <w:shd w:val="clear" w:color="auto" w:fill="7F7F7F"/>
              </w:rPr>
            </w:pPr>
          </w:p>
        </w:tc>
        <w:tc>
          <w:tcPr>
            <w:tcW w:w="1260" w:type="dxa"/>
            <w:tcBorders>
              <w:top w:val="nil"/>
              <w:left w:val="nil"/>
              <w:bottom w:val="nil"/>
              <w:right w:val="nil"/>
            </w:tcBorders>
            <w:vAlign w:val="center"/>
          </w:tcPr>
          <w:p>
            <w:pPr>
              <w:shd w:val="clear" w:color="auto" w:fill="FFFFFF"/>
              <w:ind w:firstLine="300"/>
              <w:rPr>
                <w:sz w:val="15"/>
                <w:szCs w:val="15"/>
                <w:shd w:val="clear" w:color="auto" w:fill="7F7F7F"/>
              </w:rPr>
            </w:pP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shd w:val="clear" w:color="auto" w:fill="auto"/>
              </w:rPr>
            </w:pPr>
            <w:r>
              <w:rPr>
                <w:rFonts w:eastAsia="等线"/>
                <w:sz w:val="15"/>
                <w:szCs w:val="15"/>
              </w:rPr>
              <w:t>DSC</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宋体"/>
                <w:sz w:val="15"/>
                <w:szCs w:val="15"/>
              </w:rPr>
            </w:pPr>
          </w:p>
        </w:tc>
        <w:tc>
          <w:tcPr>
            <w:tcW w:w="1832" w:type="dxa"/>
            <w:tcBorders>
              <w:top w:val="nil"/>
              <w:left w:val="nil"/>
              <w:bottom w:val="nil"/>
              <w:right w:val="nil"/>
            </w:tcBorders>
            <w:vAlign w:val="center"/>
          </w:tcPr>
          <w:p>
            <w:pPr>
              <w:shd w:val="clear" w:color="auto" w:fill="FFFFFF"/>
              <w:ind w:firstLine="300"/>
              <w:rPr>
                <w:sz w:val="15"/>
                <w:szCs w:val="15"/>
              </w:rPr>
            </w:pPr>
          </w:p>
        </w:tc>
        <w:tc>
          <w:tcPr>
            <w:tcW w:w="2122" w:type="dxa"/>
            <w:tcBorders>
              <w:top w:val="nil"/>
              <w:left w:val="nil"/>
              <w:bottom w:val="nil"/>
              <w:right w:val="nil"/>
            </w:tcBorders>
            <w:vAlign w:val="center"/>
          </w:tcPr>
          <w:p>
            <w:pPr>
              <w:shd w:val="clear" w:color="auto" w:fill="FFFFFF"/>
              <w:ind w:firstLine="300"/>
              <w:rPr>
                <w:sz w:val="15"/>
                <w:szCs w:val="15"/>
              </w:rPr>
            </w:pPr>
          </w:p>
        </w:tc>
        <w:tc>
          <w:tcPr>
            <w:tcW w:w="126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844"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0.790 [0, 0.920]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0.800 [0, 0.920]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0.710 [0, 0.890]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0.690 [0.0300, 0.860]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 (0.9%)</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(0.8%)</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JACRD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宋体"/>
                <w:sz w:val="15"/>
                <w:szCs w:val="15"/>
              </w:rPr>
            </w:pPr>
          </w:p>
        </w:tc>
        <w:tc>
          <w:tcPr>
            <w:tcW w:w="1832" w:type="dxa"/>
            <w:tcBorders>
              <w:top w:val="nil"/>
              <w:left w:val="nil"/>
              <w:bottom w:val="nil"/>
              <w:right w:val="nil"/>
            </w:tcBorders>
            <w:vAlign w:val="center"/>
          </w:tcPr>
          <w:p>
            <w:pPr>
              <w:shd w:val="clear" w:color="auto" w:fill="FFFFFF"/>
              <w:ind w:firstLine="300"/>
              <w:rPr>
                <w:sz w:val="15"/>
                <w:szCs w:val="15"/>
              </w:rPr>
            </w:pPr>
          </w:p>
        </w:tc>
        <w:tc>
          <w:tcPr>
            <w:tcW w:w="2122" w:type="dxa"/>
            <w:tcBorders>
              <w:top w:val="nil"/>
              <w:left w:val="nil"/>
              <w:bottom w:val="nil"/>
              <w:right w:val="nil"/>
            </w:tcBorders>
            <w:vAlign w:val="center"/>
          </w:tcPr>
          <w:p>
            <w:pPr>
              <w:shd w:val="clear" w:color="auto" w:fill="FFFFFF"/>
              <w:ind w:firstLine="300"/>
              <w:rPr>
                <w:sz w:val="15"/>
                <w:szCs w:val="15"/>
              </w:rPr>
            </w:pPr>
          </w:p>
        </w:tc>
        <w:tc>
          <w:tcPr>
            <w:tcW w:w="126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844"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0.650 [0, 0.850]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0.670 [0, 0.850]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0.550 [0, 0.800]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0.530 [0.020, 0.760]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 (0.9%)</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(0.8%)</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宋体"/>
                <w:sz w:val="15"/>
                <w:szCs w:val="15"/>
              </w:rPr>
            </w:pPr>
          </w:p>
        </w:tc>
        <w:tc>
          <w:tcPr>
            <w:tcW w:w="1832" w:type="dxa"/>
            <w:tcBorders>
              <w:top w:val="nil"/>
              <w:left w:val="nil"/>
              <w:bottom w:val="nil"/>
              <w:right w:val="nil"/>
            </w:tcBorders>
            <w:vAlign w:val="center"/>
          </w:tcPr>
          <w:p>
            <w:pPr>
              <w:shd w:val="clear" w:color="auto" w:fill="FFFFFF"/>
              <w:ind w:firstLine="300"/>
              <w:rPr>
                <w:sz w:val="15"/>
                <w:szCs w:val="15"/>
              </w:rPr>
            </w:pPr>
          </w:p>
        </w:tc>
        <w:tc>
          <w:tcPr>
            <w:tcW w:w="2122" w:type="dxa"/>
            <w:tcBorders>
              <w:top w:val="nil"/>
              <w:left w:val="nil"/>
              <w:bottom w:val="nil"/>
              <w:right w:val="nil"/>
            </w:tcBorders>
            <w:vAlign w:val="center"/>
          </w:tcPr>
          <w:p>
            <w:pPr>
              <w:shd w:val="clear" w:color="auto" w:fill="FFFFFF"/>
              <w:ind w:firstLine="300"/>
              <w:rPr>
                <w:sz w:val="15"/>
                <w:szCs w:val="15"/>
              </w:rPr>
            </w:pPr>
          </w:p>
        </w:tc>
        <w:tc>
          <w:tcPr>
            <w:tcW w:w="126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844"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0.930 [0.0300, 1.00]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0.940 [0.0300, 1.00]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0.885 [0.230, 1.00]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0.890 [0.140, 1.00]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 (0.9%)</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(0.8%)</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HD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宋体"/>
                <w:sz w:val="15"/>
                <w:szCs w:val="15"/>
              </w:rPr>
            </w:pPr>
          </w:p>
        </w:tc>
        <w:tc>
          <w:tcPr>
            <w:tcW w:w="1832" w:type="dxa"/>
            <w:tcBorders>
              <w:top w:val="nil"/>
              <w:left w:val="nil"/>
              <w:bottom w:val="nil"/>
              <w:right w:val="nil"/>
            </w:tcBorders>
            <w:vAlign w:val="center"/>
          </w:tcPr>
          <w:p>
            <w:pPr>
              <w:shd w:val="clear" w:color="auto" w:fill="FFFFFF"/>
              <w:ind w:firstLine="300"/>
              <w:rPr>
                <w:sz w:val="15"/>
                <w:szCs w:val="15"/>
              </w:rPr>
            </w:pPr>
          </w:p>
        </w:tc>
        <w:tc>
          <w:tcPr>
            <w:tcW w:w="2122" w:type="dxa"/>
            <w:tcBorders>
              <w:top w:val="nil"/>
              <w:left w:val="nil"/>
              <w:bottom w:val="nil"/>
              <w:right w:val="nil"/>
            </w:tcBorders>
            <w:vAlign w:val="center"/>
          </w:tcPr>
          <w:p>
            <w:pPr>
              <w:shd w:val="clear" w:color="auto" w:fill="FFFFFF"/>
              <w:ind w:firstLine="300"/>
              <w:rPr>
                <w:sz w:val="15"/>
                <w:szCs w:val="15"/>
              </w:rPr>
            </w:pPr>
          </w:p>
        </w:tc>
        <w:tc>
          <w:tcPr>
            <w:tcW w:w="126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2"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5.05 [1.56, 50.3]</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4.77 [1.56, 50.3]</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6.89 [2.21, 47.0]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6.64 [2.50, 48.6]</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 (0.9%)</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(0.8%)</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0"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宋体"/>
                <w:sz w:val="15"/>
                <w:szCs w:val="15"/>
              </w:rPr>
            </w:pPr>
          </w:p>
        </w:tc>
        <w:tc>
          <w:tcPr>
            <w:tcW w:w="1832" w:type="dxa"/>
            <w:tcBorders>
              <w:top w:val="nil"/>
              <w:left w:val="nil"/>
              <w:bottom w:val="nil"/>
              <w:right w:val="nil"/>
            </w:tcBorders>
            <w:vAlign w:val="center"/>
          </w:tcPr>
          <w:p>
            <w:pPr>
              <w:shd w:val="clear" w:color="auto" w:fill="FFFFFF"/>
              <w:ind w:firstLine="300"/>
              <w:rPr>
                <w:sz w:val="15"/>
                <w:szCs w:val="15"/>
              </w:rPr>
            </w:pPr>
          </w:p>
        </w:tc>
        <w:tc>
          <w:tcPr>
            <w:tcW w:w="2122" w:type="dxa"/>
            <w:tcBorders>
              <w:top w:val="nil"/>
              <w:left w:val="nil"/>
              <w:bottom w:val="nil"/>
              <w:right w:val="nil"/>
            </w:tcBorders>
            <w:vAlign w:val="center"/>
          </w:tcPr>
          <w:p>
            <w:pPr>
              <w:shd w:val="clear" w:color="auto" w:fill="FFFFFF"/>
              <w:ind w:firstLine="300"/>
              <w:rPr>
                <w:sz w:val="15"/>
                <w:szCs w:val="15"/>
              </w:rPr>
            </w:pPr>
          </w:p>
        </w:tc>
        <w:tc>
          <w:tcPr>
            <w:tcW w:w="1260"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844"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0.260 [0.0900, 25.3]</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0.230 [0.090, 25.3]</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0.410 [0.100, 9.58]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0.450 [0.130, 3.73]</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 (0.9%)</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(0.8%)</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r>
              <w:rPr>
                <w:rFonts w:eastAsia="等线"/>
                <w:sz w:val="15"/>
                <w:szCs w:val="15"/>
                <w:shd w:val="clear" w:color="auto" w:fill="7F7F7F"/>
              </w:rPr>
              <w:t>PZ</w:t>
            </w:r>
          </w:p>
        </w:tc>
        <w:tc>
          <w:tcPr>
            <w:tcW w:w="1863"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1863"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1832"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2122"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1260"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shd w:val="clear" w:color="auto" w:fill="auto"/>
              </w:rPr>
            </w:pPr>
            <w:r>
              <w:rPr>
                <w:rFonts w:eastAsia="等线"/>
                <w:sz w:val="15"/>
                <w:szCs w:val="15"/>
              </w:rPr>
              <w:t>DSC</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0.870 [0, 0.960]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0.88 [0, 0.96]</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0.84 [0.48, 0.92]</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0.840 [0.390, 0.930]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JACRD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0.770 [0, 0.920]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0.780 [0, 0.920]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0.720 [0.31, 0.86]</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0.720 [0.240, 0.870]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0.970 [0.100, 1.00]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0.970 [0.100, 1.00]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0.95 [0.61, 1.00]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0.960 [0.530, 1.00]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HD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7.55 [2.50, 50.2]</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7.20 [2.50, 43.7]</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8.91 [2.58, 50.2]</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8.11 [3.85, 44.3]</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0.160 [0.0500, 19.5]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0.150 [0.0500, 19.5]</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0.240 [0.080, 2.05]</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0.240 [0.080, 4.43]</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r>
              <w:rPr>
                <w:rFonts w:eastAsia="等线"/>
                <w:sz w:val="15"/>
                <w:szCs w:val="15"/>
                <w:shd w:val="clear" w:color="auto" w:fill="7F7F7F"/>
              </w:rPr>
              <w:t>CZ</w:t>
            </w:r>
          </w:p>
        </w:tc>
        <w:tc>
          <w:tcPr>
            <w:tcW w:w="1863"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1863"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1832"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2122"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c>
          <w:tcPr>
            <w:tcW w:w="1260" w:type="dxa"/>
            <w:tcBorders>
              <w:top w:val="nil"/>
              <w:left w:val="nil"/>
              <w:bottom w:val="nil"/>
              <w:right w:val="nil"/>
            </w:tcBorders>
            <w:vAlign w:val="center"/>
          </w:tcPr>
          <w:p>
            <w:pPr>
              <w:shd w:val="clear" w:color="auto" w:fill="FFFFFF"/>
              <w:ind w:firstLine="300"/>
              <w:rPr>
                <w:rFonts w:eastAsia="等线"/>
                <w:sz w:val="15"/>
                <w:szCs w:val="15"/>
                <w:shd w:val="clear" w:color="auto" w:fill="7F7F7F"/>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shd w:val="clear" w:color="auto" w:fill="auto"/>
              </w:rPr>
            </w:pPr>
            <w:r>
              <w:rPr>
                <w:rFonts w:eastAsia="等线"/>
                <w:sz w:val="15"/>
                <w:szCs w:val="15"/>
              </w:rPr>
              <w:t>DSC</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0.810 [0, 0.930]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0.820 [0.410, 0.930]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0.650 [0.05, 0.87]</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0.630 [0, 0.900]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(0.6%)</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JACRD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0.680 [0, 0.880]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0.700 [0.260, 0.880]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0.480 [0.03, 0.770]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0.460 [0, 0.810]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(0.6%)</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0.920 [0.170, 1.00]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0.930 [0.490, 1.00]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0.88 [0.180, 1.00]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0.880 [0.170, 1.00]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(0.6%)</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4.60 [2.00, 45.5]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4.29 [2.00, 34.1]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6.53 [2.80, 45.5]</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6.50 [2.73, 33.0]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(0.6%)</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HD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0.240 [0.0600, 9.09]</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0.220 [0.060, 3.89]</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0.600 [0.140, 8.41]</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0.610 [0.120, 9.09]</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(0.6%)</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shd w:val="clear" w:color="auto" w:fill="7F7F7F"/>
              </w:rPr>
              <w:t>TZ</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DSC</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0.930 [0.610, 0.970]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0.940 [0.720, 0.970]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0.910 [0.610, 0.970]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0.920 [0.700, 0.970]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JACRD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0.870 [0.440, 0.950]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0.880 [0.560, 0.950]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0.830 [0.44, 0.940]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0.850 [0.540, 0.940]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0.980 [0.770, 1.00]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0.990 [0.840, 1.00]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0.970 [0.770, 1.00]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0.970 [0.830, 1.00]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HD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4.59 [2.34, 38.3]</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4.46 [2.34, 34.0]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5.33 [2.47, 38.3]</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4.91 [2.72, 19.4]</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0.080 [0.020, 1.07]</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0.080 [0.020, 0.890]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0.130 [0.03, 1.07]</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0.110 [0.0300, 0.730]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shd w:val="clear" w:color="auto" w:fill="7F7F7F"/>
              </w:rPr>
              <w:t>URE</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DSC</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0.910 [0, 0.980]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0.920 [0.520, 0.980]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0.830 [0, 0.960]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0.830 [0.490, 0.960]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(0.7%)</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(0.5%)</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JACRD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0.830 [0, 0.960]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0.840 [0.350, 0.960]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0.700 [0, 0.930]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0.700 [0.320, 0.930]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(0.7%)</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(0.5%)</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0.940 [0.0800, 1.00]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0.950 [0.550, 1.00]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0.890 [0.080, 1.00]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0.900 [0.490, 1.00]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(0.7%)</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(0.5%)</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HD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1.88 [0.780, 49.5]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1.75 [0.780, 49.5]</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3.31 [0.940, 17.1]</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3.13 [0.780, 33.8]</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(0.7%)</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(0.5%)</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0.0900 [0.020, 723]</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0.080 [0.020, 1.18]</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0.220 [0.04, 723]</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0.200 [0.03, 1.13]</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(0.7%)</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(0.5%)</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(0.8%)</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(1.6%)</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shd w:val="clear" w:color="auto" w:fill="7F7F7F"/>
              </w:rPr>
              <w:t>RS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DSC</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0.920 [0, 0.970]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0.930 [0, 0.970]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0.900 [0.710, 0.97]</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0.900 [0, 0.970]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JACRD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0.860 [0, 0.940]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0.860 [0, 0.940]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0.82 [0.550, 0.930]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0.830 [0, 0.940]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0.970 [0.760, 1.00]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0.980 [0.780, 1.00]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0.970 [0.760, 1.00]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0.960 [0.760, 1.00]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4.17 [1.37, 52.9]</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3.98 [1.37, 52.9]</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4.94 [1.92, 39.7]</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4.74 [1.88, 37.0]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HD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0.090 [0.030, 805]</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0.080 [0.030, 805]</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0.130 [0.03, 107]</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0.120 [0.030, 15.1]</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b/>
                <w:bCs/>
                <w:sz w:val="15"/>
                <w:szCs w:val="15"/>
              </w:rPr>
            </w:pPr>
            <w:r>
              <w:rPr>
                <w:rFonts w:eastAsia="等线"/>
                <w:sz w:val="15"/>
                <w:szCs w:val="15"/>
                <w:shd w:val="clear" w:color="auto" w:fill="7F7F7F"/>
              </w:rPr>
              <w:t>LS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DSC</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0.920 [0.080, 0.970]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0.930 [0.260, 0.970]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0.90 [0.08, 0.960]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0.900 [0.260, 0.960]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JACRD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0.860 [0.040, 0.950]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0.860 [0.150, 0.950]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0.830 [0.04, 0.920]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0.830 [0.150, 0.920]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VS</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0.980 [0.120, 1.00]</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0.980 [0.800, 1.00]</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0.970 [0.120, 1.00]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0.960 [0.260, 1.00]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HD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3.75 [1.33, 42.3]</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3.75 [1.33, 41.3]</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4.26 [1.88, 35.5]</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4.42 [2.08, 42.3]</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AD</w:t>
            </w: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63" w:type="dxa"/>
            <w:tcBorders>
              <w:top w:val="nil"/>
              <w:left w:val="nil"/>
              <w:bottom w:val="nil"/>
              <w:right w:val="nil"/>
            </w:tcBorders>
            <w:vAlign w:val="center"/>
          </w:tcPr>
          <w:p>
            <w:pPr>
              <w:shd w:val="clear" w:color="auto" w:fill="FFFFFF"/>
              <w:ind w:firstLine="300"/>
              <w:rPr>
                <w:rFonts w:eastAsia="等线"/>
                <w:sz w:val="15"/>
                <w:szCs w:val="15"/>
              </w:rPr>
            </w:pPr>
          </w:p>
        </w:tc>
        <w:tc>
          <w:tcPr>
            <w:tcW w:w="1832" w:type="dxa"/>
            <w:tcBorders>
              <w:top w:val="nil"/>
              <w:left w:val="nil"/>
              <w:bottom w:val="nil"/>
              <w:right w:val="nil"/>
            </w:tcBorders>
            <w:vAlign w:val="center"/>
          </w:tcPr>
          <w:p>
            <w:pPr>
              <w:shd w:val="clear" w:color="auto" w:fill="FFFFFF"/>
              <w:ind w:firstLine="300"/>
              <w:rPr>
                <w:rFonts w:eastAsia="等线"/>
                <w:sz w:val="15"/>
                <w:szCs w:val="15"/>
              </w:rPr>
            </w:pPr>
          </w:p>
        </w:tc>
        <w:tc>
          <w:tcPr>
            <w:tcW w:w="2122" w:type="dxa"/>
            <w:tcBorders>
              <w:top w:val="nil"/>
              <w:left w:val="nil"/>
              <w:bottom w:val="nil"/>
              <w:right w:val="nil"/>
            </w:tcBorders>
            <w:vAlign w:val="center"/>
          </w:tcPr>
          <w:p>
            <w:pPr>
              <w:shd w:val="clear" w:color="auto" w:fill="FFFFFF"/>
              <w:ind w:firstLine="300"/>
              <w:rPr>
                <w:rFonts w:eastAsia="等线"/>
                <w:sz w:val="15"/>
                <w:szCs w:val="15"/>
              </w:rPr>
            </w:pPr>
          </w:p>
        </w:tc>
        <w:tc>
          <w:tcPr>
            <w:tcW w:w="1260"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[Min, Max]</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0.0900 [0.030, 9.54]</w:t>
            </w:r>
          </w:p>
        </w:tc>
        <w:tc>
          <w:tcPr>
            <w:tcW w:w="1863"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0.080 [0.030, 9.54]</w:t>
            </w:r>
          </w:p>
        </w:tc>
        <w:tc>
          <w:tcPr>
            <w:tcW w:w="183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0.110 [0.04, 4.80]</w:t>
            </w:r>
          </w:p>
        </w:tc>
        <w:tc>
          <w:tcPr>
            <w:tcW w:w="2122"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0.130 [0.0400, 1.70]</w:t>
            </w:r>
          </w:p>
        </w:tc>
        <w:tc>
          <w:tcPr>
            <w:tcW w:w="1260"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9" w:hRule="atLeast"/>
          <w:jc w:val="center"/>
        </w:trPr>
        <w:tc>
          <w:tcPr>
            <w:tcW w:w="2675" w:type="dxa"/>
            <w:tcBorders>
              <w:top w:val="nil"/>
              <w:left w:val="nil"/>
              <w:bottom w:val="single" w:color="auto" w:sz="18" w:space="0"/>
              <w:right w:val="nil"/>
            </w:tcBorders>
            <w:vAlign w:val="center"/>
          </w:tcPr>
          <w:p>
            <w:pPr>
              <w:shd w:val="clear" w:color="auto" w:fill="FFFFFF"/>
              <w:ind w:firstLine="300"/>
              <w:rPr>
                <w:rFonts w:eastAsia="等线"/>
                <w:sz w:val="15"/>
                <w:szCs w:val="15"/>
              </w:rPr>
            </w:pPr>
            <w:r>
              <w:rPr>
                <w:rFonts w:eastAsia="等线"/>
                <w:sz w:val="15"/>
                <w:szCs w:val="15"/>
              </w:rPr>
              <w:t>Missing</w:t>
            </w:r>
          </w:p>
        </w:tc>
        <w:tc>
          <w:tcPr>
            <w:tcW w:w="1863" w:type="dxa"/>
            <w:tcBorders>
              <w:top w:val="nil"/>
              <w:left w:val="nil"/>
              <w:bottom w:val="single" w:color="auto" w:sz="18" w:space="0"/>
              <w:right w:val="nil"/>
            </w:tcBorders>
            <w:vAlign w:val="center"/>
          </w:tcPr>
          <w:p>
            <w:pPr>
              <w:shd w:val="clear" w:color="auto" w:fill="FFFFFF"/>
              <w:ind w:firstLine="300"/>
              <w:rPr>
                <w:rFonts w:eastAsia="等线"/>
                <w:sz w:val="15"/>
                <w:szCs w:val="15"/>
              </w:rPr>
            </w:pPr>
            <w:r>
              <w:rPr>
                <w:rFonts w:eastAsia="等线"/>
                <w:sz w:val="15"/>
                <w:szCs w:val="15"/>
              </w:rPr>
              <w:t>1 (0.1%)</w:t>
            </w:r>
          </w:p>
        </w:tc>
        <w:tc>
          <w:tcPr>
            <w:tcW w:w="1863" w:type="dxa"/>
            <w:tcBorders>
              <w:top w:val="nil"/>
              <w:left w:val="nil"/>
              <w:bottom w:val="single" w:color="auto" w:sz="18" w:space="0"/>
              <w:right w:val="nil"/>
            </w:tcBorders>
            <w:vAlign w:val="center"/>
          </w:tcPr>
          <w:p>
            <w:pPr>
              <w:shd w:val="clear" w:color="auto" w:fill="FFFFFF"/>
              <w:ind w:firstLine="300"/>
              <w:rPr>
                <w:rFonts w:eastAsia="等线"/>
                <w:sz w:val="15"/>
                <w:szCs w:val="15"/>
              </w:rPr>
            </w:pPr>
            <w:r>
              <w:rPr>
                <w:rFonts w:eastAsia="等线"/>
                <w:sz w:val="15"/>
                <w:szCs w:val="15"/>
              </w:rPr>
              <w:t>1 (0.1%)</w:t>
            </w:r>
          </w:p>
        </w:tc>
        <w:tc>
          <w:tcPr>
            <w:tcW w:w="1832" w:type="dxa"/>
            <w:tcBorders>
              <w:top w:val="nil"/>
              <w:left w:val="nil"/>
              <w:bottom w:val="single" w:color="auto" w:sz="18" w:space="0"/>
              <w:right w:val="nil"/>
            </w:tcBorders>
            <w:vAlign w:val="center"/>
          </w:tcPr>
          <w:p>
            <w:pPr>
              <w:shd w:val="clear" w:color="auto" w:fill="FFFFFF"/>
              <w:ind w:firstLine="300"/>
              <w:rPr>
                <w:rFonts w:eastAsia="等线"/>
                <w:sz w:val="15"/>
                <w:szCs w:val="15"/>
              </w:rPr>
            </w:pPr>
            <w:r>
              <w:rPr>
                <w:rFonts w:eastAsia="等线"/>
                <w:sz w:val="15"/>
                <w:szCs w:val="15"/>
              </w:rPr>
              <w:t>0 (0%)</w:t>
            </w:r>
          </w:p>
        </w:tc>
        <w:tc>
          <w:tcPr>
            <w:tcW w:w="2122" w:type="dxa"/>
            <w:tcBorders>
              <w:top w:val="nil"/>
              <w:left w:val="nil"/>
              <w:bottom w:val="single" w:color="auto" w:sz="18" w:space="0"/>
              <w:right w:val="nil"/>
            </w:tcBorders>
            <w:vAlign w:val="center"/>
          </w:tcPr>
          <w:p>
            <w:pPr>
              <w:shd w:val="clear" w:color="auto" w:fill="FFFFFF"/>
              <w:ind w:firstLine="300"/>
              <w:rPr>
                <w:rFonts w:eastAsia="等线"/>
                <w:sz w:val="15"/>
                <w:szCs w:val="15"/>
              </w:rPr>
            </w:pPr>
            <w:r>
              <w:rPr>
                <w:rFonts w:eastAsia="等线"/>
                <w:sz w:val="15"/>
                <w:szCs w:val="15"/>
              </w:rPr>
              <w:t>0 (0%)</w:t>
            </w:r>
          </w:p>
        </w:tc>
        <w:tc>
          <w:tcPr>
            <w:tcW w:w="1260" w:type="dxa"/>
            <w:tcBorders>
              <w:top w:val="nil"/>
              <w:left w:val="nil"/>
              <w:bottom w:val="single" w:color="auto" w:sz="18" w:space="0"/>
              <w:right w:val="nil"/>
            </w:tcBorders>
            <w:vAlign w:val="center"/>
          </w:tcPr>
          <w:p>
            <w:pPr>
              <w:ind w:firstLine="300"/>
              <w:rPr>
                <w:rFonts w:ascii="等线" w:hAnsi="等线" w:eastAsia="宋体" w:cs="等线"/>
                <w:sz w:val="15"/>
                <w:szCs w:val="15"/>
              </w:rPr>
            </w:pPr>
          </w:p>
        </w:tc>
      </w:tr>
    </w:tbl>
    <w:p>
      <w:pPr>
        <w:shd w:val="clear" w:color="auto" w:fill="FFFFFF"/>
        <w:ind w:firstLine="0" w:firstLineChars="0"/>
      </w:pPr>
      <w:r>
        <w:t xml:space="preserve">Categorical variables are given as numbers (percentages). Quantitative variables are given as the median [Q1, Q3] for nonnormalized data. DSC Dice similarity coefficient, VS volumetric similarity, HD Hausdorff distance, AD Average distance, AFS </w:t>
      </w:r>
      <w:r>
        <w:rPr>
          <w:rFonts w:hint="eastAsia"/>
        </w:rPr>
        <w:t>a</w:t>
      </w:r>
      <w:r>
        <w:t xml:space="preserve">nterior fibromuscular stroma, PZ peripheral zone, CZ central zone, TZ transition zone, URE </w:t>
      </w:r>
      <w:r>
        <w:rPr>
          <w:rFonts w:hint="eastAsia"/>
        </w:rPr>
        <w:t>urethra</w:t>
      </w:r>
      <w:r>
        <w:t>, LS left seminal vesicle, RS right seminal vesicle</w:t>
      </w:r>
      <w:r>
        <w:rPr>
          <w:rFonts w:ascii="宋体" w:hAnsi="宋体" w:eastAsia="宋体" w:cs="宋体"/>
        </w:rPr>
        <w:t>.</w:t>
      </w:r>
    </w:p>
    <w:p>
      <w:pPr>
        <w:widowControl/>
        <w:ind w:firstLine="0" w:firstLineChars="0"/>
        <w:jc w:val="left"/>
        <w:rPr>
          <w:b/>
          <w:bCs/>
        </w:rPr>
        <w:sectPr>
          <w:pgSz w:w="16838" w:h="11906" w:orient="landscape"/>
          <w:pgMar w:top="720" w:right="720" w:bottom="720" w:left="720" w:header="851" w:footer="992" w:gutter="0"/>
          <w:cols w:space="425" w:num="1"/>
          <w:docGrid w:type="lines" w:linePitch="326" w:charSpace="0"/>
        </w:sectPr>
      </w:pPr>
      <w:r>
        <w:rPr>
          <w:b/>
          <w:bCs/>
        </w:rPr>
        <w:br w:type="page"/>
      </w:r>
    </w:p>
    <w:p>
      <w:pPr>
        <w:widowControl/>
        <w:ind w:firstLine="0" w:firstLineChars="0"/>
        <w:jc w:val="left"/>
        <w:rPr>
          <w:b/>
          <w:bCs/>
        </w:rPr>
      </w:pPr>
    </w:p>
    <w:p>
      <w:pPr>
        <w:ind w:firstLine="482"/>
        <w:rPr>
          <w:b/>
          <w:bCs/>
        </w:rPr>
      </w:pPr>
    </w:p>
    <w:p>
      <w:pPr>
        <w:pStyle w:val="7"/>
        <w:ind w:firstLine="482"/>
        <w:jc w:val="center"/>
        <w:rPr>
          <w:rFonts w:ascii="Calibri" w:hAnsi="Calibri"/>
          <w:sz w:val="21"/>
          <w:szCs w:val="21"/>
          <w:shd w:val="clear" w:color="auto" w:fill="auto"/>
        </w:rPr>
      </w:pPr>
      <w:bookmarkStart w:id="8" w:name="_Ref127283562"/>
      <w:r>
        <w:rPr>
          <w:b/>
          <w:bCs/>
        </w:rPr>
        <w:t>Table S</w:t>
      </w:r>
      <w:r>
        <w:rPr>
          <w:b/>
          <w:bCs/>
        </w:rPr>
        <w:fldChar w:fldCharType="begin"/>
      </w:r>
      <w:r>
        <w:rPr>
          <w:b/>
          <w:bCs/>
        </w:rPr>
        <w:instrText xml:space="preserve"> SEQ Table_S \* ARABIC </w:instrText>
      </w:r>
      <w:r>
        <w:rPr>
          <w:b/>
          <w:bCs/>
        </w:rPr>
        <w:fldChar w:fldCharType="separate"/>
      </w:r>
      <w:r>
        <w:rPr>
          <w:b/>
          <w:bCs/>
        </w:rPr>
        <w:t>8</w:t>
      </w:r>
      <w:r>
        <w:rPr>
          <w:b/>
          <w:bCs/>
        </w:rPr>
        <w:fldChar w:fldCharType="end"/>
      </w:r>
      <w:bookmarkEnd w:id="8"/>
      <w:r>
        <w:rPr>
          <w:b/>
          <w:bCs/>
        </w:rPr>
        <w:t xml:space="preserve"> </w:t>
      </w:r>
      <w:r>
        <w:t>Scanning protocols of the DWI/ADC images</w:t>
      </w:r>
    </w:p>
    <w:tbl>
      <w:tblPr>
        <w:tblStyle w:val="13"/>
        <w:tblW w:w="8540" w:type="dxa"/>
        <w:jc w:val="center"/>
        <w:tblLayout w:type="autofit"/>
        <w:tblCellMar>
          <w:top w:w="0" w:type="dxa"/>
          <w:left w:w="108" w:type="dxa"/>
          <w:bottom w:w="0" w:type="dxa"/>
          <w:right w:w="108" w:type="dxa"/>
        </w:tblCellMar>
      </w:tblPr>
      <w:tblGrid>
        <w:gridCol w:w="2050"/>
        <w:gridCol w:w="1386"/>
        <w:gridCol w:w="1379"/>
        <w:gridCol w:w="1359"/>
        <w:gridCol w:w="1407"/>
        <w:gridCol w:w="959"/>
      </w:tblGrid>
      <w:tr>
        <w:tblPrEx>
          <w:tblCellMar>
            <w:top w:w="0" w:type="dxa"/>
            <w:left w:w="108" w:type="dxa"/>
            <w:bottom w:w="0" w:type="dxa"/>
            <w:right w:w="108" w:type="dxa"/>
          </w:tblCellMar>
        </w:tblPrEx>
        <w:trPr>
          <w:trHeight w:val="292" w:hRule="atLeast"/>
          <w:jc w:val="center"/>
        </w:trPr>
        <w:tc>
          <w:tcPr>
            <w:tcW w:w="2181" w:type="dxa"/>
            <w:vMerge w:val="restart"/>
            <w:tcBorders>
              <w:top w:val="single" w:color="auto" w:sz="12" w:space="0"/>
              <w:left w:val="nil"/>
              <w:bottom w:val="single" w:color="000000" w:sz="8" w:space="0"/>
              <w:right w:val="nil"/>
            </w:tcBorders>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414"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Overall</w:t>
            </w:r>
          </w:p>
        </w:tc>
        <w:tc>
          <w:tcPr>
            <w:tcW w:w="1406"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train</w:t>
            </w:r>
          </w:p>
        </w:tc>
        <w:tc>
          <w:tcPr>
            <w:tcW w:w="1401"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validate</w:t>
            </w:r>
          </w:p>
        </w:tc>
        <w:tc>
          <w:tcPr>
            <w:tcW w:w="1464" w:type="dxa"/>
            <w:tcBorders>
              <w:top w:val="single" w:color="auto" w:sz="12" w:space="0"/>
              <w:left w:val="nil"/>
              <w:bottom w:val="nil"/>
              <w:right w:val="nil"/>
            </w:tcBorders>
            <w:vAlign w:val="center"/>
          </w:tcPr>
          <w:p>
            <w:pPr>
              <w:shd w:val="clear" w:color="auto" w:fill="FFFFFF"/>
              <w:ind w:firstLine="300"/>
              <w:rPr>
                <w:rFonts w:eastAsia="等线"/>
                <w:sz w:val="15"/>
                <w:szCs w:val="15"/>
              </w:rPr>
            </w:pPr>
            <w:r>
              <w:rPr>
                <w:rFonts w:eastAsia="等线"/>
                <w:sz w:val="15"/>
                <w:szCs w:val="15"/>
              </w:rPr>
              <w:t>test</w:t>
            </w:r>
          </w:p>
        </w:tc>
        <w:tc>
          <w:tcPr>
            <w:tcW w:w="674" w:type="dxa"/>
            <w:vMerge w:val="restart"/>
            <w:tcBorders>
              <w:top w:val="single" w:color="auto" w:sz="12" w:space="0"/>
              <w:left w:val="nil"/>
              <w:bottom w:val="single" w:color="000000" w:sz="8" w:space="0"/>
              <w:right w:val="nil"/>
            </w:tcBorders>
            <w:vAlign w:val="center"/>
          </w:tcPr>
          <w:p>
            <w:pPr>
              <w:shd w:val="clear" w:color="auto" w:fill="FFFFFF"/>
              <w:ind w:firstLine="300"/>
              <w:rPr>
                <w:rFonts w:eastAsia="等线"/>
                <w:sz w:val="15"/>
                <w:szCs w:val="15"/>
              </w:rPr>
            </w:pPr>
            <w:r>
              <w:rPr>
                <w:rFonts w:eastAsia="等线"/>
                <w:i/>
                <w:iCs/>
                <w:sz w:val="15"/>
                <w:szCs w:val="15"/>
              </w:rPr>
              <w:t>P</w:t>
            </w:r>
            <w:r>
              <w:rPr>
                <w:rFonts w:eastAsia="等线"/>
                <w:sz w:val="15"/>
                <w:szCs w:val="15"/>
              </w:rPr>
              <w:t xml:space="preserve"> value</w:t>
            </w:r>
          </w:p>
        </w:tc>
      </w:tr>
      <w:tr>
        <w:tblPrEx>
          <w:tblCellMar>
            <w:top w:w="0" w:type="dxa"/>
            <w:left w:w="108" w:type="dxa"/>
            <w:bottom w:w="0" w:type="dxa"/>
            <w:right w:w="108" w:type="dxa"/>
          </w:tblCellMar>
        </w:tblPrEx>
        <w:trPr>
          <w:trHeight w:val="397" w:hRule="atLeast"/>
          <w:jc w:val="center"/>
        </w:trPr>
        <w:tc>
          <w:tcPr>
            <w:tcW w:w="0" w:type="auto"/>
            <w:vMerge w:val="continue"/>
            <w:tcBorders>
              <w:top w:val="single" w:color="auto" w:sz="12" w:space="0"/>
              <w:left w:val="nil"/>
              <w:bottom w:val="single" w:color="000000" w:sz="8" w:space="0"/>
              <w:right w:val="nil"/>
            </w:tcBorders>
            <w:vAlign w:val="center"/>
          </w:tcPr>
          <w:p>
            <w:pPr>
              <w:widowControl/>
              <w:ind w:firstLine="300"/>
              <w:jc w:val="left"/>
              <w:rPr>
                <w:rFonts w:ascii="Calibri" w:hAnsi="Calibri" w:eastAsia="等线"/>
                <w:sz w:val="15"/>
                <w:szCs w:val="15"/>
              </w:rPr>
            </w:pPr>
          </w:p>
        </w:tc>
        <w:tc>
          <w:tcPr>
            <w:tcW w:w="1414"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(N=2105)</w:t>
            </w:r>
          </w:p>
        </w:tc>
        <w:tc>
          <w:tcPr>
            <w:tcW w:w="1406"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(N=1681)</w:t>
            </w:r>
          </w:p>
        </w:tc>
        <w:tc>
          <w:tcPr>
            <w:tcW w:w="1401"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(N=212)</w:t>
            </w:r>
          </w:p>
        </w:tc>
        <w:tc>
          <w:tcPr>
            <w:tcW w:w="1464" w:type="dxa"/>
            <w:tcBorders>
              <w:top w:val="nil"/>
              <w:left w:val="nil"/>
              <w:bottom w:val="single" w:color="auto" w:sz="8" w:space="0"/>
              <w:right w:val="nil"/>
            </w:tcBorders>
            <w:vAlign w:val="center"/>
          </w:tcPr>
          <w:p>
            <w:pPr>
              <w:shd w:val="clear" w:color="auto" w:fill="FFFFFF"/>
              <w:ind w:firstLine="300"/>
              <w:rPr>
                <w:rFonts w:eastAsia="等线"/>
                <w:sz w:val="15"/>
                <w:szCs w:val="15"/>
              </w:rPr>
            </w:pPr>
            <w:r>
              <w:rPr>
                <w:rFonts w:eastAsia="等线"/>
                <w:sz w:val="15"/>
                <w:szCs w:val="15"/>
              </w:rPr>
              <w:t>(N=212)</w:t>
            </w:r>
          </w:p>
        </w:tc>
        <w:tc>
          <w:tcPr>
            <w:tcW w:w="0" w:type="auto"/>
            <w:vMerge w:val="continue"/>
            <w:tcBorders>
              <w:top w:val="single" w:color="auto" w:sz="12" w:space="0"/>
              <w:left w:val="nil"/>
              <w:bottom w:val="single" w:color="000000" w:sz="8" w:space="0"/>
              <w:right w:val="nil"/>
            </w:tcBorders>
            <w:vAlign w:val="center"/>
          </w:tcPr>
          <w:p>
            <w:pPr>
              <w:widowControl/>
              <w:ind w:firstLine="300"/>
              <w:jc w:val="left"/>
              <w:rPr>
                <w:rFonts w:ascii="Calibri" w:hAnsi="Calibri"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Magnetic Field</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1.5T</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316 (15.0%)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254 (15.1%)</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36 (17.0%)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26 (12.3%)</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0.38</w:t>
            </w: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3.0T</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1789 (85.0%)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1427 (84.9%)</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176 (83.0%)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186 (87.7%)</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Manufacture</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GE MEDICAL SYSTEMS</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1206 (57.3%)</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959 (57.0%)</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127 (59.9%)</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120 (56.6%)</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0.41</w:t>
            </w: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Philips Medical Systems</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226 (10.7%)</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184 (10.9%)</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15 (7.1%)</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27 (12.7%)</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SIEMENS</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571 (27.1%)</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451 (26.8%)</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62 (29.2%)</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58 (27.4%)</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UIH</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102 (4.8%)</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87 (5.2%)</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(3.8%)</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 (3.3%)</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Model Name</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Achieva</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61 (2.9%)</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52 (3.1%)</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 (2.4%)</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(1.9%)</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0.87</w:t>
            </w: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Aera</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271 (12.9%)</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217 (12.9%)</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32 (15.1%)</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22 (10.4%)</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Amira</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(0.1%)</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(0.5%)</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DISCOVERY MR750</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1065 (50.6%)</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844 (50.2%)</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112 (52.8%)</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109 (51.4%)</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DISCOVERY MR750w</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95 (4.5%)</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75 (4.5%)</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13 (6.1%)</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 (3.3%)</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Ingenia</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134 (6.4%)</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107 (6.4%)</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(3.8%)</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19 (9.0%)</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Ingenia CX</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Multiva</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30 (1.4%)</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24 (1.4%)</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(0.9%)</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(1.9%)</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Prisma</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35 (1.7%)</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29 (1.7%)</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(0.9%)</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(1.9%)</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EXCITE</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42 (2.0%)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36 (2.1%)</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 (0.9%)</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(1.9%)</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HDxt</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(0.1%)</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 (0.2%)</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SIGNA Premier</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 (0.1%)</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 (0%)</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Skyra</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60 (2.9%)</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46 (2.7%)</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(2.8%)</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(3.8%)</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TrioTim</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149 (7.1%)</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114 (6.8%)</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17 (8.0%)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18 (8.5%)</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uMR 790</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102 (4.8%)</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87 (5.2%)</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8 (3.8%)</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7 (3.3%)</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Verio</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54 (2.6%)</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44 (2.6%)</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 (1.9%)</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 (2.8%)</w:t>
            </w:r>
          </w:p>
        </w:tc>
        <w:tc>
          <w:tcPr>
            <w:tcW w:w="674" w:type="dxa"/>
            <w:tcBorders>
              <w:top w:val="nil"/>
              <w:left w:val="nil"/>
              <w:bottom w:val="nil"/>
              <w:right w:val="nil"/>
            </w:tcBorders>
            <w:vAlign w:val="center"/>
          </w:tcPr>
          <w:p>
            <w:pPr>
              <w:shd w:val="clear" w:color="auto" w:fill="FFFFFF"/>
              <w:ind w:firstLine="300"/>
              <w:rPr>
                <w:rFonts w:eastAsia="等线"/>
                <w:sz w:val="15"/>
                <w:szCs w:val="15"/>
              </w:rPr>
            </w:pP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B value (s/mm2)</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1400 [1400, 1400]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1400 [1400, 1400]</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1400 [1400, 1400]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1400 [1400, 1400]</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0.70</w:t>
            </w: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Repetition Time (ms)</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2930 [2640, 4370]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3000 [2640, 4380]</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2930 [2640, 4110]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2910 [2640, 4130]</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0.76</w:t>
            </w: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Echo Time (ms)</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61.3 [59.7, 63.8]</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61.3 [59.7, 63.8]</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61.2 [60.0, 63.7]</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61.3 [59.7, 63.5]</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0.97</w:t>
            </w: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Pixel Bandwidth (Hz)</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1950 [1570, 1950]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1950 [1630, 1950]</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1950 [1540, 1950]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1950 [1610, 1950]</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0.21</w:t>
            </w: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Reconstruction Diameter (mm)</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240 [200, 240]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240 [200, 240]</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240 [200, 240]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240 [220, 240]</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0.34</w:t>
            </w: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Slice Thickness (mm)</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4.00]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4.00]</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4.00]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4.00]</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0.96</w:t>
            </w: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Slice Spacing (mm)</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66"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1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4.50]</w:t>
            </w:r>
          </w:p>
        </w:tc>
        <w:tc>
          <w:tcPr>
            <w:tcW w:w="1406"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4.50]</w:t>
            </w:r>
          </w:p>
        </w:tc>
        <w:tc>
          <w:tcPr>
            <w:tcW w:w="140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4.50]</w:t>
            </w:r>
          </w:p>
        </w:tc>
        <w:tc>
          <w:tcPr>
            <w:tcW w:w="146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4.00 [4.00, 4.50]</w:t>
            </w:r>
          </w:p>
        </w:tc>
        <w:tc>
          <w:tcPr>
            <w:tcW w:w="674"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0.87</w:t>
            </w:r>
          </w:p>
        </w:tc>
      </w:tr>
      <w:tr>
        <w:tblPrEx>
          <w:tblCellMar>
            <w:top w:w="0" w:type="dxa"/>
            <w:left w:w="108" w:type="dxa"/>
            <w:bottom w:w="0" w:type="dxa"/>
            <w:right w:w="108" w:type="dxa"/>
          </w:tblCellMar>
        </w:tblPrEx>
        <w:trPr>
          <w:trHeight w:val="283" w:hRule="atLeast"/>
          <w:jc w:val="center"/>
        </w:trPr>
        <w:tc>
          <w:tcPr>
            <w:tcW w:w="2181" w:type="dxa"/>
            <w:tcBorders>
              <w:top w:val="nil"/>
              <w:left w:val="nil"/>
              <w:bottom w:val="nil"/>
              <w:right w:val="nil"/>
            </w:tcBorders>
            <w:vAlign w:val="center"/>
          </w:tcPr>
          <w:p>
            <w:pPr>
              <w:shd w:val="clear" w:color="auto" w:fill="FFFFFF"/>
              <w:ind w:firstLine="300"/>
              <w:rPr>
                <w:rFonts w:eastAsia="等线"/>
                <w:sz w:val="15"/>
                <w:szCs w:val="15"/>
              </w:rPr>
            </w:pPr>
            <w:r>
              <w:rPr>
                <w:rFonts w:eastAsia="等线"/>
                <w:sz w:val="15"/>
                <w:szCs w:val="15"/>
              </w:rPr>
              <w:t>Pixel Spacing (mm)</w:t>
            </w:r>
          </w:p>
        </w:tc>
        <w:tc>
          <w:tcPr>
            <w:tcW w:w="1414" w:type="dxa"/>
            <w:tcBorders>
              <w:top w:val="nil"/>
              <w:left w:val="nil"/>
              <w:bottom w:val="nil"/>
              <w:right w:val="nil"/>
            </w:tcBorders>
            <w:vAlign w:val="center"/>
          </w:tcPr>
          <w:p>
            <w:pPr>
              <w:shd w:val="clear" w:color="auto" w:fill="FFFFFF"/>
              <w:ind w:firstLine="300"/>
              <w:rPr>
                <w:rFonts w:eastAsia="等线"/>
                <w:sz w:val="15"/>
                <w:szCs w:val="15"/>
              </w:rPr>
            </w:pPr>
          </w:p>
        </w:tc>
        <w:tc>
          <w:tcPr>
            <w:tcW w:w="1406" w:type="dxa"/>
            <w:tcBorders>
              <w:top w:val="nil"/>
              <w:left w:val="nil"/>
              <w:bottom w:val="nil"/>
              <w:right w:val="nil"/>
            </w:tcBorders>
            <w:vAlign w:val="center"/>
          </w:tcPr>
          <w:p>
            <w:pPr>
              <w:shd w:val="clear" w:color="auto" w:fill="FFFFFF"/>
              <w:ind w:firstLine="300"/>
              <w:rPr>
                <w:rFonts w:eastAsia="宋体"/>
                <w:sz w:val="15"/>
                <w:szCs w:val="15"/>
              </w:rPr>
            </w:pPr>
          </w:p>
        </w:tc>
        <w:tc>
          <w:tcPr>
            <w:tcW w:w="1401" w:type="dxa"/>
            <w:tcBorders>
              <w:top w:val="nil"/>
              <w:left w:val="nil"/>
              <w:bottom w:val="nil"/>
              <w:right w:val="nil"/>
            </w:tcBorders>
            <w:vAlign w:val="center"/>
          </w:tcPr>
          <w:p>
            <w:pPr>
              <w:shd w:val="clear" w:color="auto" w:fill="FFFFFF"/>
              <w:ind w:firstLine="300"/>
              <w:rPr>
                <w:sz w:val="15"/>
                <w:szCs w:val="15"/>
              </w:rPr>
            </w:pPr>
          </w:p>
        </w:tc>
        <w:tc>
          <w:tcPr>
            <w:tcW w:w="1464" w:type="dxa"/>
            <w:tcBorders>
              <w:top w:val="nil"/>
              <w:left w:val="nil"/>
              <w:bottom w:val="nil"/>
              <w:right w:val="nil"/>
            </w:tcBorders>
            <w:vAlign w:val="center"/>
          </w:tcPr>
          <w:p>
            <w:pPr>
              <w:shd w:val="clear" w:color="auto" w:fill="FFFFFF"/>
              <w:ind w:firstLine="300"/>
              <w:rPr>
                <w:sz w:val="15"/>
                <w:szCs w:val="15"/>
              </w:rPr>
            </w:pPr>
          </w:p>
        </w:tc>
        <w:tc>
          <w:tcPr>
            <w:tcW w:w="674" w:type="dxa"/>
            <w:tcBorders>
              <w:top w:val="nil"/>
              <w:left w:val="nil"/>
              <w:bottom w:val="nil"/>
              <w:right w:val="nil"/>
            </w:tcBorders>
            <w:vAlign w:val="center"/>
          </w:tcPr>
          <w:p>
            <w:pPr>
              <w:shd w:val="clear" w:color="auto" w:fill="FFFFFF"/>
              <w:ind w:firstLine="300"/>
              <w:rPr>
                <w:sz w:val="15"/>
                <w:szCs w:val="15"/>
              </w:rPr>
            </w:pPr>
          </w:p>
        </w:tc>
      </w:tr>
      <w:tr>
        <w:tblPrEx>
          <w:tblCellMar>
            <w:top w:w="0" w:type="dxa"/>
            <w:left w:w="108" w:type="dxa"/>
            <w:bottom w:w="0" w:type="dxa"/>
            <w:right w:w="108" w:type="dxa"/>
          </w:tblCellMar>
        </w:tblPrEx>
        <w:trPr>
          <w:trHeight w:val="575" w:hRule="atLeast"/>
          <w:jc w:val="center"/>
        </w:trPr>
        <w:tc>
          <w:tcPr>
            <w:tcW w:w="2181"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Median [Q1, Q3]</w:t>
            </w:r>
          </w:p>
        </w:tc>
        <w:tc>
          <w:tcPr>
            <w:tcW w:w="1414"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0.938 [0.938, 1.30]</w:t>
            </w:r>
          </w:p>
        </w:tc>
        <w:tc>
          <w:tcPr>
            <w:tcW w:w="1406"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0.938 [0.938, 1.30]</w:t>
            </w:r>
          </w:p>
        </w:tc>
        <w:tc>
          <w:tcPr>
            <w:tcW w:w="1401"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0.938 [0.938, 1.30]</w:t>
            </w:r>
          </w:p>
        </w:tc>
        <w:tc>
          <w:tcPr>
            <w:tcW w:w="1464"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0.938 [0.938, 1.30]</w:t>
            </w:r>
          </w:p>
        </w:tc>
        <w:tc>
          <w:tcPr>
            <w:tcW w:w="674" w:type="dxa"/>
            <w:tcBorders>
              <w:top w:val="nil"/>
              <w:left w:val="nil"/>
              <w:bottom w:val="single" w:color="auto" w:sz="12" w:space="0"/>
              <w:right w:val="nil"/>
            </w:tcBorders>
            <w:vAlign w:val="center"/>
          </w:tcPr>
          <w:p>
            <w:pPr>
              <w:shd w:val="clear" w:color="auto" w:fill="FFFFFF"/>
              <w:ind w:firstLine="300"/>
              <w:rPr>
                <w:rFonts w:eastAsia="等线"/>
                <w:sz w:val="15"/>
                <w:szCs w:val="15"/>
              </w:rPr>
            </w:pPr>
            <w:r>
              <w:rPr>
                <w:rFonts w:eastAsia="等线"/>
                <w:sz w:val="15"/>
                <w:szCs w:val="15"/>
              </w:rPr>
              <w:t>0.81</w:t>
            </w:r>
          </w:p>
        </w:tc>
      </w:tr>
    </w:tbl>
    <w:p>
      <w:pPr>
        <w:ind w:firstLine="0" w:firstLineChars="0"/>
      </w:pPr>
      <w:r>
        <w:t xml:space="preserve">Categorical variables are given as numbers (percentages). Quantitative variables are given as the median [Q1, Q3] for nonnormalized data. </w:t>
      </w:r>
      <w:r>
        <w:br w:type="page"/>
      </w:r>
    </w:p>
    <w:p>
      <w:pPr>
        <w:ind w:firstLine="420"/>
        <w:rPr>
          <w:rFonts w:ascii="Calibri" w:hAnsi="Calibri" w:eastAsia="宋体"/>
          <w:sz w:val="21"/>
          <w:szCs w:val="21"/>
        </w:rPr>
      </w:pPr>
    </w:p>
    <w:p>
      <w:pPr>
        <w:pStyle w:val="7"/>
        <w:ind w:firstLine="482"/>
      </w:pPr>
      <w:bookmarkStart w:id="9" w:name="_Ref127283590"/>
      <w:r>
        <w:rPr>
          <w:b/>
          <w:bCs/>
        </w:rPr>
        <w:t>Table S</w:t>
      </w:r>
      <w:r>
        <w:rPr>
          <w:b/>
          <w:bCs/>
        </w:rPr>
        <w:fldChar w:fldCharType="begin"/>
      </w:r>
      <w:r>
        <w:rPr>
          <w:b/>
          <w:bCs/>
        </w:rPr>
        <w:instrText xml:space="preserve"> SEQ Table_S \* ARABIC </w:instrText>
      </w:r>
      <w:r>
        <w:rPr>
          <w:b/>
          <w:bCs/>
        </w:rPr>
        <w:fldChar w:fldCharType="separate"/>
      </w:r>
      <w:r>
        <w:rPr>
          <w:b/>
          <w:bCs/>
        </w:rPr>
        <w:t>9</w:t>
      </w:r>
      <w:r>
        <w:rPr>
          <w:b/>
          <w:bCs/>
        </w:rPr>
        <w:fldChar w:fldCharType="end"/>
      </w:r>
      <w:bookmarkEnd w:id="9"/>
      <w:r>
        <w:rPr>
          <w:b/>
          <w:bCs/>
        </w:rPr>
        <w:t xml:space="preserve"> </w:t>
      </w:r>
      <w:r>
        <w:t>Segmentation metrics of the model</w:t>
      </w:r>
    </w:p>
    <w:tbl>
      <w:tblPr>
        <w:tblStyle w:val="13"/>
        <w:tblW w:w="11100" w:type="dxa"/>
        <w:jc w:val="center"/>
        <w:tblLayout w:type="autofit"/>
        <w:tblCellMar>
          <w:top w:w="0" w:type="dxa"/>
          <w:left w:w="108" w:type="dxa"/>
          <w:bottom w:w="0" w:type="dxa"/>
          <w:right w:w="108" w:type="dxa"/>
        </w:tblCellMar>
      </w:tblPr>
      <w:tblGrid>
        <w:gridCol w:w="1172"/>
        <w:gridCol w:w="2200"/>
        <w:gridCol w:w="2200"/>
        <w:gridCol w:w="2200"/>
        <w:gridCol w:w="2200"/>
        <w:gridCol w:w="1160"/>
      </w:tblGrid>
      <w:tr>
        <w:tblPrEx>
          <w:tblCellMar>
            <w:top w:w="0" w:type="dxa"/>
            <w:left w:w="108" w:type="dxa"/>
            <w:bottom w:w="0" w:type="dxa"/>
            <w:right w:w="108" w:type="dxa"/>
          </w:tblCellMar>
        </w:tblPrEx>
        <w:trPr>
          <w:trHeight w:val="285" w:hRule="atLeast"/>
          <w:jc w:val="center"/>
        </w:trPr>
        <w:tc>
          <w:tcPr>
            <w:tcW w:w="1140" w:type="dxa"/>
            <w:vMerge w:val="restart"/>
            <w:tcBorders>
              <w:top w:val="single" w:color="000000" w:sz="12" w:space="0"/>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2200"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Overall</w:t>
            </w:r>
          </w:p>
        </w:tc>
        <w:tc>
          <w:tcPr>
            <w:tcW w:w="2200"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train</w:t>
            </w:r>
          </w:p>
        </w:tc>
        <w:tc>
          <w:tcPr>
            <w:tcW w:w="2200"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validate</w:t>
            </w:r>
          </w:p>
        </w:tc>
        <w:tc>
          <w:tcPr>
            <w:tcW w:w="2200"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test</w:t>
            </w:r>
          </w:p>
        </w:tc>
        <w:tc>
          <w:tcPr>
            <w:tcW w:w="1160" w:type="dxa"/>
            <w:vMerge w:val="restart"/>
            <w:tcBorders>
              <w:top w:val="single" w:color="000000" w:sz="12" w:space="0"/>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i/>
                <w:iCs/>
                <w:sz w:val="15"/>
                <w:szCs w:val="15"/>
              </w:rPr>
              <w:t>P</w:t>
            </w:r>
            <w:r>
              <w:rPr>
                <w:rFonts w:eastAsia="等线"/>
                <w:sz w:val="15"/>
                <w:szCs w:val="15"/>
              </w:rPr>
              <w:t xml:space="preserve"> value</w:t>
            </w:r>
          </w:p>
        </w:tc>
      </w:tr>
      <w:tr>
        <w:tblPrEx>
          <w:tblCellMar>
            <w:top w:w="0" w:type="dxa"/>
            <w:left w:w="108" w:type="dxa"/>
            <w:bottom w:w="0" w:type="dxa"/>
            <w:right w:w="108" w:type="dxa"/>
          </w:tblCellMar>
        </w:tblPrEx>
        <w:trPr>
          <w:trHeight w:val="285" w:hRule="atLeast"/>
          <w:jc w:val="center"/>
        </w:trPr>
        <w:tc>
          <w:tcPr>
            <w:tcW w:w="0" w:type="auto"/>
            <w:vMerge w:val="continue"/>
            <w:tcBorders>
              <w:top w:val="single" w:color="000000" w:sz="12" w:space="0"/>
              <w:left w:val="nil"/>
              <w:bottom w:val="single" w:color="000000" w:sz="8" w:space="0"/>
              <w:right w:val="nil"/>
            </w:tcBorders>
            <w:vAlign w:val="center"/>
          </w:tcPr>
          <w:p>
            <w:pPr>
              <w:widowControl/>
              <w:ind w:firstLine="300"/>
              <w:jc w:val="left"/>
              <w:rPr>
                <w:rFonts w:ascii="Calibri" w:hAnsi="Calibri" w:eastAsia="等线"/>
                <w:sz w:val="15"/>
                <w:szCs w:val="15"/>
              </w:rPr>
            </w:pPr>
          </w:p>
        </w:tc>
        <w:tc>
          <w:tcPr>
            <w:tcW w:w="2200"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(N=2105)</w:t>
            </w:r>
          </w:p>
        </w:tc>
        <w:tc>
          <w:tcPr>
            <w:tcW w:w="2200"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(N=1681)</w:t>
            </w:r>
          </w:p>
        </w:tc>
        <w:tc>
          <w:tcPr>
            <w:tcW w:w="2200"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(N=212)</w:t>
            </w:r>
          </w:p>
        </w:tc>
        <w:tc>
          <w:tcPr>
            <w:tcW w:w="2200"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(N=212)</w:t>
            </w:r>
          </w:p>
        </w:tc>
        <w:tc>
          <w:tcPr>
            <w:tcW w:w="0" w:type="auto"/>
            <w:vMerge w:val="continue"/>
            <w:tcBorders>
              <w:top w:val="single" w:color="000000" w:sz="12" w:space="0"/>
              <w:left w:val="nil"/>
              <w:bottom w:val="single" w:color="000000" w:sz="8" w:space="0"/>
              <w:right w:val="nil"/>
            </w:tcBorders>
            <w:vAlign w:val="center"/>
          </w:tcPr>
          <w:p>
            <w:pPr>
              <w:widowControl/>
              <w:ind w:firstLine="300"/>
              <w:jc w:val="left"/>
              <w:rPr>
                <w:rFonts w:ascii="Calibri" w:hAnsi="Calibri" w:eastAsia="等线"/>
                <w:sz w:val="15"/>
                <w:szCs w:val="15"/>
              </w:rPr>
            </w:pPr>
          </w:p>
        </w:tc>
      </w:tr>
      <w:tr>
        <w:tblPrEx>
          <w:tblCellMar>
            <w:top w:w="0" w:type="dxa"/>
            <w:left w:w="108" w:type="dxa"/>
            <w:bottom w:w="0" w:type="dxa"/>
            <w:right w:w="108" w:type="dxa"/>
          </w:tblCellMar>
        </w:tblPrEx>
        <w:trPr>
          <w:trHeight w:val="278" w:hRule="atLeast"/>
          <w:jc w:val="center"/>
        </w:trPr>
        <w:tc>
          <w:tcPr>
            <w:tcW w:w="1140" w:type="dxa"/>
            <w:tcBorders>
              <w:top w:val="nil"/>
              <w:left w:val="nil"/>
              <w:bottom w:val="nil"/>
              <w:right w:val="nil"/>
            </w:tcBorders>
            <w:shd w:val="clear" w:color="auto" w:fill="FFFFFF"/>
            <w:noWrap/>
            <w:vAlign w:val="center"/>
          </w:tcPr>
          <w:p>
            <w:pPr>
              <w:shd w:val="clear" w:color="auto" w:fill="FFFFFF"/>
              <w:ind w:firstLine="300"/>
              <w:jc w:val="left"/>
              <w:rPr>
                <w:rFonts w:eastAsia="等线"/>
                <w:sz w:val="15"/>
                <w:szCs w:val="15"/>
              </w:rPr>
            </w:pPr>
            <w:r>
              <w:rPr>
                <w:rFonts w:eastAsia="等线"/>
                <w:sz w:val="15"/>
                <w:szCs w:val="15"/>
              </w:rPr>
              <w:t>DSC</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0.920 [0.870, 0.940]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0.930 [0.910, 0.950]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0.810 [0.698, 0.870]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0.800 [0.615, 0.865]</w:t>
            </w:r>
          </w:p>
        </w:tc>
        <w:tc>
          <w:tcPr>
            <w:tcW w:w="11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78" w:hRule="atLeast"/>
          <w:jc w:val="center"/>
        </w:trPr>
        <w:tc>
          <w:tcPr>
            <w:tcW w:w="1140" w:type="dxa"/>
            <w:tcBorders>
              <w:top w:val="nil"/>
              <w:left w:val="nil"/>
              <w:bottom w:val="nil"/>
              <w:right w:val="nil"/>
            </w:tcBorders>
            <w:shd w:val="clear" w:color="auto" w:fill="FFFFFF"/>
            <w:noWrap/>
            <w:vAlign w:val="center"/>
          </w:tcPr>
          <w:p>
            <w:pPr>
              <w:shd w:val="clear" w:color="auto" w:fill="FFFFFF"/>
              <w:ind w:firstLine="300"/>
              <w:jc w:val="left"/>
              <w:rPr>
                <w:rFonts w:eastAsia="等线"/>
                <w:sz w:val="15"/>
                <w:szCs w:val="15"/>
              </w:rPr>
            </w:pPr>
            <w:r>
              <w:rPr>
                <w:rFonts w:eastAsia="等线"/>
                <w:sz w:val="15"/>
                <w:szCs w:val="15"/>
              </w:rPr>
              <w:t>JACRD</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0.850 [0.770, 0.890]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0.870 [0.830, 0.900]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0.675 [0.528, 0.770]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0.670 [0.445, 0.760]</w:t>
            </w:r>
          </w:p>
        </w:tc>
        <w:tc>
          <w:tcPr>
            <w:tcW w:w="11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78" w:hRule="atLeast"/>
          <w:jc w:val="center"/>
        </w:trPr>
        <w:tc>
          <w:tcPr>
            <w:tcW w:w="1140" w:type="dxa"/>
            <w:tcBorders>
              <w:top w:val="nil"/>
              <w:left w:val="nil"/>
              <w:bottom w:val="nil"/>
              <w:right w:val="nil"/>
            </w:tcBorders>
            <w:shd w:val="clear" w:color="auto" w:fill="FFFFFF"/>
            <w:noWrap/>
            <w:vAlign w:val="center"/>
          </w:tcPr>
          <w:p>
            <w:pPr>
              <w:shd w:val="clear" w:color="auto" w:fill="FFFFFF"/>
              <w:ind w:firstLine="300"/>
              <w:jc w:val="left"/>
              <w:rPr>
                <w:rFonts w:eastAsia="等线"/>
                <w:sz w:val="15"/>
                <w:szCs w:val="15"/>
              </w:rPr>
            </w:pPr>
            <w:r>
              <w:rPr>
                <w:rFonts w:eastAsia="等线"/>
                <w:sz w:val="15"/>
                <w:szCs w:val="15"/>
              </w:rPr>
              <w:t>VS</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0.990 [0.950, 0.990]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0.990 [0.980, 1.00]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0.900 [0.800, 0.950]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0.870 [0.735, 0.950]</w:t>
            </w:r>
          </w:p>
        </w:tc>
        <w:tc>
          <w:tcPr>
            <w:tcW w:w="11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78" w:hRule="atLeast"/>
          <w:jc w:val="center"/>
        </w:trPr>
        <w:tc>
          <w:tcPr>
            <w:tcW w:w="1140" w:type="dxa"/>
            <w:tcBorders>
              <w:top w:val="nil"/>
              <w:left w:val="nil"/>
              <w:bottom w:val="nil"/>
              <w:right w:val="nil"/>
            </w:tcBorders>
            <w:shd w:val="clear" w:color="auto" w:fill="FFFFFF"/>
            <w:noWrap/>
            <w:vAlign w:val="center"/>
          </w:tcPr>
          <w:p>
            <w:pPr>
              <w:shd w:val="clear" w:color="auto" w:fill="FFFFFF"/>
              <w:ind w:firstLine="300"/>
              <w:jc w:val="left"/>
              <w:rPr>
                <w:rFonts w:eastAsia="等线"/>
                <w:sz w:val="15"/>
                <w:szCs w:val="15"/>
              </w:rPr>
            </w:pPr>
            <w:r>
              <w:rPr>
                <w:rFonts w:eastAsia="等线"/>
                <w:sz w:val="15"/>
                <w:szCs w:val="15"/>
              </w:rPr>
              <w:t>HD</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7.40 [3.08, 13.5]</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5.63 [2.50, 12.4]</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9.94 [6.76, 18.0]</w:t>
            </w:r>
          </w:p>
        </w:tc>
        <w:tc>
          <w:tcPr>
            <w:tcW w:w="220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12.5 [7.91, 20.4]</w:t>
            </w:r>
          </w:p>
        </w:tc>
        <w:tc>
          <w:tcPr>
            <w:tcW w:w="11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&lt;0.001</w:t>
            </w:r>
          </w:p>
        </w:tc>
      </w:tr>
      <w:tr>
        <w:tblPrEx>
          <w:tblCellMar>
            <w:top w:w="0" w:type="dxa"/>
            <w:left w:w="108" w:type="dxa"/>
            <w:bottom w:w="0" w:type="dxa"/>
            <w:right w:w="108" w:type="dxa"/>
          </w:tblCellMar>
        </w:tblPrEx>
        <w:trPr>
          <w:trHeight w:val="285" w:hRule="atLeast"/>
          <w:jc w:val="center"/>
        </w:trPr>
        <w:tc>
          <w:tcPr>
            <w:tcW w:w="1140" w:type="dxa"/>
            <w:tcBorders>
              <w:top w:val="nil"/>
              <w:left w:val="nil"/>
              <w:bottom w:val="single" w:color="000000" w:sz="12" w:space="0"/>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AD</w:t>
            </w:r>
          </w:p>
        </w:tc>
        <w:tc>
          <w:tcPr>
            <w:tcW w:w="2200" w:type="dxa"/>
            <w:tcBorders>
              <w:top w:val="nil"/>
              <w:left w:val="nil"/>
              <w:bottom w:val="single" w:color="000000" w:sz="12" w:space="0"/>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0.110 [0.0600, 0.300]</w:t>
            </w:r>
          </w:p>
        </w:tc>
        <w:tc>
          <w:tcPr>
            <w:tcW w:w="2200" w:type="dxa"/>
            <w:tcBorders>
              <w:top w:val="nil"/>
              <w:left w:val="nil"/>
              <w:bottom w:val="single" w:color="000000" w:sz="12" w:space="0"/>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0.0800 [0.0500, 0.180]</w:t>
            </w:r>
          </w:p>
        </w:tc>
        <w:tc>
          <w:tcPr>
            <w:tcW w:w="2200" w:type="dxa"/>
            <w:tcBorders>
              <w:top w:val="nil"/>
              <w:left w:val="nil"/>
              <w:bottom w:val="single" w:color="000000" w:sz="12" w:space="0"/>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0.400 [0.180, 1.11]</w:t>
            </w:r>
          </w:p>
        </w:tc>
        <w:tc>
          <w:tcPr>
            <w:tcW w:w="2200" w:type="dxa"/>
            <w:tcBorders>
              <w:top w:val="nil"/>
              <w:left w:val="nil"/>
              <w:bottom w:val="single" w:color="000000" w:sz="12" w:space="0"/>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0.490 [0.225, 1.67]</w:t>
            </w:r>
          </w:p>
        </w:tc>
        <w:tc>
          <w:tcPr>
            <w:tcW w:w="1160" w:type="dxa"/>
            <w:tcBorders>
              <w:top w:val="nil"/>
              <w:left w:val="nil"/>
              <w:bottom w:val="single" w:color="000000" w:sz="12" w:space="0"/>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&lt;0.001</w:t>
            </w:r>
          </w:p>
        </w:tc>
      </w:tr>
    </w:tbl>
    <w:p>
      <w:pPr>
        <w:shd w:val="clear" w:color="auto" w:fill="FFFFFF"/>
        <w:ind w:firstLine="0" w:firstLineChars="0"/>
      </w:pPr>
      <w:r>
        <w:t>Quantitative variables are given as the median [Q1, Q3] for nonnormalized data. DSC Dice similarity coefficient, VS volumetric similarity, HD Hausdorff distance, AD Average distance.</w:t>
      </w:r>
    </w:p>
    <w:p>
      <w:pPr>
        <w:widowControl/>
        <w:ind w:firstLine="0" w:firstLineChars="0"/>
        <w:jc w:val="left"/>
        <w:rPr>
          <w:rFonts w:ascii="Calibri" w:hAnsi="Calibri" w:eastAsia="宋体"/>
          <w:sz w:val="21"/>
          <w:szCs w:val="21"/>
        </w:rPr>
      </w:pPr>
      <w:r>
        <w:rPr>
          <w:rFonts w:ascii="Calibri" w:hAnsi="Calibri" w:eastAsia="宋体"/>
          <w:sz w:val="21"/>
          <w:szCs w:val="21"/>
        </w:rPr>
        <w:br w:type="page"/>
      </w:r>
    </w:p>
    <w:p>
      <w:pPr>
        <w:pStyle w:val="7"/>
        <w:ind w:firstLine="482"/>
        <w:jc w:val="center"/>
      </w:pPr>
      <w:bookmarkStart w:id="10" w:name="_Ref127283608"/>
      <w:r>
        <w:rPr>
          <w:b/>
          <w:bCs/>
        </w:rPr>
        <w:t xml:space="preserve">Table S </w:t>
      </w:r>
      <w:r>
        <w:rPr>
          <w:b/>
          <w:bCs/>
        </w:rPr>
        <w:fldChar w:fldCharType="begin"/>
      </w:r>
      <w:r>
        <w:rPr>
          <w:b/>
          <w:bCs/>
        </w:rPr>
        <w:instrText xml:space="preserve"> SEQ Table_S \* ARABIC </w:instrText>
      </w:r>
      <w:r>
        <w:rPr>
          <w:b/>
          <w:bCs/>
        </w:rPr>
        <w:fldChar w:fldCharType="separate"/>
      </w:r>
      <w:r>
        <w:rPr>
          <w:b/>
          <w:bCs/>
        </w:rPr>
        <w:t>10</w:t>
      </w:r>
      <w:r>
        <w:rPr>
          <w:b/>
          <w:bCs/>
        </w:rPr>
        <w:fldChar w:fldCharType="end"/>
      </w:r>
      <w:bookmarkEnd w:id="10"/>
      <w:r>
        <w:t xml:space="preserve"> Measurements of the manually labeled areas and the predicted areas (median [Q1, Q3])</w:t>
      </w:r>
    </w:p>
    <w:tbl>
      <w:tblPr>
        <w:tblStyle w:val="13"/>
        <w:tblW w:w="8360" w:type="dxa"/>
        <w:jc w:val="center"/>
        <w:tblLayout w:type="fixed"/>
        <w:tblCellMar>
          <w:top w:w="0" w:type="dxa"/>
          <w:left w:w="108" w:type="dxa"/>
          <w:bottom w:w="0" w:type="dxa"/>
          <w:right w:w="108" w:type="dxa"/>
        </w:tblCellMar>
      </w:tblPr>
      <w:tblGrid>
        <w:gridCol w:w="1660"/>
        <w:gridCol w:w="1458"/>
        <w:gridCol w:w="1382"/>
        <w:gridCol w:w="1382"/>
        <w:gridCol w:w="1427"/>
        <w:gridCol w:w="1051"/>
      </w:tblGrid>
      <w:tr>
        <w:tblPrEx>
          <w:tblCellMar>
            <w:top w:w="0" w:type="dxa"/>
            <w:left w:w="108" w:type="dxa"/>
            <w:bottom w:w="0" w:type="dxa"/>
            <w:right w:w="108" w:type="dxa"/>
          </w:tblCellMar>
        </w:tblPrEx>
        <w:trPr>
          <w:trHeight w:val="285" w:hRule="atLeast"/>
          <w:jc w:val="center"/>
        </w:trPr>
        <w:tc>
          <w:tcPr>
            <w:tcW w:w="1660"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458"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Overall</w:t>
            </w:r>
          </w:p>
        </w:tc>
        <w:tc>
          <w:tcPr>
            <w:tcW w:w="1382"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train</w:t>
            </w:r>
          </w:p>
        </w:tc>
        <w:tc>
          <w:tcPr>
            <w:tcW w:w="1382"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validate</w:t>
            </w:r>
          </w:p>
        </w:tc>
        <w:tc>
          <w:tcPr>
            <w:tcW w:w="1427" w:type="dxa"/>
            <w:tcBorders>
              <w:top w:val="single" w:color="000000" w:sz="12" w:space="0"/>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test</w:t>
            </w:r>
          </w:p>
        </w:tc>
        <w:tc>
          <w:tcPr>
            <w:tcW w:w="1051" w:type="dxa"/>
            <w:vMerge w:val="restart"/>
            <w:tcBorders>
              <w:top w:val="single" w:color="000000" w:sz="12" w:space="0"/>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i/>
                <w:iCs/>
                <w:sz w:val="15"/>
                <w:szCs w:val="15"/>
              </w:rPr>
              <w:t>P</w:t>
            </w:r>
            <w:r>
              <w:rPr>
                <w:rFonts w:eastAsia="等线"/>
                <w:sz w:val="15"/>
                <w:szCs w:val="15"/>
              </w:rPr>
              <w:t xml:space="preserve"> Value</w:t>
            </w:r>
          </w:p>
        </w:tc>
      </w:tr>
      <w:tr>
        <w:tblPrEx>
          <w:tblCellMar>
            <w:top w:w="0" w:type="dxa"/>
            <w:left w:w="108" w:type="dxa"/>
            <w:bottom w:w="0" w:type="dxa"/>
            <w:right w:w="108" w:type="dxa"/>
          </w:tblCellMar>
        </w:tblPrEx>
        <w:trPr>
          <w:trHeight w:val="285" w:hRule="atLeast"/>
          <w:jc w:val="center"/>
        </w:trPr>
        <w:tc>
          <w:tcPr>
            <w:tcW w:w="1660"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hint="eastAsia" w:ascii="等线" w:hAnsi="等线" w:eastAsia="等线"/>
                <w:sz w:val="15"/>
                <w:szCs w:val="15"/>
              </w:rPr>
              <w:t>　</w:t>
            </w:r>
          </w:p>
        </w:tc>
        <w:tc>
          <w:tcPr>
            <w:tcW w:w="1458"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(N=2105)</w:t>
            </w:r>
          </w:p>
        </w:tc>
        <w:tc>
          <w:tcPr>
            <w:tcW w:w="1382"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(N=1681)</w:t>
            </w:r>
          </w:p>
        </w:tc>
        <w:tc>
          <w:tcPr>
            <w:tcW w:w="1382"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(N=212)</w:t>
            </w:r>
          </w:p>
        </w:tc>
        <w:tc>
          <w:tcPr>
            <w:tcW w:w="1427" w:type="dxa"/>
            <w:tcBorders>
              <w:top w:val="nil"/>
              <w:left w:val="nil"/>
              <w:bottom w:val="single" w:color="000000" w:sz="8"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(N=212)</w:t>
            </w:r>
          </w:p>
        </w:tc>
        <w:tc>
          <w:tcPr>
            <w:tcW w:w="1051" w:type="dxa"/>
            <w:vMerge w:val="continue"/>
            <w:tcBorders>
              <w:top w:val="single" w:color="000000" w:sz="12" w:space="0"/>
              <w:left w:val="nil"/>
              <w:bottom w:val="single" w:color="000000" w:sz="8" w:space="0"/>
              <w:right w:val="nil"/>
            </w:tcBorders>
            <w:vAlign w:val="center"/>
          </w:tcPr>
          <w:p>
            <w:pPr>
              <w:widowControl/>
              <w:ind w:firstLine="300"/>
              <w:jc w:val="left"/>
              <w:rPr>
                <w:rFonts w:ascii="Calibri" w:hAnsi="Calibri" w:eastAsia="等线"/>
                <w:sz w:val="15"/>
                <w:szCs w:val="15"/>
              </w:rPr>
            </w:pPr>
          </w:p>
        </w:tc>
      </w:tr>
      <w:tr>
        <w:tblPrEx>
          <w:tblCellMar>
            <w:top w:w="0" w:type="dxa"/>
            <w:left w:w="108" w:type="dxa"/>
            <w:bottom w:w="0" w:type="dxa"/>
            <w:right w:w="108" w:type="dxa"/>
          </w:tblCellMar>
        </w:tblPrEx>
        <w:trPr>
          <w:trHeight w:val="278"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Lesion number</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1.00 [0, 2.00]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1.00 [0, 2.00]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1.00 [0, 2.00]</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1.00 [0, 3.00]</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0.56</w:t>
            </w:r>
          </w:p>
        </w:tc>
      </w:tr>
      <w:tr>
        <w:tblPrEx>
          <w:tblCellMar>
            <w:top w:w="0" w:type="dxa"/>
            <w:left w:w="108" w:type="dxa"/>
            <w:bottom w:w="0" w:type="dxa"/>
            <w:right w:w="108" w:type="dxa"/>
          </w:tblCellMar>
        </w:tblPrEx>
        <w:trPr>
          <w:trHeight w:val="510"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pLesion number</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1.00 [1.00, 1.00]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1.00 [1.00, 1.00]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1.00 [1.00, 1.00]</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1.00 [1.00, 1.00]</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0.72</w:t>
            </w:r>
          </w:p>
        </w:tc>
      </w:tr>
      <w:tr>
        <w:tblPrEx>
          <w:tblCellMar>
            <w:top w:w="0" w:type="dxa"/>
            <w:left w:w="108" w:type="dxa"/>
            <w:bottom w:w="0" w:type="dxa"/>
            <w:right w:w="108" w:type="dxa"/>
          </w:tblCellMar>
        </w:tblPrEx>
        <w:trPr>
          <w:trHeight w:val="278"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Volume</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1.49 [0, 11.3]</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1.53 [0, 11.1]</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1.36 [0, 11.8]</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1.60 [0, 12.7]</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0.99</w:t>
            </w:r>
          </w:p>
        </w:tc>
      </w:tr>
      <w:tr>
        <w:tblPrEx>
          <w:tblCellMar>
            <w:top w:w="0" w:type="dxa"/>
            <w:left w:w="108" w:type="dxa"/>
            <w:bottom w:w="0" w:type="dxa"/>
            <w:right w:w="108" w:type="dxa"/>
          </w:tblCellMar>
        </w:tblPrEx>
        <w:trPr>
          <w:trHeight w:val="510"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pVolume</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3.12 [0.864, 13.1]</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3.16 [0.864, 12.9]</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2.99 [0.730, 14.3]</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2.99 [1.06, 13.1]</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0.95</w:t>
            </w:r>
          </w:p>
        </w:tc>
      </w:tr>
      <w:tr>
        <w:tblPrEx>
          <w:tblCellMar>
            <w:top w:w="0" w:type="dxa"/>
            <w:left w:w="108" w:type="dxa"/>
            <w:bottom w:w="0" w:type="dxa"/>
            <w:right w:w="108" w:type="dxa"/>
          </w:tblCellMar>
        </w:tblPrEx>
        <w:trPr>
          <w:trHeight w:val="765"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Intensity</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15300 [12900, 18100]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15400 [13000, 18100]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15200 [12800, 17800]</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14800 [13100, 18100]</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0.78</w:t>
            </w:r>
          </w:p>
        </w:tc>
      </w:tr>
      <w:tr>
        <w:tblPrEx>
          <w:tblCellMar>
            <w:top w:w="0" w:type="dxa"/>
            <w:left w:w="108" w:type="dxa"/>
            <w:bottom w:w="0" w:type="dxa"/>
            <w:right w:w="108" w:type="dxa"/>
          </w:tblCellMar>
        </w:tblPrEx>
        <w:trPr>
          <w:trHeight w:val="765"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pIntensity</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16100 [13400, 18800]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16100 [13400, 18900]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16200 [13200, 18600]</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15600 [13200, 18400]</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0.42</w:t>
            </w:r>
          </w:p>
        </w:tc>
      </w:tr>
      <w:tr>
        <w:tblPrEx>
          <w:tblCellMar>
            <w:top w:w="0" w:type="dxa"/>
            <w:left w:w="108" w:type="dxa"/>
            <w:bottom w:w="0" w:type="dxa"/>
            <w:right w:w="108" w:type="dxa"/>
          </w:tblCellMar>
        </w:tblPrEx>
        <w:trPr>
          <w:trHeight w:val="278"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DiaX</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2.12 [0, 4.10]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2.11 [0, 4.10]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1.88 [0, 4.12]</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2.21 [0, 4.12]</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0.99</w:t>
            </w:r>
          </w:p>
        </w:tc>
      </w:tr>
      <w:tr>
        <w:tblPrEx>
          <w:tblCellMar>
            <w:top w:w="0" w:type="dxa"/>
            <w:left w:w="108" w:type="dxa"/>
            <w:bottom w:w="0" w:type="dxa"/>
            <w:right w:w="108" w:type="dxa"/>
          </w:tblCellMar>
        </w:tblPrEx>
        <w:trPr>
          <w:trHeight w:val="510"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pDiaX</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2.69 [1.38, 4.20]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2.64 [1.37, 4.22]</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2.82 [1.39, 4.11]</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2.72 [1.62, 4.18]</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0.92</w:t>
            </w:r>
          </w:p>
        </w:tc>
      </w:tr>
      <w:tr>
        <w:tblPrEx>
          <w:tblCellMar>
            <w:top w:w="0" w:type="dxa"/>
            <w:left w:w="108" w:type="dxa"/>
            <w:bottom w:w="0" w:type="dxa"/>
            <w:right w:w="108" w:type="dxa"/>
          </w:tblCellMar>
        </w:tblPrEx>
        <w:trPr>
          <w:trHeight w:val="278"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DiaY</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1.90 [0, 3.63]</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1.91 [0, 3.56]</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1.89 [0, 3.73]</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1.84 [0, 3.94]</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0.86</w:t>
            </w:r>
          </w:p>
        </w:tc>
      </w:tr>
      <w:tr>
        <w:tblPrEx>
          <w:tblCellMar>
            <w:top w:w="0" w:type="dxa"/>
            <w:left w:w="108" w:type="dxa"/>
            <w:bottom w:w="0" w:type="dxa"/>
            <w:right w:w="108" w:type="dxa"/>
          </w:tblCellMar>
        </w:tblPrEx>
        <w:trPr>
          <w:trHeight w:val="510"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pDiaY</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2.32 [1.34, 3.73]</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2.31 [1.34, 3.67]</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2.38 [1.25, 3.90]</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2.32 [1.32, 3.85]</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0.81</w:t>
            </w:r>
          </w:p>
        </w:tc>
      </w:tr>
      <w:tr>
        <w:tblPrEx>
          <w:tblCellMar>
            <w:top w:w="0" w:type="dxa"/>
            <w:left w:w="108" w:type="dxa"/>
            <w:bottom w:w="0" w:type="dxa"/>
            <w:right w:w="108" w:type="dxa"/>
          </w:tblCellMar>
        </w:tblPrEx>
        <w:trPr>
          <w:trHeight w:val="278" w:hRule="atLeast"/>
          <w:jc w:val="center"/>
        </w:trPr>
        <w:tc>
          <w:tcPr>
            <w:tcW w:w="1660" w:type="dxa"/>
            <w:tcBorders>
              <w:top w:val="nil"/>
              <w:left w:val="nil"/>
              <w:bottom w:val="nil"/>
              <w:right w:val="nil"/>
            </w:tcBorders>
            <w:shd w:val="clear" w:color="auto" w:fill="FFFFFF"/>
            <w:noWrap/>
            <w:vAlign w:val="center"/>
          </w:tcPr>
          <w:p>
            <w:pPr>
              <w:shd w:val="clear" w:color="auto" w:fill="FFFFFF"/>
              <w:ind w:firstLine="300"/>
              <w:rPr>
                <w:rFonts w:eastAsia="等线"/>
                <w:sz w:val="15"/>
                <w:szCs w:val="15"/>
              </w:rPr>
            </w:pPr>
            <w:r>
              <w:rPr>
                <w:rFonts w:eastAsia="等线"/>
                <w:sz w:val="15"/>
                <w:szCs w:val="15"/>
              </w:rPr>
              <w:t>DiaZ</w:t>
            </w:r>
          </w:p>
        </w:tc>
        <w:tc>
          <w:tcPr>
            <w:tcW w:w="1458"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1.95 [0, 3.60]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1.95 [0, 3.60]</w:t>
            </w:r>
          </w:p>
        </w:tc>
        <w:tc>
          <w:tcPr>
            <w:tcW w:w="1382"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1.70 [0, 3.58]</w:t>
            </w:r>
          </w:p>
        </w:tc>
        <w:tc>
          <w:tcPr>
            <w:tcW w:w="1427"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1.94 [0, 3.97]</w:t>
            </w:r>
          </w:p>
        </w:tc>
        <w:tc>
          <w:tcPr>
            <w:tcW w:w="1051" w:type="dxa"/>
            <w:tcBorders>
              <w:top w:val="nil"/>
              <w:left w:val="nil"/>
              <w:bottom w:val="nil"/>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0.90</w:t>
            </w:r>
          </w:p>
        </w:tc>
      </w:tr>
      <w:tr>
        <w:tblPrEx>
          <w:tblCellMar>
            <w:top w:w="0" w:type="dxa"/>
            <w:left w:w="108" w:type="dxa"/>
            <w:bottom w:w="0" w:type="dxa"/>
            <w:right w:w="108" w:type="dxa"/>
          </w:tblCellMar>
        </w:tblPrEx>
        <w:trPr>
          <w:trHeight w:val="518" w:hRule="atLeast"/>
          <w:jc w:val="center"/>
        </w:trPr>
        <w:tc>
          <w:tcPr>
            <w:tcW w:w="1660" w:type="dxa"/>
            <w:tcBorders>
              <w:top w:val="nil"/>
              <w:left w:val="nil"/>
              <w:bottom w:val="single" w:color="000000" w:sz="12"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pDiaZ</w:t>
            </w:r>
          </w:p>
        </w:tc>
        <w:tc>
          <w:tcPr>
            <w:tcW w:w="1458" w:type="dxa"/>
            <w:tcBorders>
              <w:top w:val="nil"/>
              <w:left w:val="nil"/>
              <w:bottom w:val="single" w:color="000000" w:sz="12"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2.41 [1.35, 3.98]</w:t>
            </w:r>
          </w:p>
        </w:tc>
        <w:tc>
          <w:tcPr>
            <w:tcW w:w="1382" w:type="dxa"/>
            <w:tcBorders>
              <w:top w:val="nil"/>
              <w:left w:val="nil"/>
              <w:bottom w:val="single" w:color="000000" w:sz="12"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2.41 [1.32, 3.98]</w:t>
            </w:r>
          </w:p>
        </w:tc>
        <w:tc>
          <w:tcPr>
            <w:tcW w:w="1382" w:type="dxa"/>
            <w:tcBorders>
              <w:top w:val="nil"/>
              <w:left w:val="nil"/>
              <w:bottom w:val="single" w:color="000000" w:sz="12"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2.44 [1.31, 3.77]</w:t>
            </w:r>
          </w:p>
        </w:tc>
        <w:tc>
          <w:tcPr>
            <w:tcW w:w="1427" w:type="dxa"/>
            <w:tcBorders>
              <w:top w:val="nil"/>
              <w:left w:val="nil"/>
              <w:bottom w:val="single" w:color="000000" w:sz="12"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2.40 [1.61, 3.98]</w:t>
            </w:r>
          </w:p>
        </w:tc>
        <w:tc>
          <w:tcPr>
            <w:tcW w:w="1051" w:type="dxa"/>
            <w:tcBorders>
              <w:top w:val="nil"/>
              <w:left w:val="nil"/>
              <w:bottom w:val="single" w:color="000000" w:sz="12" w:space="0"/>
              <w:right w:val="nil"/>
            </w:tcBorders>
            <w:shd w:val="clear" w:color="auto" w:fill="FFFFFF"/>
            <w:vAlign w:val="center"/>
          </w:tcPr>
          <w:p>
            <w:pPr>
              <w:shd w:val="clear" w:color="auto" w:fill="FFFFFF"/>
              <w:ind w:firstLine="300"/>
              <w:rPr>
                <w:rFonts w:eastAsia="等线"/>
                <w:sz w:val="15"/>
                <w:szCs w:val="15"/>
              </w:rPr>
            </w:pPr>
            <w:r>
              <w:rPr>
                <w:rFonts w:eastAsia="等线"/>
                <w:sz w:val="15"/>
                <w:szCs w:val="15"/>
              </w:rPr>
              <w:t>0.70</w:t>
            </w:r>
          </w:p>
        </w:tc>
      </w:tr>
    </w:tbl>
    <w:p>
      <w:pPr>
        <w:jc w:val="center"/>
        <w:rPr>
          <w:sz w:val="22"/>
        </w:rPr>
      </w:pPr>
      <w:r>
        <w:br w:type="page"/>
      </w:r>
    </w:p>
    <w:p>
      <w:pPr>
        <w:widowControl/>
        <w:jc w:val="center"/>
        <w:rPr>
          <w:shd w:val="clear" w:color="auto" w:fill="auto"/>
        </w:rPr>
      </w:pPr>
      <w:r>
        <w:rPr>
          <w:rFonts w:eastAsia="等线"/>
          <w:b/>
          <w:shd w:val="clear" w:color="auto" w:fill="auto"/>
        </w:rPr>
        <w:t xml:space="preserve">Table </w:t>
      </w:r>
      <w:r>
        <w:rPr>
          <w:rFonts w:eastAsia="等线"/>
          <w:b/>
        </w:rPr>
        <w:t>S11</w:t>
      </w:r>
      <w:r>
        <w:rPr>
          <w:rFonts w:eastAsia="等线"/>
          <w:b/>
          <w:shd w:val="clear" w:color="auto" w:fill="auto"/>
        </w:rPr>
        <w:t xml:space="preserve"> </w:t>
      </w:r>
      <w:r>
        <w:rPr>
          <w:shd w:val="clear" w:color="auto" w:fill="auto"/>
        </w:rPr>
        <w:t xml:space="preserve">Information </w:t>
      </w:r>
      <w:r>
        <w:t>on</w:t>
      </w:r>
      <w:r>
        <w:rPr>
          <w:b/>
          <w:shd w:val="clear" w:color="auto" w:fill="auto"/>
        </w:rPr>
        <w:t xml:space="preserve"> </w:t>
      </w:r>
      <w:r>
        <w:rPr>
          <w:shd w:val="clear" w:color="auto" w:fill="auto"/>
        </w:rPr>
        <w:t>MR scanners and protocols</w:t>
      </w:r>
    </w:p>
    <w:tbl>
      <w:tblPr>
        <w:tblStyle w:val="13"/>
        <w:tblW w:w="10418"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35"/>
        <w:gridCol w:w="2494"/>
        <w:gridCol w:w="2495"/>
        <w:gridCol w:w="2494"/>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jc w:val="center"/>
        </w:trPr>
        <w:tc>
          <w:tcPr>
            <w:tcW w:w="2935" w:type="dxa"/>
            <w:vMerge w:val="restart"/>
            <w:tcBorders>
              <w:top w:val="single" w:color="auto" w:sz="8" w:space="0"/>
              <w:bottom w:val="nil"/>
            </w:tcBorders>
            <w:vAlign w:val="center"/>
          </w:tcPr>
          <w:p>
            <w:pPr>
              <w:widowControl/>
              <w:ind w:firstLine="360"/>
              <w:jc w:val="left"/>
              <w:rPr>
                <w:sz w:val="18"/>
                <w:szCs w:val="18"/>
              </w:rPr>
            </w:pPr>
            <w:r>
              <w:rPr>
                <w:rFonts w:hint="eastAsia"/>
                <w:sz w:val="18"/>
                <w:szCs w:val="18"/>
              </w:rPr>
              <w:t>　</w:t>
            </w:r>
          </w:p>
        </w:tc>
        <w:tc>
          <w:tcPr>
            <w:tcW w:w="2494" w:type="dxa"/>
            <w:tcBorders>
              <w:top w:val="single" w:color="auto" w:sz="8" w:space="0"/>
              <w:bottom w:val="nil"/>
            </w:tcBorders>
            <w:vAlign w:val="center"/>
          </w:tcPr>
          <w:p>
            <w:pPr>
              <w:widowControl/>
              <w:ind w:firstLine="360"/>
              <w:jc w:val="left"/>
              <w:rPr>
                <w:sz w:val="18"/>
                <w:szCs w:val="18"/>
              </w:rPr>
            </w:pPr>
            <w:r>
              <w:rPr>
                <w:sz w:val="18"/>
                <w:szCs w:val="18"/>
              </w:rPr>
              <w:t>Train</w:t>
            </w:r>
          </w:p>
        </w:tc>
        <w:tc>
          <w:tcPr>
            <w:tcW w:w="2495" w:type="dxa"/>
            <w:tcBorders>
              <w:top w:val="single" w:color="auto" w:sz="8" w:space="0"/>
              <w:bottom w:val="nil"/>
            </w:tcBorders>
            <w:vAlign w:val="center"/>
          </w:tcPr>
          <w:p>
            <w:pPr>
              <w:widowControl/>
              <w:ind w:firstLine="360"/>
              <w:jc w:val="left"/>
              <w:rPr>
                <w:sz w:val="18"/>
                <w:szCs w:val="18"/>
              </w:rPr>
            </w:pPr>
            <w:r>
              <w:rPr>
                <w:sz w:val="18"/>
                <w:szCs w:val="18"/>
              </w:rPr>
              <w:t>Validate</w:t>
            </w:r>
          </w:p>
        </w:tc>
        <w:tc>
          <w:tcPr>
            <w:tcW w:w="2494" w:type="dxa"/>
            <w:tcBorders>
              <w:top w:val="single" w:color="auto" w:sz="8" w:space="0"/>
              <w:bottom w:val="nil"/>
            </w:tcBorders>
            <w:vAlign w:val="center"/>
          </w:tcPr>
          <w:p>
            <w:pPr>
              <w:widowControl/>
              <w:ind w:firstLine="360"/>
              <w:jc w:val="left"/>
              <w:rPr>
                <w:sz w:val="18"/>
                <w:szCs w:val="18"/>
              </w:rPr>
            </w:pPr>
            <w:r>
              <w:rPr>
                <w:sz w:val="18"/>
                <w:szCs w:val="18"/>
              </w:rPr>
              <w:t>Test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2935" w:type="dxa"/>
            <w:vMerge w:val="continue"/>
            <w:tcBorders>
              <w:top w:val="nil"/>
              <w:bottom w:val="single" w:color="auto" w:sz="6" w:space="0"/>
            </w:tcBorders>
            <w:vAlign w:val="center"/>
          </w:tcPr>
          <w:p>
            <w:pPr>
              <w:widowControl/>
              <w:ind w:firstLine="360"/>
              <w:jc w:val="left"/>
              <w:rPr>
                <w:sz w:val="18"/>
                <w:szCs w:val="18"/>
              </w:rPr>
            </w:pPr>
          </w:p>
        </w:tc>
        <w:tc>
          <w:tcPr>
            <w:tcW w:w="2494" w:type="dxa"/>
            <w:tcBorders>
              <w:top w:val="nil"/>
              <w:bottom w:val="single" w:color="auto" w:sz="6" w:space="0"/>
            </w:tcBorders>
            <w:vAlign w:val="center"/>
          </w:tcPr>
          <w:p>
            <w:pPr>
              <w:widowControl/>
              <w:ind w:firstLine="360"/>
              <w:jc w:val="left"/>
              <w:rPr>
                <w:sz w:val="18"/>
                <w:szCs w:val="18"/>
              </w:rPr>
            </w:pPr>
            <w:r>
              <w:rPr>
                <w:sz w:val="18"/>
                <w:szCs w:val="18"/>
              </w:rPr>
              <w:t>(N=1681)</w:t>
            </w:r>
          </w:p>
        </w:tc>
        <w:tc>
          <w:tcPr>
            <w:tcW w:w="2495" w:type="dxa"/>
            <w:tcBorders>
              <w:top w:val="nil"/>
              <w:bottom w:val="single" w:color="auto" w:sz="6" w:space="0"/>
            </w:tcBorders>
            <w:vAlign w:val="center"/>
          </w:tcPr>
          <w:p>
            <w:pPr>
              <w:widowControl/>
              <w:ind w:firstLine="360"/>
              <w:jc w:val="left"/>
              <w:rPr>
                <w:sz w:val="18"/>
                <w:szCs w:val="18"/>
              </w:rPr>
            </w:pPr>
            <w:r>
              <w:rPr>
                <w:sz w:val="18"/>
                <w:szCs w:val="18"/>
              </w:rPr>
              <w:t>(N=212)</w:t>
            </w:r>
          </w:p>
        </w:tc>
        <w:tc>
          <w:tcPr>
            <w:tcW w:w="2494" w:type="dxa"/>
            <w:tcBorders>
              <w:top w:val="nil"/>
              <w:bottom w:val="single" w:color="auto" w:sz="6" w:space="0"/>
            </w:tcBorders>
            <w:vAlign w:val="center"/>
          </w:tcPr>
          <w:p>
            <w:pPr>
              <w:widowControl/>
              <w:ind w:firstLine="360"/>
              <w:jc w:val="left"/>
              <w:rPr>
                <w:sz w:val="18"/>
                <w:szCs w:val="18"/>
              </w:rPr>
            </w:pPr>
            <w:r>
              <w:rPr>
                <w:sz w:val="18"/>
                <w:szCs w:val="18"/>
              </w:rPr>
              <w:t>(N=212)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tcBorders>
              <w:top w:val="single" w:color="auto" w:sz="6" w:space="0"/>
            </w:tcBorders>
            <w:vAlign w:val="center"/>
          </w:tcPr>
          <w:p>
            <w:pPr>
              <w:widowControl/>
              <w:ind w:firstLine="361"/>
              <w:jc w:val="left"/>
              <w:rPr>
                <w:b/>
                <w:bCs/>
                <w:sz w:val="18"/>
                <w:szCs w:val="18"/>
              </w:rPr>
            </w:pPr>
            <w:r>
              <w:rPr>
                <w:rFonts w:hint="eastAsia"/>
                <w:b/>
                <w:bCs/>
                <w:sz w:val="18"/>
                <w:szCs w:val="18"/>
              </w:rPr>
              <w:t>D</w:t>
            </w:r>
            <w:r>
              <w:rPr>
                <w:b/>
                <w:bCs/>
                <w:sz w:val="18"/>
                <w:szCs w:val="18"/>
              </w:rPr>
              <w:t>WI/ADC</w:t>
            </w:r>
          </w:p>
        </w:tc>
        <w:tc>
          <w:tcPr>
            <w:tcW w:w="2494" w:type="dxa"/>
            <w:tcBorders>
              <w:top w:val="single" w:color="auto" w:sz="6" w:space="0"/>
            </w:tcBorders>
            <w:vAlign w:val="center"/>
          </w:tcPr>
          <w:p>
            <w:pPr>
              <w:widowControl/>
              <w:ind w:firstLine="360"/>
              <w:jc w:val="left"/>
              <w:rPr>
                <w:sz w:val="18"/>
                <w:szCs w:val="18"/>
              </w:rPr>
            </w:pPr>
          </w:p>
        </w:tc>
        <w:tc>
          <w:tcPr>
            <w:tcW w:w="2495" w:type="dxa"/>
            <w:tcBorders>
              <w:top w:val="single" w:color="auto" w:sz="6" w:space="0"/>
            </w:tcBorders>
            <w:vAlign w:val="center"/>
          </w:tcPr>
          <w:p>
            <w:pPr>
              <w:widowControl/>
              <w:ind w:firstLine="360"/>
              <w:jc w:val="left"/>
              <w:rPr>
                <w:sz w:val="18"/>
                <w:szCs w:val="18"/>
              </w:rPr>
            </w:pPr>
          </w:p>
        </w:tc>
        <w:tc>
          <w:tcPr>
            <w:tcW w:w="2494" w:type="dxa"/>
            <w:tcBorders>
              <w:top w:val="single" w:color="auto" w:sz="6" w:space="0"/>
            </w:tcBorders>
            <w:vAlign w:val="center"/>
          </w:tcPr>
          <w:p>
            <w:pPr>
              <w:widowControl/>
              <w:ind w:firstLine="360"/>
              <w:jc w:val="left"/>
              <w:rPr>
                <w:sz w:val="18"/>
                <w:szCs w:val="18"/>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sz w:val="18"/>
                <w:szCs w:val="18"/>
              </w:rPr>
            </w:pPr>
            <w:r>
              <w:rPr>
                <w:sz w:val="18"/>
                <w:szCs w:val="18"/>
              </w:rPr>
              <w:t>Model Name</w:t>
            </w:r>
          </w:p>
        </w:tc>
        <w:tc>
          <w:tcPr>
            <w:tcW w:w="2494" w:type="dxa"/>
            <w:vAlign w:val="center"/>
          </w:tcPr>
          <w:p>
            <w:pPr>
              <w:widowControl/>
              <w:ind w:firstLine="360"/>
              <w:jc w:val="left"/>
              <w:rPr>
                <w:sz w:val="18"/>
                <w:szCs w:val="18"/>
              </w:rPr>
            </w:pPr>
          </w:p>
        </w:tc>
        <w:tc>
          <w:tcPr>
            <w:tcW w:w="2495" w:type="dxa"/>
            <w:vAlign w:val="center"/>
          </w:tcPr>
          <w:p>
            <w:pPr>
              <w:widowControl/>
              <w:ind w:firstLine="360"/>
              <w:jc w:val="left"/>
              <w:rPr>
                <w:sz w:val="18"/>
                <w:szCs w:val="18"/>
              </w:rPr>
            </w:pPr>
          </w:p>
        </w:tc>
        <w:tc>
          <w:tcPr>
            <w:tcW w:w="2494" w:type="dxa"/>
            <w:vAlign w:val="center"/>
          </w:tcPr>
          <w:p>
            <w:pPr>
              <w:widowControl/>
              <w:ind w:firstLine="360"/>
              <w:jc w:val="left"/>
              <w:rPr>
                <w:sz w:val="18"/>
                <w:szCs w:val="18"/>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Achieva</w:t>
            </w:r>
          </w:p>
        </w:tc>
        <w:tc>
          <w:tcPr>
            <w:tcW w:w="2494" w:type="dxa"/>
            <w:vAlign w:val="center"/>
          </w:tcPr>
          <w:p>
            <w:pPr>
              <w:widowControl/>
              <w:ind w:firstLine="360"/>
              <w:jc w:val="left"/>
              <w:rPr>
                <w:sz w:val="18"/>
                <w:szCs w:val="18"/>
              </w:rPr>
            </w:pPr>
            <w:r>
              <w:rPr>
                <w:sz w:val="18"/>
                <w:szCs w:val="18"/>
              </w:rPr>
              <w:t>52 (3.1%)</w:t>
            </w:r>
          </w:p>
        </w:tc>
        <w:tc>
          <w:tcPr>
            <w:tcW w:w="2495" w:type="dxa"/>
            <w:vAlign w:val="center"/>
          </w:tcPr>
          <w:p>
            <w:pPr>
              <w:widowControl/>
              <w:ind w:firstLine="360"/>
              <w:jc w:val="left"/>
              <w:rPr>
                <w:sz w:val="18"/>
                <w:szCs w:val="18"/>
              </w:rPr>
            </w:pPr>
            <w:r>
              <w:rPr>
                <w:sz w:val="18"/>
                <w:szCs w:val="18"/>
              </w:rPr>
              <w:t>5 (2.4%)</w:t>
            </w:r>
          </w:p>
        </w:tc>
        <w:tc>
          <w:tcPr>
            <w:tcW w:w="2494" w:type="dxa"/>
            <w:vAlign w:val="center"/>
          </w:tcPr>
          <w:p>
            <w:pPr>
              <w:widowControl/>
              <w:ind w:firstLine="360"/>
              <w:jc w:val="left"/>
              <w:rPr>
                <w:sz w:val="18"/>
                <w:szCs w:val="18"/>
              </w:rPr>
            </w:pPr>
            <w:r>
              <w:rPr>
                <w:sz w:val="18"/>
                <w:szCs w:val="18"/>
              </w:rPr>
              <w:t>4 (1.9%)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Aera</w:t>
            </w:r>
          </w:p>
        </w:tc>
        <w:tc>
          <w:tcPr>
            <w:tcW w:w="2494" w:type="dxa"/>
            <w:vAlign w:val="center"/>
          </w:tcPr>
          <w:p>
            <w:pPr>
              <w:widowControl/>
              <w:ind w:firstLine="360"/>
              <w:jc w:val="left"/>
              <w:rPr>
                <w:sz w:val="18"/>
                <w:szCs w:val="18"/>
              </w:rPr>
            </w:pPr>
            <w:r>
              <w:rPr>
                <w:sz w:val="18"/>
                <w:szCs w:val="18"/>
              </w:rPr>
              <w:t>217 (12.9%)</w:t>
            </w:r>
          </w:p>
        </w:tc>
        <w:tc>
          <w:tcPr>
            <w:tcW w:w="2495" w:type="dxa"/>
            <w:vAlign w:val="center"/>
          </w:tcPr>
          <w:p>
            <w:pPr>
              <w:widowControl/>
              <w:ind w:firstLine="360"/>
              <w:jc w:val="left"/>
              <w:rPr>
                <w:sz w:val="18"/>
                <w:szCs w:val="18"/>
              </w:rPr>
            </w:pPr>
            <w:r>
              <w:rPr>
                <w:sz w:val="18"/>
                <w:szCs w:val="18"/>
              </w:rPr>
              <w:t>32 (15.1%)</w:t>
            </w:r>
          </w:p>
        </w:tc>
        <w:tc>
          <w:tcPr>
            <w:tcW w:w="2494" w:type="dxa"/>
            <w:vAlign w:val="center"/>
          </w:tcPr>
          <w:p>
            <w:pPr>
              <w:widowControl/>
              <w:ind w:firstLine="360"/>
              <w:jc w:val="left"/>
              <w:rPr>
                <w:sz w:val="18"/>
                <w:szCs w:val="18"/>
              </w:rPr>
            </w:pPr>
            <w:r>
              <w:rPr>
                <w:sz w:val="18"/>
                <w:szCs w:val="18"/>
              </w:rPr>
              <w:t>22 (10.4%)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Amira</w:t>
            </w:r>
          </w:p>
        </w:tc>
        <w:tc>
          <w:tcPr>
            <w:tcW w:w="2494" w:type="dxa"/>
            <w:vAlign w:val="center"/>
          </w:tcPr>
          <w:p>
            <w:pPr>
              <w:widowControl/>
              <w:ind w:firstLine="360"/>
              <w:jc w:val="left"/>
              <w:rPr>
                <w:sz w:val="18"/>
                <w:szCs w:val="18"/>
              </w:rPr>
            </w:pPr>
            <w:r>
              <w:rPr>
                <w:sz w:val="18"/>
                <w:szCs w:val="18"/>
              </w:rPr>
              <w:t>1 (0.1%)</w:t>
            </w:r>
          </w:p>
        </w:tc>
        <w:tc>
          <w:tcPr>
            <w:tcW w:w="2495" w:type="dxa"/>
            <w:vAlign w:val="center"/>
          </w:tcPr>
          <w:p>
            <w:pPr>
              <w:widowControl/>
              <w:ind w:firstLine="360"/>
              <w:jc w:val="left"/>
              <w:rPr>
                <w:sz w:val="18"/>
                <w:szCs w:val="18"/>
              </w:rPr>
            </w:pPr>
            <w:r>
              <w:rPr>
                <w:sz w:val="18"/>
                <w:szCs w:val="18"/>
              </w:rPr>
              <w:t>1 (0.5%)</w:t>
            </w:r>
          </w:p>
        </w:tc>
        <w:tc>
          <w:tcPr>
            <w:tcW w:w="2494" w:type="dxa"/>
            <w:vAlign w:val="center"/>
          </w:tcPr>
          <w:p>
            <w:pPr>
              <w:widowControl/>
              <w:ind w:firstLine="360"/>
              <w:jc w:val="left"/>
              <w:rPr>
                <w:sz w:val="18"/>
                <w:szCs w:val="18"/>
              </w:rPr>
            </w:pPr>
            <w:r>
              <w:rPr>
                <w:sz w:val="18"/>
                <w:szCs w:val="18"/>
              </w:rPr>
              <w:t>0 (0%)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2935" w:type="dxa"/>
            <w:vAlign w:val="center"/>
          </w:tcPr>
          <w:p>
            <w:pPr>
              <w:widowControl/>
              <w:ind w:firstLine="180" w:firstLineChars="100"/>
              <w:jc w:val="left"/>
              <w:rPr>
                <w:sz w:val="18"/>
                <w:szCs w:val="18"/>
              </w:rPr>
            </w:pPr>
            <w:r>
              <w:rPr>
                <w:sz w:val="18"/>
                <w:szCs w:val="18"/>
              </w:rPr>
              <w:t>DISCOVERY MR750</w:t>
            </w:r>
          </w:p>
        </w:tc>
        <w:tc>
          <w:tcPr>
            <w:tcW w:w="2494" w:type="dxa"/>
            <w:vAlign w:val="center"/>
          </w:tcPr>
          <w:p>
            <w:pPr>
              <w:widowControl/>
              <w:ind w:firstLine="360"/>
              <w:jc w:val="left"/>
              <w:rPr>
                <w:sz w:val="18"/>
                <w:szCs w:val="18"/>
              </w:rPr>
            </w:pPr>
            <w:r>
              <w:rPr>
                <w:sz w:val="18"/>
                <w:szCs w:val="18"/>
              </w:rPr>
              <w:t>844 (50.2%)</w:t>
            </w:r>
          </w:p>
        </w:tc>
        <w:tc>
          <w:tcPr>
            <w:tcW w:w="2495" w:type="dxa"/>
            <w:vAlign w:val="center"/>
          </w:tcPr>
          <w:p>
            <w:pPr>
              <w:widowControl/>
              <w:ind w:firstLine="360"/>
              <w:jc w:val="left"/>
              <w:rPr>
                <w:sz w:val="18"/>
                <w:szCs w:val="18"/>
              </w:rPr>
            </w:pPr>
            <w:r>
              <w:rPr>
                <w:sz w:val="18"/>
                <w:szCs w:val="18"/>
              </w:rPr>
              <w:t>112 (52.8%)</w:t>
            </w:r>
          </w:p>
        </w:tc>
        <w:tc>
          <w:tcPr>
            <w:tcW w:w="2494" w:type="dxa"/>
            <w:vAlign w:val="center"/>
          </w:tcPr>
          <w:p>
            <w:pPr>
              <w:widowControl/>
              <w:ind w:firstLine="360"/>
              <w:jc w:val="left"/>
              <w:rPr>
                <w:sz w:val="18"/>
                <w:szCs w:val="18"/>
              </w:rPr>
            </w:pPr>
            <w:r>
              <w:rPr>
                <w:sz w:val="18"/>
                <w:szCs w:val="18"/>
              </w:rPr>
              <w:t>109 (51.4%)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2935" w:type="dxa"/>
            <w:vAlign w:val="center"/>
          </w:tcPr>
          <w:p>
            <w:pPr>
              <w:widowControl/>
              <w:ind w:firstLine="180" w:firstLineChars="100"/>
              <w:jc w:val="left"/>
              <w:rPr>
                <w:sz w:val="18"/>
                <w:szCs w:val="18"/>
              </w:rPr>
            </w:pPr>
            <w:r>
              <w:rPr>
                <w:sz w:val="18"/>
                <w:szCs w:val="18"/>
              </w:rPr>
              <w:t>DISCOVERY MR750w</w:t>
            </w:r>
          </w:p>
        </w:tc>
        <w:tc>
          <w:tcPr>
            <w:tcW w:w="2494" w:type="dxa"/>
            <w:vAlign w:val="center"/>
          </w:tcPr>
          <w:p>
            <w:pPr>
              <w:widowControl/>
              <w:ind w:firstLine="360"/>
              <w:jc w:val="left"/>
              <w:rPr>
                <w:sz w:val="18"/>
                <w:szCs w:val="18"/>
              </w:rPr>
            </w:pPr>
            <w:r>
              <w:rPr>
                <w:sz w:val="18"/>
                <w:szCs w:val="18"/>
              </w:rPr>
              <w:t>75 (4.5%)</w:t>
            </w:r>
          </w:p>
        </w:tc>
        <w:tc>
          <w:tcPr>
            <w:tcW w:w="2495" w:type="dxa"/>
            <w:vAlign w:val="center"/>
          </w:tcPr>
          <w:p>
            <w:pPr>
              <w:widowControl/>
              <w:ind w:firstLine="360"/>
              <w:jc w:val="left"/>
              <w:rPr>
                <w:sz w:val="18"/>
                <w:szCs w:val="18"/>
              </w:rPr>
            </w:pPr>
            <w:r>
              <w:rPr>
                <w:sz w:val="18"/>
                <w:szCs w:val="18"/>
              </w:rPr>
              <w:t>13 (6.1%)</w:t>
            </w:r>
          </w:p>
        </w:tc>
        <w:tc>
          <w:tcPr>
            <w:tcW w:w="2494" w:type="dxa"/>
            <w:vAlign w:val="center"/>
          </w:tcPr>
          <w:p>
            <w:pPr>
              <w:widowControl/>
              <w:ind w:firstLine="360"/>
              <w:jc w:val="left"/>
              <w:rPr>
                <w:sz w:val="18"/>
                <w:szCs w:val="18"/>
              </w:rPr>
            </w:pPr>
            <w:r>
              <w:rPr>
                <w:sz w:val="18"/>
                <w:szCs w:val="18"/>
              </w:rPr>
              <w:t>7 (3.3%)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Ingenia</w:t>
            </w:r>
          </w:p>
        </w:tc>
        <w:tc>
          <w:tcPr>
            <w:tcW w:w="2494" w:type="dxa"/>
            <w:vAlign w:val="center"/>
          </w:tcPr>
          <w:p>
            <w:pPr>
              <w:widowControl/>
              <w:ind w:firstLine="360"/>
              <w:jc w:val="left"/>
              <w:rPr>
                <w:sz w:val="18"/>
                <w:szCs w:val="18"/>
              </w:rPr>
            </w:pPr>
            <w:r>
              <w:rPr>
                <w:sz w:val="18"/>
                <w:szCs w:val="18"/>
              </w:rPr>
              <w:t>107 (6.4%)</w:t>
            </w:r>
          </w:p>
        </w:tc>
        <w:tc>
          <w:tcPr>
            <w:tcW w:w="2495" w:type="dxa"/>
            <w:vAlign w:val="center"/>
          </w:tcPr>
          <w:p>
            <w:pPr>
              <w:widowControl/>
              <w:ind w:firstLine="360"/>
              <w:jc w:val="left"/>
              <w:rPr>
                <w:sz w:val="18"/>
                <w:szCs w:val="18"/>
              </w:rPr>
            </w:pPr>
            <w:r>
              <w:rPr>
                <w:sz w:val="18"/>
                <w:szCs w:val="18"/>
              </w:rPr>
              <w:t>8 (3.8%)</w:t>
            </w:r>
          </w:p>
        </w:tc>
        <w:tc>
          <w:tcPr>
            <w:tcW w:w="2494" w:type="dxa"/>
            <w:vAlign w:val="center"/>
          </w:tcPr>
          <w:p>
            <w:pPr>
              <w:widowControl/>
              <w:ind w:firstLine="360"/>
              <w:jc w:val="left"/>
              <w:rPr>
                <w:sz w:val="18"/>
                <w:szCs w:val="18"/>
              </w:rPr>
            </w:pPr>
            <w:r>
              <w:rPr>
                <w:sz w:val="18"/>
                <w:szCs w:val="18"/>
              </w:rPr>
              <w:t>19 (9.0%)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Ingenia CX</w:t>
            </w:r>
          </w:p>
        </w:tc>
        <w:tc>
          <w:tcPr>
            <w:tcW w:w="2494" w:type="dxa"/>
            <w:vAlign w:val="center"/>
          </w:tcPr>
          <w:p>
            <w:pPr>
              <w:widowControl/>
              <w:ind w:firstLine="360"/>
              <w:jc w:val="left"/>
              <w:rPr>
                <w:sz w:val="18"/>
                <w:szCs w:val="18"/>
              </w:rPr>
            </w:pPr>
            <w:r>
              <w:rPr>
                <w:sz w:val="18"/>
                <w:szCs w:val="18"/>
              </w:rPr>
              <w:t>1 (0.1%)</w:t>
            </w:r>
          </w:p>
        </w:tc>
        <w:tc>
          <w:tcPr>
            <w:tcW w:w="2495" w:type="dxa"/>
            <w:vAlign w:val="center"/>
          </w:tcPr>
          <w:p>
            <w:pPr>
              <w:widowControl/>
              <w:ind w:firstLine="360"/>
              <w:jc w:val="left"/>
              <w:rPr>
                <w:sz w:val="18"/>
                <w:szCs w:val="18"/>
              </w:rPr>
            </w:pPr>
            <w:r>
              <w:rPr>
                <w:sz w:val="18"/>
                <w:szCs w:val="18"/>
              </w:rPr>
              <w:t>0 (0%)</w:t>
            </w:r>
          </w:p>
        </w:tc>
        <w:tc>
          <w:tcPr>
            <w:tcW w:w="2494" w:type="dxa"/>
            <w:vAlign w:val="center"/>
          </w:tcPr>
          <w:p>
            <w:pPr>
              <w:widowControl/>
              <w:ind w:firstLine="360"/>
              <w:jc w:val="left"/>
              <w:rPr>
                <w:sz w:val="18"/>
                <w:szCs w:val="18"/>
              </w:rPr>
            </w:pPr>
            <w:r>
              <w:rPr>
                <w:sz w:val="18"/>
                <w:szCs w:val="18"/>
              </w:rPr>
              <w:t>0 (0%)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Multiva</w:t>
            </w:r>
          </w:p>
        </w:tc>
        <w:tc>
          <w:tcPr>
            <w:tcW w:w="2494" w:type="dxa"/>
            <w:vAlign w:val="center"/>
          </w:tcPr>
          <w:p>
            <w:pPr>
              <w:widowControl/>
              <w:ind w:firstLine="360"/>
              <w:jc w:val="left"/>
              <w:rPr>
                <w:sz w:val="18"/>
                <w:szCs w:val="18"/>
              </w:rPr>
            </w:pPr>
            <w:r>
              <w:rPr>
                <w:sz w:val="18"/>
                <w:szCs w:val="18"/>
              </w:rPr>
              <w:t>24 (1.4%)</w:t>
            </w:r>
          </w:p>
        </w:tc>
        <w:tc>
          <w:tcPr>
            <w:tcW w:w="2495" w:type="dxa"/>
            <w:vAlign w:val="center"/>
          </w:tcPr>
          <w:p>
            <w:pPr>
              <w:widowControl/>
              <w:ind w:firstLine="360"/>
              <w:jc w:val="left"/>
              <w:rPr>
                <w:sz w:val="18"/>
                <w:szCs w:val="18"/>
              </w:rPr>
            </w:pPr>
            <w:r>
              <w:rPr>
                <w:sz w:val="18"/>
                <w:szCs w:val="18"/>
              </w:rPr>
              <w:t>2 (0.9%)</w:t>
            </w:r>
          </w:p>
        </w:tc>
        <w:tc>
          <w:tcPr>
            <w:tcW w:w="2494" w:type="dxa"/>
            <w:vAlign w:val="center"/>
          </w:tcPr>
          <w:p>
            <w:pPr>
              <w:widowControl/>
              <w:ind w:firstLine="360"/>
              <w:jc w:val="left"/>
              <w:rPr>
                <w:sz w:val="18"/>
                <w:szCs w:val="18"/>
              </w:rPr>
            </w:pPr>
            <w:r>
              <w:rPr>
                <w:sz w:val="18"/>
                <w:szCs w:val="18"/>
              </w:rPr>
              <w:t>4 (1.9%)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Prisma</w:t>
            </w:r>
          </w:p>
        </w:tc>
        <w:tc>
          <w:tcPr>
            <w:tcW w:w="2494" w:type="dxa"/>
            <w:vAlign w:val="center"/>
          </w:tcPr>
          <w:p>
            <w:pPr>
              <w:widowControl/>
              <w:ind w:firstLine="360"/>
              <w:jc w:val="left"/>
              <w:rPr>
                <w:sz w:val="18"/>
                <w:szCs w:val="18"/>
              </w:rPr>
            </w:pPr>
            <w:r>
              <w:rPr>
                <w:sz w:val="18"/>
                <w:szCs w:val="18"/>
              </w:rPr>
              <w:t>29 (1.7%)</w:t>
            </w:r>
          </w:p>
        </w:tc>
        <w:tc>
          <w:tcPr>
            <w:tcW w:w="2495" w:type="dxa"/>
            <w:vAlign w:val="center"/>
          </w:tcPr>
          <w:p>
            <w:pPr>
              <w:widowControl/>
              <w:ind w:firstLine="360"/>
              <w:jc w:val="left"/>
              <w:rPr>
                <w:sz w:val="18"/>
                <w:szCs w:val="18"/>
              </w:rPr>
            </w:pPr>
            <w:r>
              <w:rPr>
                <w:sz w:val="18"/>
                <w:szCs w:val="18"/>
              </w:rPr>
              <w:t>2 (0.9%)</w:t>
            </w:r>
          </w:p>
        </w:tc>
        <w:tc>
          <w:tcPr>
            <w:tcW w:w="2494" w:type="dxa"/>
            <w:vAlign w:val="center"/>
          </w:tcPr>
          <w:p>
            <w:pPr>
              <w:widowControl/>
              <w:ind w:firstLine="360"/>
              <w:jc w:val="left"/>
              <w:rPr>
                <w:sz w:val="18"/>
                <w:szCs w:val="18"/>
              </w:rPr>
            </w:pPr>
            <w:r>
              <w:rPr>
                <w:sz w:val="18"/>
                <w:szCs w:val="18"/>
              </w:rPr>
              <w:t>4 (1.9%)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SIGNA EXCITE</w:t>
            </w:r>
          </w:p>
        </w:tc>
        <w:tc>
          <w:tcPr>
            <w:tcW w:w="2494" w:type="dxa"/>
            <w:vAlign w:val="center"/>
          </w:tcPr>
          <w:p>
            <w:pPr>
              <w:widowControl/>
              <w:ind w:firstLine="360"/>
              <w:jc w:val="left"/>
              <w:rPr>
                <w:sz w:val="18"/>
                <w:szCs w:val="18"/>
              </w:rPr>
            </w:pPr>
            <w:r>
              <w:rPr>
                <w:sz w:val="18"/>
                <w:szCs w:val="18"/>
              </w:rPr>
              <w:t>36 (2.1%)</w:t>
            </w:r>
          </w:p>
        </w:tc>
        <w:tc>
          <w:tcPr>
            <w:tcW w:w="2495" w:type="dxa"/>
            <w:vAlign w:val="center"/>
          </w:tcPr>
          <w:p>
            <w:pPr>
              <w:widowControl/>
              <w:ind w:firstLine="360"/>
              <w:jc w:val="left"/>
              <w:rPr>
                <w:sz w:val="18"/>
                <w:szCs w:val="18"/>
              </w:rPr>
            </w:pPr>
            <w:r>
              <w:rPr>
                <w:sz w:val="18"/>
                <w:szCs w:val="18"/>
              </w:rPr>
              <w:t>2 (0.9%)</w:t>
            </w:r>
          </w:p>
        </w:tc>
        <w:tc>
          <w:tcPr>
            <w:tcW w:w="2494" w:type="dxa"/>
            <w:vAlign w:val="center"/>
          </w:tcPr>
          <w:p>
            <w:pPr>
              <w:widowControl/>
              <w:ind w:firstLine="360"/>
              <w:jc w:val="left"/>
              <w:rPr>
                <w:sz w:val="18"/>
                <w:szCs w:val="18"/>
              </w:rPr>
            </w:pPr>
            <w:r>
              <w:rPr>
                <w:sz w:val="18"/>
                <w:szCs w:val="18"/>
              </w:rPr>
              <w:t>4 (1.9%)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Signa HDxt</w:t>
            </w:r>
          </w:p>
        </w:tc>
        <w:tc>
          <w:tcPr>
            <w:tcW w:w="2494" w:type="dxa"/>
            <w:vAlign w:val="center"/>
          </w:tcPr>
          <w:p>
            <w:pPr>
              <w:widowControl/>
              <w:ind w:firstLine="360"/>
              <w:jc w:val="left"/>
              <w:rPr>
                <w:sz w:val="18"/>
                <w:szCs w:val="18"/>
              </w:rPr>
            </w:pPr>
            <w:r>
              <w:rPr>
                <w:sz w:val="18"/>
                <w:szCs w:val="18"/>
              </w:rPr>
              <w:t>3 (0.2%)</w:t>
            </w:r>
          </w:p>
        </w:tc>
        <w:tc>
          <w:tcPr>
            <w:tcW w:w="2495" w:type="dxa"/>
            <w:vAlign w:val="center"/>
          </w:tcPr>
          <w:p>
            <w:pPr>
              <w:widowControl/>
              <w:ind w:firstLine="360"/>
              <w:jc w:val="left"/>
              <w:rPr>
                <w:sz w:val="18"/>
                <w:szCs w:val="18"/>
              </w:rPr>
            </w:pPr>
            <w:r>
              <w:rPr>
                <w:sz w:val="18"/>
                <w:szCs w:val="18"/>
              </w:rPr>
              <w:t>0 (0%)</w:t>
            </w:r>
          </w:p>
        </w:tc>
        <w:tc>
          <w:tcPr>
            <w:tcW w:w="2494" w:type="dxa"/>
            <w:vAlign w:val="center"/>
          </w:tcPr>
          <w:p>
            <w:pPr>
              <w:widowControl/>
              <w:ind w:firstLine="360"/>
              <w:jc w:val="left"/>
              <w:rPr>
                <w:sz w:val="18"/>
                <w:szCs w:val="18"/>
              </w:rPr>
            </w:pPr>
            <w:r>
              <w:rPr>
                <w:sz w:val="18"/>
                <w:szCs w:val="18"/>
              </w:rPr>
              <w:t>0 (0%)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SIGNA Premier</w:t>
            </w:r>
          </w:p>
        </w:tc>
        <w:tc>
          <w:tcPr>
            <w:tcW w:w="2494" w:type="dxa"/>
            <w:vAlign w:val="center"/>
          </w:tcPr>
          <w:p>
            <w:pPr>
              <w:widowControl/>
              <w:ind w:firstLine="360"/>
              <w:jc w:val="left"/>
              <w:rPr>
                <w:sz w:val="18"/>
                <w:szCs w:val="18"/>
              </w:rPr>
            </w:pPr>
            <w:r>
              <w:rPr>
                <w:sz w:val="18"/>
                <w:szCs w:val="18"/>
              </w:rPr>
              <w:t>1 (0.1%)</w:t>
            </w:r>
          </w:p>
        </w:tc>
        <w:tc>
          <w:tcPr>
            <w:tcW w:w="2495" w:type="dxa"/>
            <w:vAlign w:val="center"/>
          </w:tcPr>
          <w:p>
            <w:pPr>
              <w:widowControl/>
              <w:ind w:firstLine="360"/>
              <w:jc w:val="left"/>
              <w:rPr>
                <w:sz w:val="18"/>
                <w:szCs w:val="18"/>
              </w:rPr>
            </w:pPr>
            <w:r>
              <w:rPr>
                <w:sz w:val="18"/>
                <w:szCs w:val="18"/>
              </w:rPr>
              <w:t>0 (0%)</w:t>
            </w:r>
          </w:p>
        </w:tc>
        <w:tc>
          <w:tcPr>
            <w:tcW w:w="2494" w:type="dxa"/>
            <w:vAlign w:val="center"/>
          </w:tcPr>
          <w:p>
            <w:pPr>
              <w:widowControl/>
              <w:ind w:firstLine="360"/>
              <w:jc w:val="left"/>
              <w:rPr>
                <w:sz w:val="18"/>
                <w:szCs w:val="18"/>
              </w:rPr>
            </w:pPr>
            <w:r>
              <w:rPr>
                <w:sz w:val="18"/>
                <w:szCs w:val="18"/>
              </w:rPr>
              <w:t>0 (0%)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Skyra</w:t>
            </w:r>
          </w:p>
        </w:tc>
        <w:tc>
          <w:tcPr>
            <w:tcW w:w="2494" w:type="dxa"/>
            <w:vAlign w:val="center"/>
          </w:tcPr>
          <w:p>
            <w:pPr>
              <w:widowControl/>
              <w:ind w:firstLine="360"/>
              <w:jc w:val="left"/>
              <w:rPr>
                <w:sz w:val="18"/>
                <w:szCs w:val="18"/>
              </w:rPr>
            </w:pPr>
            <w:r>
              <w:rPr>
                <w:sz w:val="18"/>
                <w:szCs w:val="18"/>
              </w:rPr>
              <w:t>46 (2.7%)</w:t>
            </w:r>
          </w:p>
        </w:tc>
        <w:tc>
          <w:tcPr>
            <w:tcW w:w="2495" w:type="dxa"/>
            <w:vAlign w:val="center"/>
          </w:tcPr>
          <w:p>
            <w:pPr>
              <w:widowControl/>
              <w:ind w:firstLine="360"/>
              <w:jc w:val="left"/>
              <w:rPr>
                <w:sz w:val="18"/>
                <w:szCs w:val="18"/>
              </w:rPr>
            </w:pPr>
            <w:r>
              <w:rPr>
                <w:sz w:val="18"/>
                <w:szCs w:val="18"/>
              </w:rPr>
              <w:t>6 (2.8%)</w:t>
            </w:r>
          </w:p>
        </w:tc>
        <w:tc>
          <w:tcPr>
            <w:tcW w:w="2494" w:type="dxa"/>
            <w:vAlign w:val="center"/>
          </w:tcPr>
          <w:p>
            <w:pPr>
              <w:widowControl/>
              <w:ind w:firstLine="360"/>
              <w:jc w:val="left"/>
              <w:rPr>
                <w:sz w:val="18"/>
                <w:szCs w:val="18"/>
              </w:rPr>
            </w:pPr>
            <w:r>
              <w:rPr>
                <w:sz w:val="18"/>
                <w:szCs w:val="18"/>
              </w:rPr>
              <w:t>8 (3.8%)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TrioTim</w:t>
            </w:r>
          </w:p>
        </w:tc>
        <w:tc>
          <w:tcPr>
            <w:tcW w:w="2494" w:type="dxa"/>
            <w:vAlign w:val="center"/>
          </w:tcPr>
          <w:p>
            <w:pPr>
              <w:widowControl/>
              <w:ind w:firstLine="360"/>
              <w:jc w:val="left"/>
              <w:rPr>
                <w:sz w:val="18"/>
                <w:szCs w:val="18"/>
              </w:rPr>
            </w:pPr>
            <w:r>
              <w:rPr>
                <w:sz w:val="18"/>
                <w:szCs w:val="18"/>
              </w:rPr>
              <w:t>114 (6.8%)</w:t>
            </w:r>
          </w:p>
        </w:tc>
        <w:tc>
          <w:tcPr>
            <w:tcW w:w="2495" w:type="dxa"/>
            <w:vAlign w:val="center"/>
          </w:tcPr>
          <w:p>
            <w:pPr>
              <w:widowControl/>
              <w:ind w:firstLine="360"/>
              <w:jc w:val="left"/>
              <w:rPr>
                <w:sz w:val="18"/>
                <w:szCs w:val="18"/>
              </w:rPr>
            </w:pPr>
            <w:r>
              <w:rPr>
                <w:sz w:val="18"/>
                <w:szCs w:val="18"/>
              </w:rPr>
              <w:t>17 (8.0%)</w:t>
            </w:r>
          </w:p>
        </w:tc>
        <w:tc>
          <w:tcPr>
            <w:tcW w:w="2494" w:type="dxa"/>
            <w:vAlign w:val="center"/>
          </w:tcPr>
          <w:p>
            <w:pPr>
              <w:widowControl/>
              <w:ind w:firstLine="360"/>
              <w:jc w:val="left"/>
              <w:rPr>
                <w:sz w:val="18"/>
                <w:szCs w:val="18"/>
              </w:rPr>
            </w:pPr>
            <w:r>
              <w:rPr>
                <w:sz w:val="18"/>
                <w:szCs w:val="18"/>
              </w:rPr>
              <w:t>18 (8.5%)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uMR 790</w:t>
            </w:r>
          </w:p>
        </w:tc>
        <w:tc>
          <w:tcPr>
            <w:tcW w:w="2494" w:type="dxa"/>
            <w:vAlign w:val="center"/>
          </w:tcPr>
          <w:p>
            <w:pPr>
              <w:widowControl/>
              <w:ind w:firstLine="360"/>
              <w:jc w:val="left"/>
              <w:rPr>
                <w:sz w:val="18"/>
                <w:szCs w:val="18"/>
              </w:rPr>
            </w:pPr>
            <w:r>
              <w:rPr>
                <w:sz w:val="18"/>
                <w:szCs w:val="18"/>
              </w:rPr>
              <w:t>87 (5.2%)</w:t>
            </w:r>
          </w:p>
        </w:tc>
        <w:tc>
          <w:tcPr>
            <w:tcW w:w="2495" w:type="dxa"/>
            <w:vAlign w:val="center"/>
          </w:tcPr>
          <w:p>
            <w:pPr>
              <w:widowControl/>
              <w:ind w:firstLine="360"/>
              <w:jc w:val="left"/>
              <w:rPr>
                <w:sz w:val="18"/>
                <w:szCs w:val="18"/>
              </w:rPr>
            </w:pPr>
            <w:r>
              <w:rPr>
                <w:sz w:val="18"/>
                <w:szCs w:val="18"/>
              </w:rPr>
              <w:t>8 (3.8%)</w:t>
            </w:r>
          </w:p>
        </w:tc>
        <w:tc>
          <w:tcPr>
            <w:tcW w:w="2494" w:type="dxa"/>
            <w:vAlign w:val="center"/>
          </w:tcPr>
          <w:p>
            <w:pPr>
              <w:widowControl/>
              <w:ind w:firstLine="360"/>
              <w:jc w:val="left"/>
              <w:rPr>
                <w:sz w:val="18"/>
                <w:szCs w:val="18"/>
              </w:rPr>
            </w:pPr>
            <w:r>
              <w:rPr>
                <w:sz w:val="18"/>
                <w:szCs w:val="18"/>
              </w:rPr>
              <w:t>7 (3.3%)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sz w:val="18"/>
                <w:szCs w:val="18"/>
              </w:rPr>
              <w:t>Verio</w:t>
            </w:r>
          </w:p>
        </w:tc>
        <w:tc>
          <w:tcPr>
            <w:tcW w:w="2494" w:type="dxa"/>
            <w:vAlign w:val="center"/>
          </w:tcPr>
          <w:p>
            <w:pPr>
              <w:widowControl/>
              <w:ind w:firstLine="360"/>
              <w:jc w:val="left"/>
              <w:rPr>
                <w:sz w:val="18"/>
                <w:szCs w:val="18"/>
              </w:rPr>
            </w:pPr>
            <w:r>
              <w:rPr>
                <w:sz w:val="18"/>
                <w:szCs w:val="18"/>
              </w:rPr>
              <w:t>44 (2.6%)</w:t>
            </w:r>
          </w:p>
        </w:tc>
        <w:tc>
          <w:tcPr>
            <w:tcW w:w="2495" w:type="dxa"/>
            <w:vAlign w:val="center"/>
          </w:tcPr>
          <w:p>
            <w:pPr>
              <w:widowControl/>
              <w:ind w:firstLine="360"/>
              <w:jc w:val="left"/>
              <w:rPr>
                <w:sz w:val="18"/>
                <w:szCs w:val="18"/>
              </w:rPr>
            </w:pPr>
            <w:r>
              <w:rPr>
                <w:sz w:val="18"/>
                <w:szCs w:val="18"/>
              </w:rPr>
              <w:t>4 (1.9%)</w:t>
            </w:r>
          </w:p>
        </w:tc>
        <w:tc>
          <w:tcPr>
            <w:tcW w:w="2494" w:type="dxa"/>
            <w:vAlign w:val="center"/>
          </w:tcPr>
          <w:p>
            <w:pPr>
              <w:widowControl/>
              <w:ind w:firstLine="360"/>
              <w:jc w:val="left"/>
              <w:rPr>
                <w:sz w:val="18"/>
                <w:szCs w:val="18"/>
              </w:rPr>
            </w:pPr>
            <w:r>
              <w:rPr>
                <w:sz w:val="18"/>
                <w:szCs w:val="18"/>
              </w:rPr>
              <w:t>6 (2.8%)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180" w:firstLineChars="100"/>
              <w:jc w:val="left"/>
              <w:rPr>
                <w:sz w:val="18"/>
                <w:szCs w:val="18"/>
              </w:rPr>
            </w:pPr>
            <w:r>
              <w:rPr>
                <w:rFonts w:eastAsia="Arial"/>
                <w:sz w:val="18"/>
                <w:szCs w:val="18"/>
                <w:shd w:val="clear" w:color="auto" w:fill="FFFFFF" w:themeFill="background1"/>
                <w:lang w:eastAsia="en-US"/>
              </w:rPr>
              <w:t>MAGNETOM_ESSENZA</w:t>
            </w:r>
          </w:p>
        </w:tc>
        <w:tc>
          <w:tcPr>
            <w:tcW w:w="2494" w:type="dxa"/>
            <w:vAlign w:val="center"/>
          </w:tcPr>
          <w:p>
            <w:pPr>
              <w:widowControl/>
              <w:ind w:firstLine="360"/>
              <w:jc w:val="left"/>
              <w:rPr>
                <w:sz w:val="18"/>
                <w:szCs w:val="18"/>
              </w:rPr>
            </w:pPr>
            <w:r>
              <w:rPr>
                <w:rFonts w:hint="eastAsia"/>
                <w:sz w:val="18"/>
                <w:szCs w:val="18"/>
              </w:rPr>
              <w:t>0</w:t>
            </w:r>
            <w:r>
              <w:rPr>
                <w:sz w:val="18"/>
                <w:szCs w:val="18"/>
              </w:rPr>
              <w:t xml:space="preserve"> (%)</w:t>
            </w:r>
          </w:p>
        </w:tc>
        <w:tc>
          <w:tcPr>
            <w:tcW w:w="2495" w:type="dxa"/>
            <w:vAlign w:val="center"/>
          </w:tcPr>
          <w:p>
            <w:pPr>
              <w:widowControl/>
              <w:ind w:firstLine="360"/>
              <w:jc w:val="left"/>
              <w:rPr>
                <w:sz w:val="18"/>
                <w:szCs w:val="18"/>
              </w:rPr>
            </w:pPr>
            <w:r>
              <w:rPr>
                <w:rFonts w:hint="eastAsia"/>
                <w:sz w:val="18"/>
                <w:szCs w:val="18"/>
              </w:rPr>
              <w:t>0</w:t>
            </w:r>
            <w:r>
              <w:rPr>
                <w:sz w:val="18"/>
                <w:szCs w:val="18"/>
              </w:rPr>
              <w:t xml:space="preserve"> (%)</w:t>
            </w:r>
          </w:p>
        </w:tc>
        <w:tc>
          <w:tcPr>
            <w:tcW w:w="2494" w:type="dxa"/>
            <w:vAlign w:val="center"/>
          </w:tcPr>
          <w:p>
            <w:pPr>
              <w:widowControl/>
              <w:ind w:firstLine="360"/>
              <w:jc w:val="left"/>
              <w:rPr>
                <w:sz w:val="18"/>
                <w:szCs w:val="18"/>
              </w:rPr>
            </w:pPr>
            <w:r>
              <w:rPr>
                <w:rFonts w:hint="eastAsia"/>
                <w:sz w:val="18"/>
                <w:szCs w:val="18"/>
              </w:rPr>
              <w:t>0</w:t>
            </w:r>
            <w:r>
              <w:rPr>
                <w:sz w:val="18"/>
                <w:szCs w:val="18"/>
              </w:rPr>
              <w:t xml:space="preserve">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sz w:val="18"/>
                <w:szCs w:val="18"/>
              </w:rPr>
            </w:pPr>
            <w:r>
              <w:rPr>
                <w:sz w:val="18"/>
                <w:szCs w:val="18"/>
              </w:rPr>
              <w:t>Magnetic Field</w:t>
            </w:r>
          </w:p>
        </w:tc>
        <w:tc>
          <w:tcPr>
            <w:tcW w:w="2494" w:type="dxa"/>
            <w:vAlign w:val="center"/>
          </w:tcPr>
          <w:p>
            <w:pPr>
              <w:widowControl/>
              <w:ind w:firstLine="360"/>
              <w:jc w:val="left"/>
              <w:rPr>
                <w:sz w:val="18"/>
                <w:szCs w:val="18"/>
              </w:rPr>
            </w:pPr>
          </w:p>
        </w:tc>
        <w:tc>
          <w:tcPr>
            <w:tcW w:w="2495" w:type="dxa"/>
            <w:vAlign w:val="center"/>
          </w:tcPr>
          <w:p>
            <w:pPr>
              <w:widowControl/>
              <w:ind w:firstLine="360"/>
              <w:jc w:val="left"/>
              <w:rPr>
                <w:sz w:val="18"/>
                <w:szCs w:val="18"/>
              </w:rPr>
            </w:pPr>
          </w:p>
        </w:tc>
        <w:tc>
          <w:tcPr>
            <w:tcW w:w="2494" w:type="dxa"/>
            <w:vAlign w:val="center"/>
          </w:tcPr>
          <w:p>
            <w:pPr>
              <w:widowControl/>
              <w:ind w:firstLine="360"/>
              <w:jc w:val="left"/>
              <w:rPr>
                <w:sz w:val="18"/>
                <w:szCs w:val="18"/>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90" w:firstLineChars="50"/>
              <w:jc w:val="left"/>
              <w:rPr>
                <w:b/>
                <w:bCs/>
                <w:sz w:val="18"/>
                <w:szCs w:val="18"/>
              </w:rPr>
            </w:pPr>
            <w:r>
              <w:rPr>
                <w:sz w:val="18"/>
                <w:szCs w:val="18"/>
              </w:rPr>
              <w:t>1.5T</w:t>
            </w:r>
          </w:p>
        </w:tc>
        <w:tc>
          <w:tcPr>
            <w:tcW w:w="2494" w:type="dxa"/>
            <w:vAlign w:val="center"/>
          </w:tcPr>
          <w:p>
            <w:pPr>
              <w:widowControl/>
              <w:ind w:firstLine="360"/>
              <w:jc w:val="left"/>
              <w:rPr>
                <w:sz w:val="18"/>
                <w:szCs w:val="18"/>
              </w:rPr>
            </w:pPr>
            <w:r>
              <w:rPr>
                <w:sz w:val="18"/>
                <w:szCs w:val="18"/>
              </w:rPr>
              <w:t>254 (15.1%)</w:t>
            </w:r>
          </w:p>
        </w:tc>
        <w:tc>
          <w:tcPr>
            <w:tcW w:w="2495" w:type="dxa"/>
            <w:vAlign w:val="center"/>
          </w:tcPr>
          <w:p>
            <w:pPr>
              <w:widowControl/>
              <w:ind w:firstLine="360"/>
              <w:jc w:val="left"/>
              <w:rPr>
                <w:sz w:val="18"/>
                <w:szCs w:val="18"/>
              </w:rPr>
            </w:pPr>
            <w:r>
              <w:rPr>
                <w:sz w:val="18"/>
                <w:szCs w:val="18"/>
              </w:rPr>
              <w:t>36 (17.0%)</w:t>
            </w:r>
          </w:p>
        </w:tc>
        <w:tc>
          <w:tcPr>
            <w:tcW w:w="2494" w:type="dxa"/>
            <w:vAlign w:val="center"/>
          </w:tcPr>
          <w:p>
            <w:pPr>
              <w:widowControl/>
              <w:ind w:firstLine="360"/>
              <w:jc w:val="left"/>
              <w:rPr>
                <w:sz w:val="18"/>
                <w:szCs w:val="18"/>
              </w:rPr>
            </w:pPr>
            <w:r>
              <w:rPr>
                <w:sz w:val="18"/>
                <w:szCs w:val="18"/>
              </w:rPr>
              <w:t>26 (12.3%)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90" w:firstLineChars="50"/>
              <w:jc w:val="left"/>
              <w:rPr>
                <w:b/>
                <w:bCs/>
                <w:sz w:val="18"/>
                <w:szCs w:val="18"/>
              </w:rPr>
            </w:pPr>
            <w:r>
              <w:rPr>
                <w:sz w:val="18"/>
                <w:szCs w:val="18"/>
              </w:rPr>
              <w:t>3.0T</w:t>
            </w:r>
          </w:p>
        </w:tc>
        <w:tc>
          <w:tcPr>
            <w:tcW w:w="2494" w:type="dxa"/>
            <w:vAlign w:val="center"/>
          </w:tcPr>
          <w:p>
            <w:pPr>
              <w:widowControl/>
              <w:ind w:firstLine="360"/>
              <w:jc w:val="left"/>
              <w:rPr>
                <w:sz w:val="18"/>
                <w:szCs w:val="18"/>
              </w:rPr>
            </w:pPr>
            <w:r>
              <w:rPr>
                <w:sz w:val="18"/>
                <w:szCs w:val="18"/>
              </w:rPr>
              <w:t>1427 (84.9%)</w:t>
            </w:r>
          </w:p>
        </w:tc>
        <w:tc>
          <w:tcPr>
            <w:tcW w:w="2495" w:type="dxa"/>
            <w:vAlign w:val="center"/>
          </w:tcPr>
          <w:p>
            <w:pPr>
              <w:widowControl/>
              <w:ind w:firstLine="360"/>
              <w:jc w:val="left"/>
              <w:rPr>
                <w:sz w:val="18"/>
                <w:szCs w:val="18"/>
              </w:rPr>
            </w:pPr>
            <w:r>
              <w:rPr>
                <w:sz w:val="18"/>
                <w:szCs w:val="18"/>
              </w:rPr>
              <w:t>176 (83.0%)</w:t>
            </w:r>
          </w:p>
        </w:tc>
        <w:tc>
          <w:tcPr>
            <w:tcW w:w="2494" w:type="dxa"/>
            <w:vAlign w:val="center"/>
          </w:tcPr>
          <w:p>
            <w:pPr>
              <w:widowControl/>
              <w:ind w:firstLine="360"/>
              <w:jc w:val="left"/>
              <w:rPr>
                <w:sz w:val="18"/>
                <w:szCs w:val="18"/>
              </w:rPr>
            </w:pPr>
            <w:r>
              <w:rPr>
                <w:sz w:val="18"/>
                <w:szCs w:val="18"/>
              </w:rPr>
              <w:t>186 (87.7%)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sz w:val="18"/>
                <w:szCs w:val="18"/>
              </w:rPr>
            </w:pPr>
            <w:r>
              <w:rPr>
                <w:sz w:val="18"/>
                <w:szCs w:val="18"/>
              </w:rPr>
              <w:t>B value (s/mm</w:t>
            </w:r>
            <w:r>
              <w:rPr>
                <w:sz w:val="18"/>
                <w:szCs w:val="18"/>
                <w:vertAlign w:val="superscript"/>
              </w:rPr>
              <w:t>2</w:t>
            </w:r>
            <w:r>
              <w:rPr>
                <w:sz w:val="18"/>
                <w:szCs w:val="18"/>
              </w:rPr>
              <w:t>)</w:t>
            </w:r>
          </w:p>
        </w:tc>
        <w:tc>
          <w:tcPr>
            <w:tcW w:w="2494" w:type="dxa"/>
            <w:vAlign w:val="center"/>
          </w:tcPr>
          <w:p>
            <w:pPr>
              <w:widowControl/>
              <w:ind w:firstLine="360"/>
              <w:jc w:val="left"/>
              <w:rPr>
                <w:sz w:val="18"/>
                <w:szCs w:val="18"/>
              </w:rPr>
            </w:pPr>
            <w:r>
              <w:rPr>
                <w:sz w:val="18"/>
                <w:szCs w:val="18"/>
              </w:rPr>
              <w:t>1400 [1400, 1400]</w:t>
            </w:r>
          </w:p>
        </w:tc>
        <w:tc>
          <w:tcPr>
            <w:tcW w:w="2495" w:type="dxa"/>
            <w:vAlign w:val="center"/>
          </w:tcPr>
          <w:p>
            <w:pPr>
              <w:widowControl/>
              <w:ind w:firstLine="360"/>
              <w:jc w:val="left"/>
              <w:rPr>
                <w:sz w:val="18"/>
                <w:szCs w:val="18"/>
              </w:rPr>
            </w:pPr>
            <w:r>
              <w:rPr>
                <w:sz w:val="18"/>
                <w:szCs w:val="18"/>
              </w:rPr>
              <w:t>1400 [1400, 1400]</w:t>
            </w:r>
          </w:p>
        </w:tc>
        <w:tc>
          <w:tcPr>
            <w:tcW w:w="2494" w:type="dxa"/>
            <w:vAlign w:val="center"/>
          </w:tcPr>
          <w:p>
            <w:pPr>
              <w:widowControl/>
              <w:ind w:firstLine="360"/>
              <w:jc w:val="left"/>
              <w:rPr>
                <w:sz w:val="18"/>
                <w:szCs w:val="18"/>
              </w:rPr>
            </w:pPr>
            <w:r>
              <w:rPr>
                <w:sz w:val="18"/>
                <w:szCs w:val="18"/>
              </w:rPr>
              <w:t>1400 [1400, 1400]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sz w:val="18"/>
                <w:szCs w:val="18"/>
              </w:rPr>
            </w:pPr>
            <w:r>
              <w:rPr>
                <w:sz w:val="18"/>
                <w:szCs w:val="18"/>
              </w:rPr>
              <w:t>Slice Thickness, mm</w:t>
            </w:r>
          </w:p>
        </w:tc>
        <w:tc>
          <w:tcPr>
            <w:tcW w:w="2494" w:type="dxa"/>
            <w:vAlign w:val="center"/>
          </w:tcPr>
          <w:p>
            <w:pPr>
              <w:widowControl/>
              <w:ind w:firstLine="360"/>
              <w:jc w:val="left"/>
              <w:rPr>
                <w:sz w:val="18"/>
                <w:szCs w:val="18"/>
              </w:rPr>
            </w:pPr>
            <w:r>
              <w:rPr>
                <w:sz w:val="18"/>
                <w:szCs w:val="18"/>
              </w:rPr>
              <w:t>4.00 [4.00, 4.00]</w:t>
            </w:r>
          </w:p>
        </w:tc>
        <w:tc>
          <w:tcPr>
            <w:tcW w:w="2495" w:type="dxa"/>
            <w:vAlign w:val="center"/>
          </w:tcPr>
          <w:p>
            <w:pPr>
              <w:widowControl/>
              <w:ind w:firstLine="360"/>
              <w:jc w:val="left"/>
              <w:rPr>
                <w:sz w:val="18"/>
                <w:szCs w:val="18"/>
              </w:rPr>
            </w:pPr>
            <w:r>
              <w:rPr>
                <w:sz w:val="18"/>
                <w:szCs w:val="18"/>
              </w:rPr>
              <w:t>4.00 [4.00, 4.00]</w:t>
            </w:r>
          </w:p>
        </w:tc>
        <w:tc>
          <w:tcPr>
            <w:tcW w:w="2494" w:type="dxa"/>
            <w:vAlign w:val="center"/>
          </w:tcPr>
          <w:p>
            <w:pPr>
              <w:widowControl/>
              <w:ind w:firstLine="360"/>
              <w:jc w:val="left"/>
              <w:rPr>
                <w:sz w:val="18"/>
                <w:szCs w:val="18"/>
              </w:rPr>
            </w:pPr>
            <w:r>
              <w:rPr>
                <w:sz w:val="18"/>
                <w:szCs w:val="18"/>
              </w:rPr>
              <w:t>4.00 [4.00, 4.00]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sz w:val="18"/>
                <w:szCs w:val="18"/>
              </w:rPr>
            </w:pPr>
            <w:r>
              <w:rPr>
                <w:sz w:val="18"/>
                <w:szCs w:val="18"/>
              </w:rPr>
              <w:t>Slice Spacing, mm</w:t>
            </w:r>
          </w:p>
        </w:tc>
        <w:tc>
          <w:tcPr>
            <w:tcW w:w="2494" w:type="dxa"/>
            <w:vAlign w:val="center"/>
          </w:tcPr>
          <w:p>
            <w:pPr>
              <w:widowControl/>
              <w:ind w:firstLine="360"/>
              <w:jc w:val="left"/>
              <w:rPr>
                <w:sz w:val="18"/>
                <w:szCs w:val="18"/>
              </w:rPr>
            </w:pPr>
            <w:r>
              <w:rPr>
                <w:sz w:val="18"/>
                <w:szCs w:val="18"/>
              </w:rPr>
              <w:t>4.00 [4.00, 4.50]</w:t>
            </w:r>
          </w:p>
        </w:tc>
        <w:tc>
          <w:tcPr>
            <w:tcW w:w="2495" w:type="dxa"/>
            <w:vAlign w:val="center"/>
          </w:tcPr>
          <w:p>
            <w:pPr>
              <w:widowControl/>
              <w:ind w:firstLine="360"/>
              <w:jc w:val="left"/>
              <w:rPr>
                <w:sz w:val="18"/>
                <w:szCs w:val="18"/>
              </w:rPr>
            </w:pPr>
            <w:r>
              <w:rPr>
                <w:sz w:val="18"/>
                <w:szCs w:val="18"/>
              </w:rPr>
              <w:t>4.00 [4.00, 4.50]</w:t>
            </w:r>
          </w:p>
        </w:tc>
        <w:tc>
          <w:tcPr>
            <w:tcW w:w="2494" w:type="dxa"/>
            <w:vAlign w:val="center"/>
          </w:tcPr>
          <w:p>
            <w:pPr>
              <w:widowControl/>
              <w:ind w:firstLine="360"/>
              <w:jc w:val="left"/>
              <w:rPr>
                <w:sz w:val="18"/>
                <w:szCs w:val="18"/>
              </w:rPr>
            </w:pPr>
            <w:r>
              <w:rPr>
                <w:sz w:val="18"/>
                <w:szCs w:val="18"/>
              </w:rPr>
              <w:t>4.00 [4.00, 4.50]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282" w:hRule="atLeast"/>
          <w:jc w:val="center"/>
        </w:trPr>
        <w:tc>
          <w:tcPr>
            <w:tcW w:w="2935" w:type="dxa"/>
            <w:vAlign w:val="center"/>
          </w:tcPr>
          <w:p>
            <w:pPr>
              <w:widowControl/>
              <w:ind w:firstLine="360"/>
              <w:jc w:val="left"/>
              <w:rPr>
                <w:sz w:val="18"/>
                <w:szCs w:val="18"/>
              </w:rPr>
            </w:pPr>
            <w:r>
              <w:rPr>
                <w:sz w:val="18"/>
                <w:szCs w:val="18"/>
              </w:rPr>
              <w:t>Repetition Time, ms</w:t>
            </w:r>
          </w:p>
        </w:tc>
        <w:tc>
          <w:tcPr>
            <w:tcW w:w="2494" w:type="dxa"/>
            <w:vAlign w:val="center"/>
          </w:tcPr>
          <w:p>
            <w:pPr>
              <w:widowControl/>
              <w:ind w:firstLine="360"/>
              <w:jc w:val="left"/>
              <w:rPr>
                <w:sz w:val="18"/>
                <w:szCs w:val="18"/>
              </w:rPr>
            </w:pPr>
            <w:r>
              <w:rPr>
                <w:sz w:val="18"/>
                <w:szCs w:val="18"/>
              </w:rPr>
              <w:t>3000 [2640, 4380]</w:t>
            </w:r>
          </w:p>
        </w:tc>
        <w:tc>
          <w:tcPr>
            <w:tcW w:w="2495" w:type="dxa"/>
            <w:vAlign w:val="center"/>
          </w:tcPr>
          <w:p>
            <w:pPr>
              <w:widowControl/>
              <w:ind w:firstLine="360"/>
              <w:jc w:val="left"/>
              <w:rPr>
                <w:sz w:val="18"/>
                <w:szCs w:val="18"/>
              </w:rPr>
            </w:pPr>
            <w:r>
              <w:rPr>
                <w:sz w:val="18"/>
                <w:szCs w:val="18"/>
              </w:rPr>
              <w:t>2930 [2640, 4110]</w:t>
            </w:r>
          </w:p>
        </w:tc>
        <w:tc>
          <w:tcPr>
            <w:tcW w:w="2494" w:type="dxa"/>
            <w:vAlign w:val="center"/>
          </w:tcPr>
          <w:p>
            <w:pPr>
              <w:widowControl/>
              <w:ind w:firstLine="360"/>
              <w:jc w:val="left"/>
              <w:rPr>
                <w:sz w:val="18"/>
                <w:szCs w:val="18"/>
              </w:rPr>
            </w:pPr>
            <w:r>
              <w:rPr>
                <w:sz w:val="18"/>
                <w:szCs w:val="18"/>
              </w:rPr>
              <w:t>2910 [2640, 4130]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sz w:val="18"/>
                <w:szCs w:val="18"/>
              </w:rPr>
            </w:pPr>
            <w:r>
              <w:rPr>
                <w:sz w:val="18"/>
                <w:szCs w:val="18"/>
              </w:rPr>
              <w:t>Echo Time, ms</w:t>
            </w:r>
          </w:p>
        </w:tc>
        <w:tc>
          <w:tcPr>
            <w:tcW w:w="2494" w:type="dxa"/>
            <w:vAlign w:val="center"/>
          </w:tcPr>
          <w:p>
            <w:pPr>
              <w:widowControl/>
              <w:ind w:firstLine="360"/>
              <w:jc w:val="left"/>
              <w:rPr>
                <w:sz w:val="18"/>
                <w:szCs w:val="18"/>
              </w:rPr>
            </w:pPr>
            <w:r>
              <w:rPr>
                <w:sz w:val="18"/>
                <w:szCs w:val="18"/>
              </w:rPr>
              <w:t>61.3 [59.7, 63.8]</w:t>
            </w:r>
          </w:p>
        </w:tc>
        <w:tc>
          <w:tcPr>
            <w:tcW w:w="2495" w:type="dxa"/>
            <w:vAlign w:val="center"/>
          </w:tcPr>
          <w:p>
            <w:pPr>
              <w:widowControl/>
              <w:ind w:firstLine="360"/>
              <w:jc w:val="left"/>
              <w:rPr>
                <w:sz w:val="18"/>
                <w:szCs w:val="18"/>
              </w:rPr>
            </w:pPr>
            <w:r>
              <w:rPr>
                <w:sz w:val="18"/>
                <w:szCs w:val="18"/>
              </w:rPr>
              <w:t>61.2 [60.0, 63.7]</w:t>
            </w:r>
          </w:p>
        </w:tc>
        <w:tc>
          <w:tcPr>
            <w:tcW w:w="2494" w:type="dxa"/>
            <w:vAlign w:val="center"/>
          </w:tcPr>
          <w:p>
            <w:pPr>
              <w:widowControl/>
              <w:ind w:firstLine="360"/>
              <w:jc w:val="left"/>
              <w:rPr>
                <w:sz w:val="18"/>
                <w:szCs w:val="18"/>
              </w:rPr>
            </w:pPr>
            <w:r>
              <w:rPr>
                <w:sz w:val="18"/>
                <w:szCs w:val="18"/>
              </w:rPr>
              <w:t>61.3 [59.7, 63.5]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565" w:hRule="atLeast"/>
          <w:jc w:val="center"/>
        </w:trPr>
        <w:tc>
          <w:tcPr>
            <w:tcW w:w="2935" w:type="dxa"/>
          </w:tcPr>
          <w:p>
            <w:pPr>
              <w:widowControl/>
              <w:ind w:firstLine="360"/>
              <w:jc w:val="left"/>
              <w:rPr>
                <w:sz w:val="18"/>
                <w:szCs w:val="18"/>
              </w:rPr>
            </w:pPr>
            <w:r>
              <w:rPr>
                <w:sz w:val="18"/>
                <w:szCs w:val="18"/>
                <w:shd w:val="clear" w:color="auto" w:fill="FFFFFF" w:themeFill="background1"/>
              </w:rPr>
              <w:t>Field of View</w:t>
            </w:r>
            <w:r>
              <w:rPr>
                <w:rFonts w:eastAsia="Arial"/>
                <w:sz w:val="18"/>
                <w:szCs w:val="18"/>
                <w:shd w:val="clear" w:color="auto" w:fill="FFFFFF" w:themeFill="background1"/>
              </w:rPr>
              <w:t xml:space="preserve">, </w:t>
            </w:r>
            <w:r>
              <w:rPr>
                <w:sz w:val="18"/>
                <w:szCs w:val="18"/>
                <w:shd w:val="clear" w:color="auto" w:fill="FFFFFF" w:themeFill="background1"/>
              </w:rPr>
              <w:t>mm</w:t>
            </w:r>
          </w:p>
        </w:tc>
        <w:tc>
          <w:tcPr>
            <w:tcW w:w="2494" w:type="dxa"/>
            <w:vAlign w:val="center"/>
          </w:tcPr>
          <w:p>
            <w:pPr>
              <w:widowControl/>
              <w:ind w:firstLine="360"/>
              <w:jc w:val="left"/>
              <w:rPr>
                <w:sz w:val="18"/>
                <w:szCs w:val="18"/>
              </w:rPr>
            </w:pPr>
            <w:r>
              <w:rPr>
                <w:rFonts w:eastAsia="等线"/>
                <w:sz w:val="18"/>
                <w:szCs w:val="18"/>
                <w:shd w:val="clear" w:color="auto" w:fill="FFFFFF" w:themeFill="background1"/>
              </w:rPr>
              <w:t>240 [220, 250]</w:t>
            </w:r>
          </w:p>
        </w:tc>
        <w:tc>
          <w:tcPr>
            <w:tcW w:w="2495" w:type="dxa"/>
            <w:vAlign w:val="center"/>
          </w:tcPr>
          <w:p>
            <w:pPr>
              <w:widowControl/>
              <w:ind w:firstLine="360"/>
              <w:jc w:val="left"/>
              <w:rPr>
                <w:sz w:val="18"/>
                <w:szCs w:val="18"/>
              </w:rPr>
            </w:pPr>
            <w:r>
              <w:rPr>
                <w:rFonts w:eastAsia="等线"/>
                <w:sz w:val="18"/>
                <w:szCs w:val="18"/>
                <w:shd w:val="clear" w:color="auto" w:fill="FFFFFF" w:themeFill="background1"/>
              </w:rPr>
              <w:t>240 [220, 250]</w:t>
            </w:r>
          </w:p>
        </w:tc>
        <w:tc>
          <w:tcPr>
            <w:tcW w:w="2494" w:type="dxa"/>
            <w:vAlign w:val="center"/>
          </w:tcPr>
          <w:p>
            <w:pPr>
              <w:widowControl/>
              <w:ind w:firstLine="360"/>
              <w:jc w:val="left"/>
              <w:rPr>
                <w:sz w:val="18"/>
                <w:szCs w:val="18"/>
              </w:rPr>
            </w:pPr>
            <w:r>
              <w:rPr>
                <w:rFonts w:eastAsia="等线"/>
                <w:sz w:val="18"/>
                <w:szCs w:val="18"/>
                <w:shd w:val="clear" w:color="auto" w:fill="FFFFFF" w:themeFill="background1"/>
              </w:rPr>
              <w:t>240 [220, 250]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tcPr>
          <w:p>
            <w:pPr>
              <w:widowControl/>
              <w:ind w:firstLine="360"/>
              <w:jc w:val="left"/>
              <w:rPr>
                <w:sz w:val="18"/>
                <w:szCs w:val="18"/>
              </w:rPr>
            </w:pPr>
            <w:r>
              <w:rPr>
                <w:sz w:val="18"/>
                <w:szCs w:val="18"/>
                <w:shd w:val="clear" w:color="auto" w:fill="FFFFFF" w:themeFill="background1"/>
              </w:rPr>
              <w:t>Flip Angle</w:t>
            </w:r>
          </w:p>
        </w:tc>
        <w:tc>
          <w:tcPr>
            <w:tcW w:w="2494" w:type="dxa"/>
            <w:vAlign w:val="center"/>
          </w:tcPr>
          <w:p>
            <w:pPr>
              <w:widowControl/>
              <w:ind w:firstLine="360"/>
              <w:jc w:val="left"/>
              <w:rPr>
                <w:sz w:val="18"/>
                <w:szCs w:val="18"/>
              </w:rPr>
            </w:pPr>
            <w:r>
              <w:rPr>
                <w:rFonts w:eastAsia="等线"/>
                <w:sz w:val="18"/>
                <w:szCs w:val="18"/>
                <w:shd w:val="clear" w:color="auto" w:fill="FFFFFF" w:themeFill="background1"/>
              </w:rPr>
              <w:t>90 [90, 90]</w:t>
            </w:r>
          </w:p>
        </w:tc>
        <w:tc>
          <w:tcPr>
            <w:tcW w:w="2495" w:type="dxa"/>
            <w:vAlign w:val="center"/>
          </w:tcPr>
          <w:p>
            <w:pPr>
              <w:widowControl/>
              <w:ind w:firstLine="360"/>
              <w:jc w:val="left"/>
              <w:rPr>
                <w:sz w:val="18"/>
                <w:szCs w:val="18"/>
              </w:rPr>
            </w:pPr>
            <w:r>
              <w:rPr>
                <w:rFonts w:eastAsia="等线"/>
                <w:sz w:val="18"/>
                <w:szCs w:val="18"/>
                <w:shd w:val="clear" w:color="auto" w:fill="FFFFFF" w:themeFill="background1"/>
              </w:rPr>
              <w:t>90 [90, 90]</w:t>
            </w:r>
          </w:p>
        </w:tc>
        <w:tc>
          <w:tcPr>
            <w:tcW w:w="2494" w:type="dxa"/>
            <w:vAlign w:val="center"/>
          </w:tcPr>
          <w:p>
            <w:pPr>
              <w:widowControl/>
              <w:ind w:firstLine="360"/>
              <w:jc w:val="left"/>
              <w:rPr>
                <w:sz w:val="18"/>
                <w:szCs w:val="18"/>
              </w:rPr>
            </w:pPr>
            <w:r>
              <w:rPr>
                <w:rFonts w:eastAsia="等线"/>
                <w:sz w:val="18"/>
                <w:szCs w:val="18"/>
                <w:shd w:val="clear" w:color="auto" w:fill="FFFFFF" w:themeFill="background1"/>
              </w:rPr>
              <w:t>90 [90, 90]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tcPr>
          <w:p>
            <w:pPr>
              <w:widowControl/>
              <w:ind w:firstLine="361"/>
              <w:jc w:val="left"/>
              <w:rPr>
                <w:b/>
                <w:bCs/>
                <w:sz w:val="18"/>
                <w:szCs w:val="18"/>
                <w:shd w:val="clear" w:color="auto" w:fill="FFFFFF" w:themeFill="background1"/>
              </w:rPr>
            </w:pPr>
            <w:r>
              <w:rPr>
                <w:rFonts w:hint="eastAsia"/>
                <w:b/>
                <w:bCs/>
                <w:sz w:val="18"/>
                <w:szCs w:val="18"/>
                <w:shd w:val="clear" w:color="auto" w:fill="FFFFFF" w:themeFill="background1"/>
              </w:rPr>
              <w:t>T</w:t>
            </w:r>
            <w:r>
              <w:rPr>
                <w:b/>
                <w:bCs/>
                <w:sz w:val="18"/>
                <w:szCs w:val="18"/>
                <w:shd w:val="clear" w:color="auto" w:fill="FFFFFF" w:themeFill="background1"/>
              </w:rPr>
              <w:t>2WI</w:t>
            </w:r>
          </w:p>
        </w:tc>
        <w:tc>
          <w:tcPr>
            <w:tcW w:w="2494" w:type="dxa"/>
            <w:vAlign w:val="center"/>
          </w:tcPr>
          <w:p>
            <w:pPr>
              <w:widowControl/>
              <w:ind w:firstLine="360"/>
              <w:jc w:val="left"/>
              <w:rPr>
                <w:rFonts w:eastAsia="等线"/>
                <w:sz w:val="18"/>
                <w:szCs w:val="18"/>
                <w:shd w:val="clear" w:color="auto" w:fill="FFFFFF" w:themeFill="background1"/>
              </w:rPr>
            </w:pPr>
          </w:p>
        </w:tc>
        <w:tc>
          <w:tcPr>
            <w:tcW w:w="2495" w:type="dxa"/>
            <w:vAlign w:val="center"/>
          </w:tcPr>
          <w:p>
            <w:pPr>
              <w:widowControl/>
              <w:ind w:firstLine="360"/>
              <w:jc w:val="left"/>
              <w:rPr>
                <w:rFonts w:eastAsia="等线"/>
                <w:sz w:val="18"/>
                <w:szCs w:val="18"/>
                <w:shd w:val="clear" w:color="auto" w:fill="FFFFFF" w:themeFill="background1"/>
              </w:rPr>
            </w:pPr>
          </w:p>
        </w:tc>
        <w:tc>
          <w:tcPr>
            <w:tcW w:w="2494" w:type="dxa"/>
            <w:vAlign w:val="center"/>
          </w:tcPr>
          <w:p>
            <w:pPr>
              <w:widowControl/>
              <w:ind w:firstLine="360"/>
              <w:jc w:val="left"/>
              <w:rPr>
                <w:rFonts w:eastAsia="等线"/>
                <w:sz w:val="18"/>
                <w:szCs w:val="18"/>
                <w:shd w:val="clear" w:color="auto" w:fill="FFFFFF" w:themeFill="background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b/>
                <w:bCs/>
                <w:sz w:val="18"/>
                <w:szCs w:val="18"/>
                <w:shd w:val="clear" w:color="auto" w:fill="FFFFFF" w:themeFill="background1"/>
              </w:rPr>
            </w:pPr>
            <w:r>
              <w:rPr>
                <w:rFonts w:eastAsia="Arial"/>
                <w:sz w:val="18"/>
                <w:szCs w:val="18"/>
                <w:shd w:val="clear" w:color="auto" w:fill="FFFFFF" w:themeFill="background1"/>
                <w:lang w:eastAsia="en-US"/>
              </w:rPr>
              <w:t>Slice Thickness, mm</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5"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b/>
                <w:bCs/>
                <w:sz w:val="18"/>
                <w:szCs w:val="18"/>
                <w:shd w:val="clear" w:color="auto" w:fill="FFFFFF" w:themeFill="background1"/>
              </w:rPr>
            </w:pPr>
            <w:r>
              <w:rPr>
                <w:rFonts w:eastAsia="Arial"/>
                <w:sz w:val="18"/>
                <w:szCs w:val="18"/>
                <w:shd w:val="clear" w:color="auto" w:fill="FFFFFF" w:themeFill="background1"/>
                <w:lang w:eastAsia="en-US"/>
              </w:rPr>
              <w:t>Slice Spacing, mm</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5"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b/>
                <w:bCs/>
                <w:sz w:val="18"/>
                <w:szCs w:val="18"/>
                <w:shd w:val="clear" w:color="auto" w:fill="FFFFFF" w:themeFill="background1"/>
              </w:rPr>
            </w:pPr>
            <w:r>
              <w:rPr>
                <w:rFonts w:eastAsia="等线"/>
                <w:sz w:val="18"/>
                <w:szCs w:val="18"/>
                <w:lang w:eastAsia="en-US"/>
              </w:rPr>
              <w:t>Repetition Time</w:t>
            </w:r>
            <w:r>
              <w:rPr>
                <w:sz w:val="18"/>
                <w:szCs w:val="18"/>
                <w:lang w:eastAsia="en-US"/>
              </w:rPr>
              <w:t>,</w:t>
            </w:r>
            <w:r>
              <w:rPr>
                <w:rFonts w:eastAsia="等线"/>
                <w:sz w:val="18"/>
                <w:szCs w:val="18"/>
                <w:lang w:eastAsia="en-US"/>
              </w:rPr>
              <w:t xml:space="preserve"> ms</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5"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vAlign w:val="center"/>
          </w:tcPr>
          <w:p>
            <w:pPr>
              <w:widowControl/>
              <w:ind w:firstLine="360"/>
              <w:jc w:val="left"/>
              <w:rPr>
                <w:b/>
                <w:bCs/>
                <w:sz w:val="18"/>
                <w:szCs w:val="18"/>
                <w:shd w:val="clear" w:color="auto" w:fill="FFFFFF" w:themeFill="background1"/>
              </w:rPr>
            </w:pPr>
            <w:r>
              <w:rPr>
                <w:rFonts w:eastAsia="等线"/>
                <w:sz w:val="18"/>
                <w:szCs w:val="18"/>
                <w:lang w:eastAsia="en-US"/>
              </w:rPr>
              <w:t>Echo Time</w:t>
            </w:r>
            <w:r>
              <w:rPr>
                <w:sz w:val="18"/>
                <w:szCs w:val="18"/>
                <w:lang w:eastAsia="en-US"/>
              </w:rPr>
              <w:t>,</w:t>
            </w:r>
            <w:r>
              <w:rPr>
                <w:rFonts w:eastAsia="等线"/>
                <w:sz w:val="18"/>
                <w:szCs w:val="18"/>
                <w:lang w:eastAsia="en-US"/>
              </w:rPr>
              <w:t xml:space="preserve"> ms</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5"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tcPr>
          <w:p>
            <w:pPr>
              <w:widowControl/>
              <w:ind w:firstLine="360"/>
              <w:jc w:val="left"/>
              <w:rPr>
                <w:b/>
                <w:bCs/>
                <w:sz w:val="18"/>
                <w:szCs w:val="18"/>
                <w:shd w:val="clear" w:color="auto" w:fill="FFFFFF" w:themeFill="background1"/>
              </w:rPr>
            </w:pPr>
            <w:r>
              <w:rPr>
                <w:sz w:val="18"/>
                <w:szCs w:val="18"/>
                <w:shd w:val="clear" w:color="auto" w:fill="FFFFFF" w:themeFill="background1"/>
                <w:lang w:eastAsia="en-US"/>
              </w:rPr>
              <w:t>Field of View</w:t>
            </w:r>
            <w:r>
              <w:rPr>
                <w:rFonts w:eastAsia="Arial"/>
                <w:sz w:val="18"/>
                <w:szCs w:val="18"/>
                <w:shd w:val="clear" w:color="auto" w:fill="FFFFFF" w:themeFill="background1"/>
                <w:lang w:eastAsia="en-US"/>
              </w:rPr>
              <w:t xml:space="preserve">, </w:t>
            </w:r>
            <w:r>
              <w:rPr>
                <w:sz w:val="18"/>
                <w:szCs w:val="18"/>
                <w:shd w:val="clear" w:color="auto" w:fill="FFFFFF" w:themeFill="background1"/>
                <w:lang w:eastAsia="en-US"/>
              </w:rPr>
              <w:t>mm</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5"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2935" w:type="dxa"/>
          </w:tcPr>
          <w:p>
            <w:pPr>
              <w:widowControl/>
              <w:ind w:firstLine="360"/>
              <w:jc w:val="left"/>
              <w:rPr>
                <w:sz w:val="18"/>
                <w:szCs w:val="18"/>
                <w:shd w:val="clear" w:color="auto" w:fill="FFFFFF" w:themeFill="background1"/>
                <w:lang w:eastAsia="en-US"/>
              </w:rPr>
            </w:pPr>
            <w:r>
              <w:rPr>
                <w:sz w:val="18"/>
                <w:szCs w:val="18"/>
                <w:shd w:val="clear" w:color="auto" w:fill="FFFFFF" w:themeFill="background1"/>
                <w:lang w:eastAsia="en-US"/>
              </w:rPr>
              <w:t>Flip Angle</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5"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c>
          <w:tcPr>
            <w:tcW w:w="2494" w:type="dxa"/>
            <w:vAlign w:val="center"/>
          </w:tcPr>
          <w:p>
            <w:pPr>
              <w:widowControl/>
              <w:ind w:firstLine="360"/>
              <w:jc w:val="left"/>
              <w:rPr>
                <w:rFonts w:eastAsia="等线"/>
                <w:sz w:val="18"/>
                <w:szCs w:val="18"/>
                <w:shd w:val="clear" w:color="auto" w:fill="FFFFFF" w:themeFill="background1"/>
              </w:rPr>
            </w:pPr>
            <w:r>
              <w:rPr>
                <w:rFonts w:hint="eastAsia" w:eastAsia="等线"/>
                <w:sz w:val="18"/>
                <w:szCs w:val="18"/>
                <w:shd w:val="clear" w:color="auto" w:fill="FFFFFF" w:themeFill="background1"/>
              </w:rPr>
              <w:t>-</w:t>
            </w:r>
          </w:p>
        </w:tc>
      </w:tr>
    </w:tbl>
    <w:p>
      <w:pPr>
        <w:ind w:firstLine="420"/>
        <w:rPr>
          <w:rFonts w:ascii="Calibri" w:hAnsi="Calibri" w:eastAsia="宋体"/>
          <w:sz w:val="21"/>
          <w:szCs w:val="21"/>
        </w:rPr>
      </w:pPr>
    </w:p>
    <w:p>
      <w:pPr>
        <w:widowControl/>
        <w:ind w:firstLine="0" w:firstLineChars="0"/>
        <w:jc w:val="left"/>
      </w:pPr>
    </w:p>
    <w:p>
      <w:pPr>
        <w:pStyle w:val="7"/>
        <w:ind w:firstLine="0" w:firstLineChars="0"/>
        <w:jc w:val="center"/>
        <w:rPr>
          <w:sz w:val="20"/>
          <w:szCs w:val="20"/>
        </w:rPr>
      </w:pPr>
      <w:r>
        <w:rPr>
          <w:b/>
        </w:rPr>
        <w:t xml:space="preserve">Table S12 </w:t>
      </w:r>
      <w:r>
        <w:t>Segmentation metrics of the model in the model development dataset</w:t>
      </w:r>
    </w:p>
    <w:tbl>
      <w:tblPr>
        <w:tblStyle w:val="13"/>
        <w:tblW w:w="9382" w:type="dxa"/>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48"/>
        <w:gridCol w:w="1826"/>
        <w:gridCol w:w="2007"/>
        <w:gridCol w:w="2007"/>
        <w:gridCol w:w="1394"/>
      </w:tblGrid>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148" w:type="dxa"/>
            <w:vMerge w:val="restart"/>
            <w:tcBorders>
              <w:top w:val="single" w:color="000000" w:sz="12" w:space="0"/>
              <w:bottom w:val="single" w:color="000000" w:sz="6" w:space="0"/>
            </w:tcBorders>
            <w:shd w:val="clear" w:color="auto" w:fill="FFFFFF"/>
            <w:vAlign w:val="center"/>
          </w:tcPr>
          <w:p>
            <w:pPr>
              <w:shd w:val="clear" w:color="auto" w:fill="FFFFFF"/>
              <w:ind w:firstLine="360"/>
              <w:jc w:val="center"/>
              <w:rPr>
                <w:sz w:val="18"/>
              </w:rPr>
            </w:pPr>
          </w:p>
        </w:tc>
        <w:tc>
          <w:tcPr>
            <w:tcW w:w="1826" w:type="dxa"/>
            <w:tcBorders>
              <w:top w:val="single" w:color="000000" w:sz="12" w:space="0"/>
              <w:bottom w:val="nil"/>
            </w:tcBorders>
            <w:shd w:val="clear" w:color="auto" w:fill="FFFFFF"/>
            <w:vAlign w:val="center"/>
          </w:tcPr>
          <w:p>
            <w:pPr>
              <w:shd w:val="clear" w:color="auto" w:fill="FFFFFF"/>
              <w:ind w:firstLine="361"/>
              <w:rPr>
                <w:b/>
                <w:sz w:val="18"/>
              </w:rPr>
            </w:pPr>
            <w:r>
              <w:rPr>
                <w:b/>
                <w:sz w:val="18"/>
              </w:rPr>
              <w:t>Train</w:t>
            </w:r>
          </w:p>
        </w:tc>
        <w:tc>
          <w:tcPr>
            <w:tcW w:w="2007" w:type="dxa"/>
            <w:tcBorders>
              <w:top w:val="single" w:color="000000" w:sz="12" w:space="0"/>
              <w:bottom w:val="nil"/>
            </w:tcBorders>
            <w:shd w:val="clear" w:color="auto" w:fill="FFFFFF"/>
            <w:vAlign w:val="center"/>
          </w:tcPr>
          <w:p>
            <w:pPr>
              <w:shd w:val="clear" w:color="auto" w:fill="FFFFFF"/>
              <w:ind w:firstLine="361"/>
              <w:rPr>
                <w:b/>
                <w:sz w:val="18"/>
              </w:rPr>
            </w:pPr>
            <w:r>
              <w:rPr>
                <w:b/>
                <w:sz w:val="18"/>
              </w:rPr>
              <w:t>Validate</w:t>
            </w:r>
          </w:p>
        </w:tc>
        <w:tc>
          <w:tcPr>
            <w:tcW w:w="2007" w:type="dxa"/>
            <w:tcBorders>
              <w:top w:val="single" w:color="000000" w:sz="12" w:space="0"/>
              <w:bottom w:val="nil"/>
            </w:tcBorders>
            <w:shd w:val="clear" w:color="auto" w:fill="FFFFFF"/>
            <w:vAlign w:val="center"/>
          </w:tcPr>
          <w:p>
            <w:pPr>
              <w:shd w:val="clear" w:color="auto" w:fill="FFFFFF"/>
              <w:ind w:firstLine="361"/>
              <w:rPr>
                <w:b/>
                <w:sz w:val="18"/>
              </w:rPr>
            </w:pPr>
            <w:r>
              <w:rPr>
                <w:b/>
                <w:sz w:val="18"/>
              </w:rPr>
              <w:t>Test</w:t>
            </w:r>
          </w:p>
        </w:tc>
        <w:tc>
          <w:tcPr>
            <w:tcW w:w="1394" w:type="dxa"/>
            <w:vMerge w:val="restart"/>
            <w:tcBorders>
              <w:top w:val="single" w:color="000000" w:sz="12" w:space="0"/>
              <w:bottom w:val="nil"/>
            </w:tcBorders>
            <w:shd w:val="clear" w:color="auto" w:fill="FFFFFF"/>
            <w:vAlign w:val="center"/>
          </w:tcPr>
          <w:p>
            <w:pPr>
              <w:shd w:val="clear" w:color="auto" w:fill="FFFFFF"/>
              <w:ind w:firstLine="360"/>
              <w:rPr>
                <w:sz w:val="18"/>
              </w:rPr>
            </w:pPr>
            <w:r>
              <w:rPr>
                <w:i/>
                <w:sz w:val="18"/>
              </w:rPr>
              <w:t>P</w:t>
            </w:r>
            <w:r>
              <w:rPr>
                <w:sz w:val="18"/>
              </w:rPr>
              <w:t xml:space="preserve"> value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148" w:type="dxa"/>
            <w:vMerge w:val="continue"/>
            <w:tcBorders>
              <w:top w:val="nil"/>
              <w:bottom w:val="single" w:color="000000" w:sz="6" w:space="0"/>
            </w:tcBorders>
            <w:vAlign w:val="center"/>
          </w:tcPr>
          <w:p>
            <w:pPr>
              <w:widowControl/>
              <w:ind w:firstLine="360"/>
              <w:jc w:val="center"/>
              <w:rPr>
                <w:rFonts w:ascii="Calibri" w:hAnsi="Calibri"/>
                <w:sz w:val="18"/>
              </w:rPr>
            </w:pPr>
          </w:p>
        </w:tc>
        <w:tc>
          <w:tcPr>
            <w:tcW w:w="1826" w:type="dxa"/>
            <w:tcBorders>
              <w:top w:val="nil"/>
              <w:bottom w:val="single" w:color="000000" w:sz="6" w:space="0"/>
            </w:tcBorders>
            <w:shd w:val="clear" w:color="auto" w:fill="FFFFFF"/>
            <w:vAlign w:val="center"/>
          </w:tcPr>
          <w:p>
            <w:pPr>
              <w:shd w:val="clear" w:color="auto" w:fill="FFFFFF"/>
              <w:ind w:firstLine="360"/>
              <w:rPr>
                <w:sz w:val="18"/>
              </w:rPr>
            </w:pPr>
            <w:r>
              <w:rPr>
                <w:sz w:val="18"/>
              </w:rPr>
              <w:t>(N=1681)</w:t>
            </w:r>
          </w:p>
        </w:tc>
        <w:tc>
          <w:tcPr>
            <w:tcW w:w="2007" w:type="dxa"/>
            <w:tcBorders>
              <w:top w:val="nil"/>
              <w:bottom w:val="single" w:color="000000" w:sz="6" w:space="0"/>
            </w:tcBorders>
            <w:shd w:val="clear" w:color="auto" w:fill="FFFFFF"/>
            <w:vAlign w:val="center"/>
          </w:tcPr>
          <w:p>
            <w:pPr>
              <w:shd w:val="clear" w:color="auto" w:fill="FFFFFF"/>
              <w:ind w:firstLine="360"/>
              <w:rPr>
                <w:sz w:val="18"/>
              </w:rPr>
            </w:pPr>
            <w:r>
              <w:rPr>
                <w:sz w:val="18"/>
              </w:rPr>
              <w:t>(N=212)</w:t>
            </w:r>
          </w:p>
        </w:tc>
        <w:tc>
          <w:tcPr>
            <w:tcW w:w="2007" w:type="dxa"/>
            <w:tcBorders>
              <w:top w:val="nil"/>
              <w:bottom w:val="single" w:color="000000" w:sz="6" w:space="0"/>
            </w:tcBorders>
            <w:shd w:val="clear" w:color="auto" w:fill="FFFFFF"/>
            <w:vAlign w:val="center"/>
          </w:tcPr>
          <w:p>
            <w:pPr>
              <w:shd w:val="clear" w:color="auto" w:fill="FFFFFF"/>
              <w:ind w:firstLine="360"/>
              <w:rPr>
                <w:sz w:val="18"/>
              </w:rPr>
            </w:pPr>
            <w:r>
              <w:rPr>
                <w:sz w:val="18"/>
              </w:rPr>
              <w:t>(N=212)</w:t>
            </w:r>
          </w:p>
        </w:tc>
        <w:tc>
          <w:tcPr>
            <w:tcW w:w="1394" w:type="dxa"/>
            <w:vMerge w:val="continue"/>
            <w:tcBorders>
              <w:top w:val="nil"/>
              <w:bottom w:val="single" w:color="000000" w:sz="6" w:space="0"/>
            </w:tcBorders>
            <w:vAlign w:val="center"/>
          </w:tcPr>
          <w:p>
            <w:pPr>
              <w:widowControl/>
              <w:ind w:firstLine="360"/>
              <w:jc w:val="center"/>
              <w:rPr>
                <w:rFonts w:ascii="Calibri" w:hAnsi="Calibri"/>
                <w:sz w:val="18"/>
              </w:rPr>
            </w:pP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jc w:val="center"/>
        </w:trPr>
        <w:tc>
          <w:tcPr>
            <w:tcW w:w="2148" w:type="dxa"/>
            <w:tcBorders>
              <w:top w:val="single" w:color="000000" w:sz="6" w:space="0"/>
            </w:tcBorders>
            <w:shd w:val="clear" w:color="auto" w:fill="FFFFFF"/>
            <w:noWrap/>
            <w:vAlign w:val="center"/>
          </w:tcPr>
          <w:p>
            <w:pPr>
              <w:shd w:val="clear" w:color="auto" w:fill="FFFFFF"/>
              <w:ind w:firstLine="361"/>
              <w:rPr>
                <w:b/>
                <w:sz w:val="18"/>
              </w:rPr>
            </w:pPr>
            <w:r>
              <w:rPr>
                <w:b/>
                <w:sz w:val="18"/>
              </w:rPr>
              <w:t>DSC</w:t>
            </w:r>
          </w:p>
        </w:tc>
        <w:tc>
          <w:tcPr>
            <w:tcW w:w="1826" w:type="dxa"/>
            <w:tcBorders>
              <w:top w:val="single" w:color="000000" w:sz="6" w:space="0"/>
            </w:tcBorders>
            <w:shd w:val="clear" w:color="auto" w:fill="FFFFFF"/>
            <w:noWrap/>
            <w:vAlign w:val="center"/>
          </w:tcPr>
          <w:p>
            <w:pPr>
              <w:shd w:val="clear" w:color="auto" w:fill="FFFFFF"/>
              <w:ind w:firstLine="360"/>
              <w:rPr>
                <w:sz w:val="18"/>
              </w:rPr>
            </w:pPr>
            <w:r>
              <w:rPr>
                <w:sz w:val="18"/>
              </w:rPr>
              <w:t>0.93 [0.91, 0.95]</w:t>
            </w:r>
          </w:p>
        </w:tc>
        <w:tc>
          <w:tcPr>
            <w:tcW w:w="2007" w:type="dxa"/>
            <w:tcBorders>
              <w:top w:val="single" w:color="000000" w:sz="6" w:space="0"/>
            </w:tcBorders>
            <w:shd w:val="clear" w:color="auto" w:fill="FFFFFF"/>
            <w:noWrap/>
            <w:vAlign w:val="center"/>
          </w:tcPr>
          <w:p>
            <w:pPr>
              <w:shd w:val="clear" w:color="auto" w:fill="FFFFFF"/>
              <w:ind w:firstLine="360"/>
              <w:rPr>
                <w:sz w:val="18"/>
              </w:rPr>
            </w:pPr>
            <w:r>
              <w:rPr>
                <w:sz w:val="18"/>
              </w:rPr>
              <w:t>0.81 [0.70, 0.87]</w:t>
            </w:r>
          </w:p>
        </w:tc>
        <w:tc>
          <w:tcPr>
            <w:tcW w:w="2007" w:type="dxa"/>
            <w:tcBorders>
              <w:top w:val="single" w:color="000000" w:sz="6" w:space="0"/>
            </w:tcBorders>
            <w:shd w:val="clear" w:color="auto" w:fill="FFFFFF"/>
            <w:noWrap/>
            <w:vAlign w:val="center"/>
          </w:tcPr>
          <w:p>
            <w:pPr>
              <w:shd w:val="clear" w:color="auto" w:fill="FFFFFF"/>
              <w:ind w:firstLine="360"/>
              <w:rPr>
                <w:sz w:val="18"/>
              </w:rPr>
            </w:pPr>
            <w:r>
              <w:rPr>
                <w:sz w:val="18"/>
              </w:rPr>
              <w:t>0.80 [0.61, 0.86]</w:t>
            </w:r>
          </w:p>
        </w:tc>
        <w:tc>
          <w:tcPr>
            <w:tcW w:w="1394" w:type="dxa"/>
            <w:tcBorders>
              <w:top w:val="single" w:color="000000" w:sz="6" w:space="0"/>
            </w:tcBorders>
            <w:shd w:val="clear" w:color="auto" w:fill="FFFFFF"/>
            <w:noWrap/>
            <w:vAlign w:val="center"/>
          </w:tcPr>
          <w:p>
            <w:pPr>
              <w:shd w:val="clear" w:color="auto" w:fill="FFFFFF"/>
              <w:ind w:firstLine="360"/>
              <w:rPr>
                <w:sz w:val="18"/>
              </w:rPr>
            </w:pPr>
            <w:r>
              <w:rPr>
                <w:sz w:val="18"/>
              </w:rPr>
              <w:t>&lt;0.001</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jc w:val="center"/>
        </w:trPr>
        <w:tc>
          <w:tcPr>
            <w:tcW w:w="2148" w:type="dxa"/>
            <w:shd w:val="clear" w:color="auto" w:fill="FFFFFF"/>
            <w:noWrap/>
            <w:vAlign w:val="center"/>
          </w:tcPr>
          <w:p>
            <w:pPr>
              <w:shd w:val="clear" w:color="auto" w:fill="FFFFFF"/>
              <w:ind w:firstLine="361"/>
              <w:rPr>
                <w:b/>
                <w:sz w:val="18"/>
              </w:rPr>
            </w:pPr>
            <w:r>
              <w:rPr>
                <w:b/>
                <w:sz w:val="18"/>
              </w:rPr>
              <w:t>JACARD</w:t>
            </w:r>
          </w:p>
        </w:tc>
        <w:tc>
          <w:tcPr>
            <w:tcW w:w="1826" w:type="dxa"/>
            <w:shd w:val="clear" w:color="auto" w:fill="FFFFFF"/>
            <w:noWrap/>
            <w:vAlign w:val="center"/>
          </w:tcPr>
          <w:p>
            <w:pPr>
              <w:shd w:val="clear" w:color="auto" w:fill="FFFFFF"/>
              <w:ind w:firstLine="360"/>
              <w:rPr>
                <w:sz w:val="18"/>
              </w:rPr>
            </w:pPr>
            <w:r>
              <w:rPr>
                <w:sz w:val="18"/>
              </w:rPr>
              <w:t>0.87 [0.83, 0.90]</w:t>
            </w:r>
          </w:p>
        </w:tc>
        <w:tc>
          <w:tcPr>
            <w:tcW w:w="2007" w:type="dxa"/>
            <w:shd w:val="clear" w:color="auto" w:fill="FFFFFF"/>
            <w:noWrap/>
            <w:vAlign w:val="center"/>
          </w:tcPr>
          <w:p>
            <w:pPr>
              <w:shd w:val="clear" w:color="auto" w:fill="FFFFFF"/>
              <w:ind w:firstLine="360"/>
              <w:rPr>
                <w:sz w:val="18"/>
              </w:rPr>
            </w:pPr>
            <w:r>
              <w:rPr>
                <w:sz w:val="18"/>
              </w:rPr>
              <w:t>0.68 [0.53, 0.77]</w:t>
            </w:r>
          </w:p>
        </w:tc>
        <w:tc>
          <w:tcPr>
            <w:tcW w:w="2007" w:type="dxa"/>
            <w:shd w:val="clear" w:color="auto" w:fill="FFFFFF"/>
            <w:noWrap/>
            <w:vAlign w:val="center"/>
          </w:tcPr>
          <w:p>
            <w:pPr>
              <w:shd w:val="clear" w:color="auto" w:fill="FFFFFF"/>
              <w:ind w:firstLine="360"/>
              <w:rPr>
                <w:sz w:val="18"/>
              </w:rPr>
            </w:pPr>
            <w:r>
              <w:rPr>
                <w:sz w:val="18"/>
              </w:rPr>
              <w:t>0.67 [0.44, 0.76]</w:t>
            </w:r>
          </w:p>
        </w:tc>
        <w:tc>
          <w:tcPr>
            <w:tcW w:w="1394" w:type="dxa"/>
            <w:shd w:val="clear" w:color="auto" w:fill="FFFFFF"/>
            <w:noWrap/>
            <w:vAlign w:val="center"/>
          </w:tcPr>
          <w:p>
            <w:pPr>
              <w:shd w:val="clear" w:color="auto" w:fill="FFFFFF"/>
              <w:ind w:firstLine="360"/>
              <w:rPr>
                <w:sz w:val="18"/>
              </w:rPr>
            </w:pPr>
            <w:r>
              <w:rPr>
                <w:sz w:val="18"/>
              </w:rPr>
              <w:t>&lt;0.001</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jc w:val="center"/>
        </w:trPr>
        <w:tc>
          <w:tcPr>
            <w:tcW w:w="2148" w:type="dxa"/>
            <w:shd w:val="clear" w:color="auto" w:fill="FFFFFF"/>
            <w:noWrap/>
            <w:vAlign w:val="center"/>
          </w:tcPr>
          <w:p>
            <w:pPr>
              <w:shd w:val="clear" w:color="auto" w:fill="FFFFFF"/>
              <w:ind w:firstLine="361"/>
              <w:rPr>
                <w:b/>
                <w:sz w:val="18"/>
              </w:rPr>
            </w:pPr>
            <w:r>
              <w:rPr>
                <w:b/>
                <w:sz w:val="18"/>
              </w:rPr>
              <w:t>VS</w:t>
            </w:r>
          </w:p>
        </w:tc>
        <w:tc>
          <w:tcPr>
            <w:tcW w:w="1826" w:type="dxa"/>
            <w:shd w:val="clear" w:color="auto" w:fill="FFFFFF"/>
            <w:noWrap/>
            <w:vAlign w:val="center"/>
          </w:tcPr>
          <w:p>
            <w:pPr>
              <w:shd w:val="clear" w:color="auto" w:fill="FFFFFF"/>
              <w:ind w:firstLine="360"/>
              <w:rPr>
                <w:sz w:val="18"/>
              </w:rPr>
            </w:pPr>
            <w:r>
              <w:rPr>
                <w:sz w:val="18"/>
              </w:rPr>
              <w:t>0.99 [0.98, 1.00]</w:t>
            </w:r>
          </w:p>
        </w:tc>
        <w:tc>
          <w:tcPr>
            <w:tcW w:w="2007" w:type="dxa"/>
            <w:shd w:val="clear" w:color="auto" w:fill="FFFFFF"/>
            <w:noWrap/>
            <w:vAlign w:val="center"/>
          </w:tcPr>
          <w:p>
            <w:pPr>
              <w:shd w:val="clear" w:color="auto" w:fill="FFFFFF"/>
              <w:ind w:firstLine="360"/>
              <w:rPr>
                <w:sz w:val="18"/>
              </w:rPr>
            </w:pPr>
            <w:r>
              <w:rPr>
                <w:sz w:val="18"/>
              </w:rPr>
              <w:t>0.90 [0.80, 0.95]</w:t>
            </w:r>
          </w:p>
        </w:tc>
        <w:tc>
          <w:tcPr>
            <w:tcW w:w="2007" w:type="dxa"/>
            <w:shd w:val="clear" w:color="auto" w:fill="FFFFFF"/>
            <w:noWrap/>
            <w:vAlign w:val="center"/>
          </w:tcPr>
          <w:p>
            <w:pPr>
              <w:shd w:val="clear" w:color="auto" w:fill="FFFFFF"/>
              <w:ind w:firstLine="360"/>
              <w:rPr>
                <w:sz w:val="18"/>
              </w:rPr>
            </w:pPr>
            <w:r>
              <w:rPr>
                <w:sz w:val="18"/>
              </w:rPr>
              <w:t>0.87 [0.73, 0.95]</w:t>
            </w:r>
          </w:p>
        </w:tc>
        <w:tc>
          <w:tcPr>
            <w:tcW w:w="1394" w:type="dxa"/>
            <w:shd w:val="clear" w:color="auto" w:fill="FFFFFF"/>
            <w:noWrap/>
            <w:vAlign w:val="center"/>
          </w:tcPr>
          <w:p>
            <w:pPr>
              <w:shd w:val="clear" w:color="auto" w:fill="FFFFFF"/>
              <w:ind w:firstLine="360"/>
              <w:rPr>
                <w:sz w:val="18"/>
              </w:rPr>
            </w:pPr>
            <w:r>
              <w:rPr>
                <w:sz w:val="18"/>
              </w:rPr>
              <w:t>&lt;0.001</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jc w:val="center"/>
        </w:trPr>
        <w:tc>
          <w:tcPr>
            <w:tcW w:w="2148" w:type="dxa"/>
            <w:shd w:val="clear" w:color="auto" w:fill="FFFFFF"/>
            <w:noWrap/>
            <w:vAlign w:val="center"/>
          </w:tcPr>
          <w:p>
            <w:pPr>
              <w:shd w:val="clear" w:color="auto" w:fill="FFFFFF"/>
              <w:ind w:firstLine="361"/>
              <w:rPr>
                <w:b/>
                <w:sz w:val="18"/>
              </w:rPr>
            </w:pPr>
            <w:r>
              <w:rPr>
                <w:b/>
                <w:sz w:val="18"/>
              </w:rPr>
              <w:t>HD</w:t>
            </w:r>
          </w:p>
        </w:tc>
        <w:tc>
          <w:tcPr>
            <w:tcW w:w="1826" w:type="dxa"/>
            <w:shd w:val="clear" w:color="auto" w:fill="FFFFFF"/>
            <w:noWrap/>
            <w:vAlign w:val="center"/>
          </w:tcPr>
          <w:p>
            <w:pPr>
              <w:shd w:val="clear" w:color="auto" w:fill="FFFFFF"/>
              <w:ind w:firstLine="360"/>
              <w:rPr>
                <w:sz w:val="18"/>
              </w:rPr>
            </w:pPr>
            <w:r>
              <w:rPr>
                <w:sz w:val="18"/>
              </w:rPr>
              <w:t>5.63 [2.50, 12.4]</w:t>
            </w:r>
          </w:p>
        </w:tc>
        <w:tc>
          <w:tcPr>
            <w:tcW w:w="2007" w:type="dxa"/>
            <w:shd w:val="clear" w:color="auto" w:fill="FFFFFF"/>
            <w:noWrap/>
            <w:vAlign w:val="center"/>
          </w:tcPr>
          <w:p>
            <w:pPr>
              <w:shd w:val="clear" w:color="auto" w:fill="FFFFFF"/>
              <w:ind w:firstLine="360"/>
              <w:rPr>
                <w:sz w:val="18"/>
              </w:rPr>
            </w:pPr>
            <w:r>
              <w:rPr>
                <w:sz w:val="18"/>
              </w:rPr>
              <w:t>9.94 [6.76, 18.0]</w:t>
            </w:r>
          </w:p>
        </w:tc>
        <w:tc>
          <w:tcPr>
            <w:tcW w:w="2007" w:type="dxa"/>
            <w:shd w:val="clear" w:color="auto" w:fill="FFFFFF"/>
            <w:noWrap/>
            <w:vAlign w:val="center"/>
          </w:tcPr>
          <w:p>
            <w:pPr>
              <w:shd w:val="clear" w:color="auto" w:fill="FFFFFF"/>
              <w:ind w:firstLine="360"/>
              <w:rPr>
                <w:sz w:val="18"/>
              </w:rPr>
            </w:pPr>
            <w:r>
              <w:rPr>
                <w:sz w:val="18"/>
              </w:rPr>
              <w:t>12.5 [7.91, 20.4]</w:t>
            </w:r>
          </w:p>
        </w:tc>
        <w:tc>
          <w:tcPr>
            <w:tcW w:w="1394" w:type="dxa"/>
            <w:shd w:val="clear" w:color="auto" w:fill="FFFFFF"/>
            <w:noWrap/>
            <w:vAlign w:val="center"/>
          </w:tcPr>
          <w:p>
            <w:pPr>
              <w:shd w:val="clear" w:color="auto" w:fill="FFFFFF"/>
              <w:ind w:firstLine="360"/>
              <w:rPr>
                <w:sz w:val="18"/>
              </w:rPr>
            </w:pPr>
            <w:r>
              <w:rPr>
                <w:sz w:val="18"/>
              </w:rPr>
              <w:t>&lt;0.001</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148" w:type="dxa"/>
            <w:shd w:val="clear" w:color="auto" w:fill="FFFFFF"/>
            <w:noWrap/>
            <w:vAlign w:val="center"/>
          </w:tcPr>
          <w:p>
            <w:pPr>
              <w:shd w:val="clear" w:color="auto" w:fill="FFFFFF"/>
              <w:ind w:firstLine="361"/>
              <w:rPr>
                <w:b/>
                <w:sz w:val="18"/>
              </w:rPr>
            </w:pPr>
            <w:r>
              <w:rPr>
                <w:b/>
                <w:sz w:val="18"/>
              </w:rPr>
              <w:t>AD</w:t>
            </w:r>
          </w:p>
        </w:tc>
        <w:tc>
          <w:tcPr>
            <w:tcW w:w="1826" w:type="dxa"/>
            <w:shd w:val="clear" w:color="auto" w:fill="FFFFFF"/>
            <w:noWrap/>
            <w:vAlign w:val="center"/>
          </w:tcPr>
          <w:p>
            <w:pPr>
              <w:shd w:val="clear" w:color="auto" w:fill="FFFFFF"/>
              <w:ind w:firstLine="360"/>
              <w:rPr>
                <w:sz w:val="18"/>
              </w:rPr>
            </w:pPr>
            <w:r>
              <w:rPr>
                <w:sz w:val="18"/>
              </w:rPr>
              <w:t>0.08 [0.05, 0.18]</w:t>
            </w:r>
          </w:p>
        </w:tc>
        <w:tc>
          <w:tcPr>
            <w:tcW w:w="2007" w:type="dxa"/>
            <w:shd w:val="clear" w:color="auto" w:fill="FFFFFF"/>
            <w:noWrap/>
            <w:vAlign w:val="center"/>
          </w:tcPr>
          <w:p>
            <w:pPr>
              <w:shd w:val="clear" w:color="auto" w:fill="FFFFFF"/>
              <w:ind w:firstLine="360"/>
              <w:rPr>
                <w:sz w:val="18"/>
              </w:rPr>
            </w:pPr>
            <w:r>
              <w:rPr>
                <w:sz w:val="18"/>
              </w:rPr>
              <w:t>0.40 [0.18, 1.11]</w:t>
            </w:r>
          </w:p>
        </w:tc>
        <w:tc>
          <w:tcPr>
            <w:tcW w:w="2007" w:type="dxa"/>
            <w:shd w:val="clear" w:color="auto" w:fill="FFFFFF"/>
            <w:noWrap/>
            <w:vAlign w:val="center"/>
          </w:tcPr>
          <w:p>
            <w:pPr>
              <w:shd w:val="clear" w:color="auto" w:fill="FFFFFF"/>
              <w:ind w:firstLine="360"/>
              <w:rPr>
                <w:sz w:val="18"/>
              </w:rPr>
            </w:pPr>
            <w:r>
              <w:rPr>
                <w:sz w:val="18"/>
              </w:rPr>
              <w:t>0.49 [0.23, 1.67]</w:t>
            </w:r>
          </w:p>
        </w:tc>
        <w:tc>
          <w:tcPr>
            <w:tcW w:w="1394" w:type="dxa"/>
            <w:shd w:val="clear" w:color="auto" w:fill="FFFFFF"/>
            <w:noWrap/>
            <w:vAlign w:val="center"/>
          </w:tcPr>
          <w:p>
            <w:pPr>
              <w:shd w:val="clear" w:color="auto" w:fill="FFFFFF"/>
              <w:ind w:firstLine="360"/>
              <w:rPr>
                <w:sz w:val="18"/>
              </w:rPr>
            </w:pPr>
            <w:r>
              <w:rPr>
                <w:sz w:val="18"/>
              </w:rPr>
              <w:t>&lt;0.001</w:t>
            </w:r>
          </w:p>
        </w:tc>
      </w:tr>
    </w:tbl>
    <w:p>
      <w:pPr>
        <w:ind w:firstLine="420"/>
        <w:rPr>
          <w:rFonts w:ascii="Calibri" w:hAnsi="Calibri" w:eastAsia="宋体"/>
          <w:sz w:val="21"/>
          <w:szCs w:val="21"/>
        </w:rPr>
      </w:pPr>
    </w:p>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pStyle w:val="7"/>
        <w:ind w:firstLine="482"/>
        <w:jc w:val="center"/>
      </w:pPr>
      <w:r>
        <w:rPr>
          <w:b/>
        </w:rPr>
        <w:t xml:space="preserve">Table S 13 </w:t>
      </w:r>
      <w:r>
        <w:t>Bland‒Altman analysis of the measured values of prostate cancer</w:t>
      </w:r>
    </w:p>
    <w:tbl>
      <w:tblPr>
        <w:tblStyle w:val="13"/>
        <w:tblW w:w="9543" w:type="dxa"/>
        <w:jc w:val="center"/>
        <w:tblLayout w:type="autofit"/>
        <w:tblCellMar>
          <w:top w:w="0" w:type="dxa"/>
          <w:left w:w="108" w:type="dxa"/>
          <w:bottom w:w="0" w:type="dxa"/>
          <w:right w:w="108" w:type="dxa"/>
        </w:tblCellMar>
      </w:tblPr>
      <w:tblGrid>
        <w:gridCol w:w="3160"/>
        <w:gridCol w:w="1324"/>
        <w:gridCol w:w="1324"/>
        <w:gridCol w:w="1324"/>
        <w:gridCol w:w="1253"/>
        <w:gridCol w:w="1263"/>
      </w:tblGrid>
      <w:tr>
        <w:tblPrEx>
          <w:tblCellMar>
            <w:top w:w="0" w:type="dxa"/>
            <w:left w:w="108" w:type="dxa"/>
            <w:bottom w:w="0" w:type="dxa"/>
            <w:right w:w="108" w:type="dxa"/>
          </w:tblCellMar>
        </w:tblPrEx>
        <w:trPr>
          <w:trHeight w:val="283" w:hRule="atLeast"/>
          <w:jc w:val="center"/>
        </w:trPr>
        <w:tc>
          <w:tcPr>
            <w:tcW w:w="3160" w:type="dxa"/>
            <w:tcBorders>
              <w:top w:val="single" w:color="auto" w:sz="12" w:space="0"/>
              <w:left w:val="nil"/>
              <w:bottom w:val="single" w:color="auto" w:sz="8" w:space="0"/>
              <w:right w:val="nil"/>
            </w:tcBorders>
            <w:noWrap/>
            <w:vAlign w:val="center"/>
          </w:tcPr>
          <w:p>
            <w:pPr>
              <w:shd w:val="clear" w:color="auto" w:fill="FFFFFF"/>
              <w:ind w:firstLine="360"/>
              <w:rPr>
                <w:sz w:val="18"/>
              </w:rPr>
            </w:pPr>
            <w:r>
              <w:rPr>
                <w:sz w:val="18"/>
              </w:rPr>
              <w:t>　</w:t>
            </w:r>
          </w:p>
        </w:tc>
        <w:tc>
          <w:tcPr>
            <w:tcW w:w="1324" w:type="dxa"/>
            <w:tcBorders>
              <w:top w:val="single" w:color="auto" w:sz="12" w:space="0"/>
              <w:left w:val="nil"/>
              <w:bottom w:val="single" w:color="auto" w:sz="8" w:space="0"/>
              <w:right w:val="nil"/>
            </w:tcBorders>
            <w:noWrap/>
            <w:vAlign w:val="center"/>
          </w:tcPr>
          <w:p>
            <w:pPr>
              <w:shd w:val="clear" w:color="auto" w:fill="FFFFFF"/>
              <w:ind w:firstLine="360"/>
              <w:rPr>
                <w:sz w:val="18"/>
              </w:rPr>
            </w:pPr>
            <w:r>
              <w:rPr>
                <w:sz w:val="18"/>
              </w:rPr>
              <w:t>RL Diameter</w:t>
            </w:r>
          </w:p>
        </w:tc>
        <w:tc>
          <w:tcPr>
            <w:tcW w:w="1324" w:type="dxa"/>
            <w:tcBorders>
              <w:top w:val="single" w:color="auto" w:sz="12" w:space="0"/>
              <w:left w:val="nil"/>
              <w:bottom w:val="single" w:color="auto" w:sz="8" w:space="0"/>
              <w:right w:val="nil"/>
            </w:tcBorders>
            <w:noWrap/>
            <w:vAlign w:val="center"/>
          </w:tcPr>
          <w:p>
            <w:pPr>
              <w:shd w:val="clear" w:color="auto" w:fill="FFFFFF"/>
              <w:ind w:firstLine="360"/>
              <w:rPr>
                <w:sz w:val="18"/>
              </w:rPr>
            </w:pPr>
            <w:r>
              <w:rPr>
                <w:sz w:val="18"/>
              </w:rPr>
              <w:t>AP Diameter</w:t>
            </w:r>
          </w:p>
        </w:tc>
        <w:tc>
          <w:tcPr>
            <w:tcW w:w="1324" w:type="dxa"/>
            <w:tcBorders>
              <w:top w:val="single" w:color="auto" w:sz="12" w:space="0"/>
              <w:left w:val="nil"/>
              <w:bottom w:val="single" w:color="auto" w:sz="8" w:space="0"/>
              <w:right w:val="nil"/>
            </w:tcBorders>
            <w:noWrap/>
            <w:vAlign w:val="center"/>
          </w:tcPr>
          <w:p>
            <w:pPr>
              <w:shd w:val="clear" w:color="auto" w:fill="FFFFFF"/>
              <w:ind w:firstLine="360"/>
              <w:rPr>
                <w:sz w:val="18"/>
              </w:rPr>
            </w:pPr>
            <w:r>
              <w:rPr>
                <w:sz w:val="18"/>
              </w:rPr>
              <w:t>SI Diameter</w:t>
            </w:r>
          </w:p>
        </w:tc>
        <w:tc>
          <w:tcPr>
            <w:tcW w:w="1148" w:type="dxa"/>
            <w:tcBorders>
              <w:top w:val="single" w:color="auto" w:sz="12" w:space="0"/>
              <w:left w:val="nil"/>
              <w:bottom w:val="single" w:color="auto" w:sz="8" w:space="0"/>
              <w:right w:val="nil"/>
            </w:tcBorders>
            <w:noWrap/>
            <w:vAlign w:val="center"/>
          </w:tcPr>
          <w:p>
            <w:pPr>
              <w:shd w:val="clear" w:color="auto" w:fill="FFFFFF"/>
              <w:ind w:firstLine="360"/>
              <w:rPr>
                <w:sz w:val="18"/>
              </w:rPr>
            </w:pPr>
            <w:r>
              <w:rPr>
                <w:sz w:val="18"/>
              </w:rPr>
              <w:t>Volume</w:t>
            </w:r>
          </w:p>
        </w:tc>
        <w:tc>
          <w:tcPr>
            <w:tcW w:w="1263" w:type="dxa"/>
            <w:tcBorders>
              <w:top w:val="single" w:color="auto" w:sz="12" w:space="0"/>
              <w:left w:val="nil"/>
              <w:bottom w:val="single" w:color="auto" w:sz="8" w:space="0"/>
              <w:right w:val="nil"/>
            </w:tcBorders>
            <w:noWrap/>
            <w:vAlign w:val="center"/>
          </w:tcPr>
          <w:p>
            <w:pPr>
              <w:shd w:val="clear" w:color="auto" w:fill="FFFFFF"/>
              <w:ind w:firstLine="360"/>
              <w:rPr>
                <w:sz w:val="18"/>
              </w:rPr>
            </w:pPr>
            <w:r>
              <w:rPr>
                <w:rFonts w:eastAsia="等线"/>
                <w:sz w:val="18"/>
                <w:szCs w:val="18"/>
              </w:rPr>
              <w:t>ADC value</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bias</w:t>
            </w:r>
          </w:p>
        </w:tc>
        <w:tc>
          <w:tcPr>
            <w:tcW w:w="1324" w:type="dxa"/>
            <w:tcBorders>
              <w:top w:val="nil"/>
              <w:left w:val="nil"/>
              <w:bottom w:val="nil"/>
              <w:right w:val="nil"/>
            </w:tcBorders>
            <w:noWrap/>
            <w:vAlign w:val="center"/>
          </w:tcPr>
          <w:p>
            <w:pPr>
              <w:shd w:val="clear" w:color="auto" w:fill="FFFFFF"/>
              <w:ind w:firstLine="360"/>
              <w:rPr>
                <w:sz w:val="18"/>
              </w:rPr>
            </w:pPr>
            <w:r>
              <w:rPr>
                <w:sz w:val="18"/>
              </w:rPr>
              <w:t>-0.464</w:t>
            </w:r>
          </w:p>
        </w:tc>
        <w:tc>
          <w:tcPr>
            <w:tcW w:w="1324" w:type="dxa"/>
            <w:tcBorders>
              <w:top w:val="nil"/>
              <w:left w:val="nil"/>
              <w:bottom w:val="nil"/>
              <w:right w:val="nil"/>
            </w:tcBorders>
            <w:noWrap/>
            <w:vAlign w:val="center"/>
          </w:tcPr>
          <w:p>
            <w:pPr>
              <w:shd w:val="clear" w:color="auto" w:fill="FFFFFF"/>
              <w:ind w:firstLine="360"/>
              <w:rPr>
                <w:sz w:val="18"/>
              </w:rPr>
            </w:pPr>
            <w:r>
              <w:rPr>
                <w:sz w:val="18"/>
              </w:rPr>
              <w:t>-0.431</w:t>
            </w:r>
          </w:p>
        </w:tc>
        <w:tc>
          <w:tcPr>
            <w:tcW w:w="1324" w:type="dxa"/>
            <w:tcBorders>
              <w:top w:val="nil"/>
              <w:left w:val="nil"/>
              <w:bottom w:val="nil"/>
              <w:right w:val="nil"/>
            </w:tcBorders>
            <w:noWrap/>
            <w:vAlign w:val="center"/>
          </w:tcPr>
          <w:p>
            <w:pPr>
              <w:shd w:val="clear" w:color="auto" w:fill="FFFFFF"/>
              <w:ind w:firstLine="360"/>
              <w:rPr>
                <w:sz w:val="18"/>
              </w:rPr>
            </w:pPr>
            <w:r>
              <w:rPr>
                <w:sz w:val="18"/>
              </w:rPr>
              <w:t>-0.526</w:t>
            </w:r>
          </w:p>
        </w:tc>
        <w:tc>
          <w:tcPr>
            <w:tcW w:w="1148" w:type="dxa"/>
            <w:tcBorders>
              <w:top w:val="nil"/>
              <w:left w:val="nil"/>
              <w:bottom w:val="nil"/>
              <w:right w:val="nil"/>
            </w:tcBorders>
            <w:noWrap/>
            <w:vAlign w:val="center"/>
          </w:tcPr>
          <w:p>
            <w:pPr>
              <w:shd w:val="clear" w:color="auto" w:fill="FFFFFF"/>
              <w:ind w:firstLine="360"/>
              <w:rPr>
                <w:sz w:val="18"/>
              </w:rPr>
            </w:pPr>
            <w:r>
              <w:rPr>
                <w:sz w:val="18"/>
              </w:rPr>
              <w:t>-1.306</w:t>
            </w:r>
          </w:p>
        </w:tc>
        <w:tc>
          <w:tcPr>
            <w:tcW w:w="1263" w:type="dxa"/>
            <w:tcBorders>
              <w:top w:val="nil"/>
              <w:left w:val="nil"/>
              <w:bottom w:val="nil"/>
              <w:right w:val="nil"/>
            </w:tcBorders>
            <w:noWrap/>
            <w:vAlign w:val="center"/>
          </w:tcPr>
          <w:p>
            <w:pPr>
              <w:shd w:val="clear" w:color="auto" w:fill="FFFFFF"/>
              <w:ind w:firstLine="360"/>
              <w:rPr>
                <w:sz w:val="18"/>
              </w:rPr>
            </w:pPr>
            <w:r>
              <w:rPr>
                <w:sz w:val="18"/>
              </w:rPr>
              <w:t>-0.464</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biasUpperCI</w:t>
            </w:r>
          </w:p>
        </w:tc>
        <w:tc>
          <w:tcPr>
            <w:tcW w:w="1324" w:type="dxa"/>
            <w:tcBorders>
              <w:top w:val="nil"/>
              <w:left w:val="nil"/>
              <w:bottom w:val="nil"/>
              <w:right w:val="nil"/>
            </w:tcBorders>
            <w:noWrap/>
            <w:vAlign w:val="center"/>
          </w:tcPr>
          <w:p>
            <w:pPr>
              <w:shd w:val="clear" w:color="auto" w:fill="FFFFFF"/>
              <w:ind w:firstLine="360"/>
              <w:rPr>
                <w:sz w:val="18"/>
              </w:rPr>
            </w:pPr>
            <w:r>
              <w:rPr>
                <w:sz w:val="18"/>
              </w:rPr>
              <w:t>-0.394</w:t>
            </w:r>
          </w:p>
        </w:tc>
        <w:tc>
          <w:tcPr>
            <w:tcW w:w="1324" w:type="dxa"/>
            <w:tcBorders>
              <w:top w:val="nil"/>
              <w:left w:val="nil"/>
              <w:bottom w:val="nil"/>
              <w:right w:val="nil"/>
            </w:tcBorders>
            <w:noWrap/>
            <w:vAlign w:val="center"/>
          </w:tcPr>
          <w:p>
            <w:pPr>
              <w:shd w:val="clear" w:color="auto" w:fill="FFFFFF"/>
              <w:ind w:firstLine="360"/>
              <w:rPr>
                <w:sz w:val="18"/>
              </w:rPr>
            </w:pPr>
            <w:r>
              <w:rPr>
                <w:sz w:val="18"/>
              </w:rPr>
              <w:t>-0.37</w:t>
            </w:r>
          </w:p>
        </w:tc>
        <w:tc>
          <w:tcPr>
            <w:tcW w:w="1324" w:type="dxa"/>
            <w:tcBorders>
              <w:top w:val="nil"/>
              <w:left w:val="nil"/>
              <w:bottom w:val="nil"/>
              <w:right w:val="nil"/>
            </w:tcBorders>
            <w:noWrap/>
            <w:vAlign w:val="center"/>
          </w:tcPr>
          <w:p>
            <w:pPr>
              <w:shd w:val="clear" w:color="auto" w:fill="FFFFFF"/>
              <w:ind w:firstLine="360"/>
              <w:rPr>
                <w:sz w:val="18"/>
              </w:rPr>
            </w:pPr>
            <w:r>
              <w:rPr>
                <w:sz w:val="18"/>
              </w:rPr>
              <w:t>-0.464</w:t>
            </w:r>
          </w:p>
        </w:tc>
        <w:tc>
          <w:tcPr>
            <w:tcW w:w="1148" w:type="dxa"/>
            <w:tcBorders>
              <w:top w:val="nil"/>
              <w:left w:val="nil"/>
              <w:bottom w:val="nil"/>
              <w:right w:val="nil"/>
            </w:tcBorders>
            <w:noWrap/>
            <w:vAlign w:val="center"/>
          </w:tcPr>
          <w:p>
            <w:pPr>
              <w:shd w:val="clear" w:color="auto" w:fill="FFFFFF"/>
              <w:ind w:firstLine="360"/>
              <w:rPr>
                <w:sz w:val="18"/>
              </w:rPr>
            </w:pPr>
            <w:r>
              <w:rPr>
                <w:sz w:val="18"/>
              </w:rPr>
              <w:t>-1.053</w:t>
            </w:r>
          </w:p>
        </w:tc>
        <w:tc>
          <w:tcPr>
            <w:tcW w:w="1263" w:type="dxa"/>
            <w:tcBorders>
              <w:top w:val="nil"/>
              <w:left w:val="nil"/>
              <w:bottom w:val="nil"/>
              <w:right w:val="nil"/>
            </w:tcBorders>
            <w:noWrap/>
            <w:vAlign w:val="center"/>
          </w:tcPr>
          <w:p>
            <w:pPr>
              <w:shd w:val="clear" w:color="auto" w:fill="FFFFFF"/>
              <w:ind w:firstLine="360"/>
              <w:rPr>
                <w:sz w:val="18"/>
              </w:rPr>
            </w:pPr>
            <w:r>
              <w:rPr>
                <w:sz w:val="18"/>
              </w:rPr>
              <w:t>-0.394</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biasLowerCI</w:t>
            </w:r>
          </w:p>
        </w:tc>
        <w:tc>
          <w:tcPr>
            <w:tcW w:w="1324" w:type="dxa"/>
            <w:tcBorders>
              <w:top w:val="nil"/>
              <w:left w:val="nil"/>
              <w:bottom w:val="nil"/>
              <w:right w:val="nil"/>
            </w:tcBorders>
            <w:noWrap/>
            <w:vAlign w:val="center"/>
          </w:tcPr>
          <w:p>
            <w:pPr>
              <w:shd w:val="clear" w:color="auto" w:fill="FFFFFF"/>
              <w:ind w:firstLine="360"/>
              <w:rPr>
                <w:sz w:val="18"/>
              </w:rPr>
            </w:pPr>
            <w:r>
              <w:rPr>
                <w:sz w:val="18"/>
              </w:rPr>
              <w:t>-0.533</w:t>
            </w:r>
          </w:p>
        </w:tc>
        <w:tc>
          <w:tcPr>
            <w:tcW w:w="1324" w:type="dxa"/>
            <w:tcBorders>
              <w:top w:val="nil"/>
              <w:left w:val="nil"/>
              <w:bottom w:val="nil"/>
              <w:right w:val="nil"/>
            </w:tcBorders>
            <w:noWrap/>
            <w:vAlign w:val="center"/>
          </w:tcPr>
          <w:p>
            <w:pPr>
              <w:shd w:val="clear" w:color="auto" w:fill="FFFFFF"/>
              <w:ind w:firstLine="360"/>
              <w:rPr>
                <w:sz w:val="18"/>
              </w:rPr>
            </w:pPr>
            <w:r>
              <w:rPr>
                <w:sz w:val="18"/>
              </w:rPr>
              <w:t>-0.492</w:t>
            </w:r>
          </w:p>
        </w:tc>
        <w:tc>
          <w:tcPr>
            <w:tcW w:w="1324" w:type="dxa"/>
            <w:tcBorders>
              <w:top w:val="nil"/>
              <w:left w:val="nil"/>
              <w:bottom w:val="nil"/>
              <w:right w:val="nil"/>
            </w:tcBorders>
            <w:noWrap/>
            <w:vAlign w:val="center"/>
          </w:tcPr>
          <w:p>
            <w:pPr>
              <w:shd w:val="clear" w:color="auto" w:fill="FFFFFF"/>
              <w:ind w:firstLine="360"/>
              <w:rPr>
                <w:sz w:val="18"/>
              </w:rPr>
            </w:pPr>
            <w:r>
              <w:rPr>
                <w:sz w:val="18"/>
              </w:rPr>
              <w:t>-0.588</w:t>
            </w:r>
          </w:p>
        </w:tc>
        <w:tc>
          <w:tcPr>
            <w:tcW w:w="1148" w:type="dxa"/>
            <w:tcBorders>
              <w:top w:val="nil"/>
              <w:left w:val="nil"/>
              <w:bottom w:val="nil"/>
              <w:right w:val="nil"/>
            </w:tcBorders>
            <w:noWrap/>
            <w:vAlign w:val="center"/>
          </w:tcPr>
          <w:p>
            <w:pPr>
              <w:shd w:val="clear" w:color="auto" w:fill="FFFFFF"/>
              <w:ind w:firstLine="360"/>
              <w:rPr>
                <w:sz w:val="18"/>
              </w:rPr>
            </w:pPr>
            <w:r>
              <w:rPr>
                <w:sz w:val="18"/>
              </w:rPr>
              <w:t>-1.56</w:t>
            </w:r>
          </w:p>
        </w:tc>
        <w:tc>
          <w:tcPr>
            <w:tcW w:w="1263" w:type="dxa"/>
            <w:tcBorders>
              <w:top w:val="nil"/>
              <w:left w:val="nil"/>
              <w:bottom w:val="nil"/>
              <w:right w:val="nil"/>
            </w:tcBorders>
            <w:noWrap/>
            <w:vAlign w:val="center"/>
          </w:tcPr>
          <w:p>
            <w:pPr>
              <w:shd w:val="clear" w:color="auto" w:fill="FFFFFF"/>
              <w:ind w:firstLine="360"/>
              <w:rPr>
                <w:sz w:val="18"/>
              </w:rPr>
            </w:pPr>
            <w:r>
              <w:rPr>
                <w:sz w:val="18"/>
              </w:rPr>
              <w:t>-0.533</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biasStdDev</w:t>
            </w:r>
          </w:p>
        </w:tc>
        <w:tc>
          <w:tcPr>
            <w:tcW w:w="1324" w:type="dxa"/>
            <w:tcBorders>
              <w:top w:val="nil"/>
              <w:left w:val="nil"/>
              <w:bottom w:val="nil"/>
              <w:right w:val="nil"/>
            </w:tcBorders>
            <w:noWrap/>
            <w:vAlign w:val="center"/>
          </w:tcPr>
          <w:p>
            <w:pPr>
              <w:shd w:val="clear" w:color="auto" w:fill="FFFFFF"/>
              <w:ind w:firstLine="360"/>
              <w:rPr>
                <w:sz w:val="18"/>
              </w:rPr>
            </w:pPr>
            <w:r>
              <w:rPr>
                <w:sz w:val="18"/>
              </w:rPr>
              <w:t>1.63</w:t>
            </w:r>
          </w:p>
        </w:tc>
        <w:tc>
          <w:tcPr>
            <w:tcW w:w="1324" w:type="dxa"/>
            <w:tcBorders>
              <w:top w:val="nil"/>
              <w:left w:val="nil"/>
              <w:bottom w:val="nil"/>
              <w:right w:val="nil"/>
            </w:tcBorders>
            <w:noWrap/>
            <w:vAlign w:val="center"/>
          </w:tcPr>
          <w:p>
            <w:pPr>
              <w:shd w:val="clear" w:color="auto" w:fill="FFFFFF"/>
              <w:ind w:firstLine="360"/>
              <w:rPr>
                <w:sz w:val="18"/>
              </w:rPr>
            </w:pPr>
            <w:r>
              <w:rPr>
                <w:sz w:val="18"/>
              </w:rPr>
              <w:t>1.425</w:t>
            </w:r>
          </w:p>
        </w:tc>
        <w:tc>
          <w:tcPr>
            <w:tcW w:w="1324" w:type="dxa"/>
            <w:tcBorders>
              <w:top w:val="nil"/>
              <w:left w:val="nil"/>
              <w:bottom w:val="nil"/>
              <w:right w:val="nil"/>
            </w:tcBorders>
            <w:noWrap/>
            <w:vAlign w:val="center"/>
          </w:tcPr>
          <w:p>
            <w:pPr>
              <w:shd w:val="clear" w:color="auto" w:fill="FFFFFF"/>
              <w:ind w:firstLine="360"/>
              <w:rPr>
                <w:sz w:val="18"/>
              </w:rPr>
            </w:pPr>
            <w:r>
              <w:rPr>
                <w:sz w:val="18"/>
              </w:rPr>
              <w:t>1.453</w:t>
            </w:r>
          </w:p>
        </w:tc>
        <w:tc>
          <w:tcPr>
            <w:tcW w:w="1148" w:type="dxa"/>
            <w:tcBorders>
              <w:top w:val="nil"/>
              <w:left w:val="nil"/>
              <w:bottom w:val="nil"/>
              <w:right w:val="nil"/>
            </w:tcBorders>
            <w:noWrap/>
            <w:vAlign w:val="center"/>
          </w:tcPr>
          <w:p>
            <w:pPr>
              <w:shd w:val="clear" w:color="auto" w:fill="FFFFFF"/>
              <w:ind w:firstLine="360"/>
              <w:rPr>
                <w:sz w:val="18"/>
              </w:rPr>
            </w:pPr>
            <w:r>
              <w:rPr>
                <w:sz w:val="18"/>
              </w:rPr>
              <w:t>5.926</w:t>
            </w:r>
          </w:p>
        </w:tc>
        <w:tc>
          <w:tcPr>
            <w:tcW w:w="1263" w:type="dxa"/>
            <w:tcBorders>
              <w:top w:val="nil"/>
              <w:left w:val="nil"/>
              <w:bottom w:val="nil"/>
              <w:right w:val="nil"/>
            </w:tcBorders>
            <w:noWrap/>
            <w:vAlign w:val="center"/>
          </w:tcPr>
          <w:p>
            <w:pPr>
              <w:shd w:val="clear" w:color="auto" w:fill="FFFFFF"/>
              <w:ind w:firstLine="360"/>
              <w:rPr>
                <w:sz w:val="18"/>
              </w:rPr>
            </w:pPr>
            <w:r>
              <w:rPr>
                <w:sz w:val="18"/>
              </w:rPr>
              <w:t>1.63</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biasSEM</w:t>
            </w:r>
          </w:p>
        </w:tc>
        <w:tc>
          <w:tcPr>
            <w:tcW w:w="1324" w:type="dxa"/>
            <w:tcBorders>
              <w:top w:val="nil"/>
              <w:left w:val="nil"/>
              <w:bottom w:val="nil"/>
              <w:right w:val="nil"/>
            </w:tcBorders>
            <w:noWrap/>
            <w:vAlign w:val="center"/>
          </w:tcPr>
          <w:p>
            <w:pPr>
              <w:shd w:val="clear" w:color="auto" w:fill="FFFFFF"/>
              <w:ind w:firstLine="360"/>
              <w:rPr>
                <w:sz w:val="18"/>
              </w:rPr>
            </w:pPr>
            <w:r>
              <w:rPr>
                <w:sz w:val="18"/>
              </w:rPr>
              <w:t>0.036</w:t>
            </w:r>
          </w:p>
        </w:tc>
        <w:tc>
          <w:tcPr>
            <w:tcW w:w="1324" w:type="dxa"/>
            <w:tcBorders>
              <w:top w:val="nil"/>
              <w:left w:val="nil"/>
              <w:bottom w:val="nil"/>
              <w:right w:val="nil"/>
            </w:tcBorders>
            <w:noWrap/>
            <w:vAlign w:val="center"/>
          </w:tcPr>
          <w:p>
            <w:pPr>
              <w:shd w:val="clear" w:color="auto" w:fill="FFFFFF"/>
              <w:ind w:firstLine="360"/>
              <w:rPr>
                <w:sz w:val="18"/>
              </w:rPr>
            </w:pPr>
            <w:r>
              <w:rPr>
                <w:sz w:val="18"/>
              </w:rPr>
              <w:t>0.031</w:t>
            </w:r>
          </w:p>
        </w:tc>
        <w:tc>
          <w:tcPr>
            <w:tcW w:w="1324" w:type="dxa"/>
            <w:tcBorders>
              <w:top w:val="nil"/>
              <w:left w:val="nil"/>
              <w:bottom w:val="nil"/>
              <w:right w:val="nil"/>
            </w:tcBorders>
            <w:noWrap/>
            <w:vAlign w:val="center"/>
          </w:tcPr>
          <w:p>
            <w:pPr>
              <w:shd w:val="clear" w:color="auto" w:fill="FFFFFF"/>
              <w:ind w:firstLine="360"/>
              <w:rPr>
                <w:sz w:val="18"/>
              </w:rPr>
            </w:pPr>
            <w:r>
              <w:rPr>
                <w:sz w:val="18"/>
              </w:rPr>
              <w:t>0.032</w:t>
            </w:r>
          </w:p>
        </w:tc>
        <w:tc>
          <w:tcPr>
            <w:tcW w:w="1148" w:type="dxa"/>
            <w:tcBorders>
              <w:top w:val="nil"/>
              <w:left w:val="nil"/>
              <w:bottom w:val="nil"/>
              <w:right w:val="nil"/>
            </w:tcBorders>
            <w:noWrap/>
            <w:vAlign w:val="center"/>
          </w:tcPr>
          <w:p>
            <w:pPr>
              <w:shd w:val="clear" w:color="auto" w:fill="FFFFFF"/>
              <w:ind w:firstLine="360"/>
              <w:rPr>
                <w:sz w:val="18"/>
              </w:rPr>
            </w:pPr>
            <w:r>
              <w:rPr>
                <w:sz w:val="18"/>
              </w:rPr>
              <w:t>0.129</w:t>
            </w:r>
          </w:p>
        </w:tc>
        <w:tc>
          <w:tcPr>
            <w:tcW w:w="1263" w:type="dxa"/>
            <w:tcBorders>
              <w:top w:val="nil"/>
              <w:left w:val="nil"/>
              <w:bottom w:val="nil"/>
              <w:right w:val="nil"/>
            </w:tcBorders>
            <w:noWrap/>
            <w:vAlign w:val="center"/>
          </w:tcPr>
          <w:p>
            <w:pPr>
              <w:shd w:val="clear" w:color="auto" w:fill="FFFFFF"/>
              <w:ind w:firstLine="360"/>
              <w:rPr>
                <w:sz w:val="18"/>
              </w:rPr>
            </w:pPr>
            <w:r>
              <w:rPr>
                <w:sz w:val="18"/>
              </w:rPr>
              <w:t>0.036</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LOA_SEM</w:t>
            </w:r>
          </w:p>
        </w:tc>
        <w:tc>
          <w:tcPr>
            <w:tcW w:w="1324" w:type="dxa"/>
            <w:tcBorders>
              <w:top w:val="nil"/>
              <w:left w:val="nil"/>
              <w:bottom w:val="nil"/>
              <w:right w:val="nil"/>
            </w:tcBorders>
            <w:noWrap/>
            <w:vAlign w:val="center"/>
          </w:tcPr>
          <w:p>
            <w:pPr>
              <w:shd w:val="clear" w:color="auto" w:fill="FFFFFF"/>
              <w:ind w:firstLine="360"/>
              <w:rPr>
                <w:sz w:val="18"/>
              </w:rPr>
            </w:pPr>
            <w:r>
              <w:rPr>
                <w:sz w:val="18"/>
              </w:rPr>
              <w:t>0.061</w:t>
            </w:r>
          </w:p>
        </w:tc>
        <w:tc>
          <w:tcPr>
            <w:tcW w:w="1324" w:type="dxa"/>
            <w:tcBorders>
              <w:top w:val="nil"/>
              <w:left w:val="nil"/>
              <w:bottom w:val="nil"/>
              <w:right w:val="nil"/>
            </w:tcBorders>
            <w:noWrap/>
            <w:vAlign w:val="center"/>
          </w:tcPr>
          <w:p>
            <w:pPr>
              <w:shd w:val="clear" w:color="auto" w:fill="FFFFFF"/>
              <w:ind w:firstLine="360"/>
              <w:rPr>
                <w:sz w:val="18"/>
              </w:rPr>
            </w:pPr>
            <w:r>
              <w:rPr>
                <w:sz w:val="18"/>
              </w:rPr>
              <w:t>0.053</w:t>
            </w:r>
          </w:p>
        </w:tc>
        <w:tc>
          <w:tcPr>
            <w:tcW w:w="1324" w:type="dxa"/>
            <w:tcBorders>
              <w:top w:val="nil"/>
              <w:left w:val="nil"/>
              <w:bottom w:val="nil"/>
              <w:right w:val="nil"/>
            </w:tcBorders>
            <w:noWrap/>
            <w:vAlign w:val="center"/>
          </w:tcPr>
          <w:p>
            <w:pPr>
              <w:shd w:val="clear" w:color="auto" w:fill="FFFFFF"/>
              <w:ind w:firstLine="360"/>
              <w:rPr>
                <w:sz w:val="18"/>
              </w:rPr>
            </w:pPr>
            <w:r>
              <w:rPr>
                <w:sz w:val="18"/>
              </w:rPr>
              <w:t>0.054</w:t>
            </w:r>
          </w:p>
        </w:tc>
        <w:tc>
          <w:tcPr>
            <w:tcW w:w="1148" w:type="dxa"/>
            <w:tcBorders>
              <w:top w:val="nil"/>
              <w:left w:val="nil"/>
              <w:bottom w:val="nil"/>
              <w:right w:val="nil"/>
            </w:tcBorders>
            <w:noWrap/>
            <w:vAlign w:val="center"/>
          </w:tcPr>
          <w:p>
            <w:pPr>
              <w:shd w:val="clear" w:color="auto" w:fill="FFFFFF"/>
              <w:ind w:firstLine="360"/>
              <w:rPr>
                <w:sz w:val="18"/>
              </w:rPr>
            </w:pPr>
            <w:r>
              <w:rPr>
                <w:sz w:val="18"/>
              </w:rPr>
              <w:t>0.221</w:t>
            </w:r>
          </w:p>
        </w:tc>
        <w:tc>
          <w:tcPr>
            <w:tcW w:w="1263" w:type="dxa"/>
            <w:tcBorders>
              <w:top w:val="nil"/>
              <w:left w:val="nil"/>
              <w:bottom w:val="nil"/>
              <w:right w:val="nil"/>
            </w:tcBorders>
            <w:noWrap/>
            <w:vAlign w:val="center"/>
          </w:tcPr>
          <w:p>
            <w:pPr>
              <w:shd w:val="clear" w:color="auto" w:fill="FFFFFF"/>
              <w:ind w:firstLine="360"/>
              <w:rPr>
                <w:sz w:val="18"/>
              </w:rPr>
            </w:pPr>
            <w:r>
              <w:rPr>
                <w:sz w:val="18"/>
              </w:rPr>
              <w:t>0.061</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upperLOA</w:t>
            </w:r>
          </w:p>
        </w:tc>
        <w:tc>
          <w:tcPr>
            <w:tcW w:w="1324" w:type="dxa"/>
            <w:tcBorders>
              <w:top w:val="nil"/>
              <w:left w:val="nil"/>
              <w:bottom w:val="nil"/>
              <w:right w:val="nil"/>
            </w:tcBorders>
            <w:noWrap/>
            <w:vAlign w:val="center"/>
          </w:tcPr>
          <w:p>
            <w:pPr>
              <w:shd w:val="clear" w:color="auto" w:fill="FFFFFF"/>
              <w:ind w:firstLine="360"/>
              <w:rPr>
                <w:sz w:val="18"/>
              </w:rPr>
            </w:pPr>
            <w:r>
              <w:rPr>
                <w:sz w:val="18"/>
              </w:rPr>
              <w:t>2.73</w:t>
            </w:r>
          </w:p>
        </w:tc>
        <w:tc>
          <w:tcPr>
            <w:tcW w:w="1324" w:type="dxa"/>
            <w:tcBorders>
              <w:top w:val="nil"/>
              <w:left w:val="nil"/>
              <w:bottom w:val="nil"/>
              <w:right w:val="nil"/>
            </w:tcBorders>
            <w:noWrap/>
            <w:vAlign w:val="center"/>
          </w:tcPr>
          <w:p>
            <w:pPr>
              <w:shd w:val="clear" w:color="auto" w:fill="FFFFFF"/>
              <w:ind w:firstLine="360"/>
              <w:rPr>
                <w:sz w:val="18"/>
              </w:rPr>
            </w:pPr>
            <w:r>
              <w:rPr>
                <w:sz w:val="18"/>
              </w:rPr>
              <w:t>2.361</w:t>
            </w:r>
          </w:p>
        </w:tc>
        <w:tc>
          <w:tcPr>
            <w:tcW w:w="1324" w:type="dxa"/>
            <w:tcBorders>
              <w:top w:val="nil"/>
              <w:left w:val="nil"/>
              <w:bottom w:val="nil"/>
              <w:right w:val="nil"/>
            </w:tcBorders>
            <w:noWrap/>
            <w:vAlign w:val="center"/>
          </w:tcPr>
          <w:p>
            <w:pPr>
              <w:shd w:val="clear" w:color="auto" w:fill="FFFFFF"/>
              <w:ind w:firstLine="360"/>
              <w:rPr>
                <w:sz w:val="18"/>
              </w:rPr>
            </w:pPr>
            <w:r>
              <w:rPr>
                <w:sz w:val="18"/>
              </w:rPr>
              <w:t>2.322</w:t>
            </w:r>
          </w:p>
        </w:tc>
        <w:tc>
          <w:tcPr>
            <w:tcW w:w="1148" w:type="dxa"/>
            <w:tcBorders>
              <w:top w:val="nil"/>
              <w:left w:val="nil"/>
              <w:bottom w:val="nil"/>
              <w:right w:val="nil"/>
            </w:tcBorders>
            <w:noWrap/>
            <w:vAlign w:val="center"/>
          </w:tcPr>
          <w:p>
            <w:pPr>
              <w:shd w:val="clear" w:color="auto" w:fill="FFFFFF"/>
              <w:ind w:firstLine="360"/>
              <w:rPr>
                <w:sz w:val="18"/>
              </w:rPr>
            </w:pPr>
            <w:r>
              <w:rPr>
                <w:sz w:val="18"/>
              </w:rPr>
              <w:t>10.309</w:t>
            </w:r>
          </w:p>
        </w:tc>
        <w:tc>
          <w:tcPr>
            <w:tcW w:w="1263" w:type="dxa"/>
            <w:tcBorders>
              <w:top w:val="nil"/>
              <w:left w:val="nil"/>
              <w:bottom w:val="nil"/>
              <w:right w:val="nil"/>
            </w:tcBorders>
            <w:noWrap/>
            <w:vAlign w:val="center"/>
          </w:tcPr>
          <w:p>
            <w:pPr>
              <w:shd w:val="clear" w:color="auto" w:fill="FFFFFF"/>
              <w:ind w:firstLine="360"/>
              <w:rPr>
                <w:sz w:val="18"/>
              </w:rPr>
            </w:pPr>
            <w:r>
              <w:rPr>
                <w:sz w:val="18"/>
              </w:rPr>
              <w:t>2.73</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upperLOA_upperCI</w:t>
            </w:r>
          </w:p>
        </w:tc>
        <w:tc>
          <w:tcPr>
            <w:tcW w:w="1324" w:type="dxa"/>
            <w:tcBorders>
              <w:top w:val="nil"/>
              <w:left w:val="nil"/>
              <w:bottom w:val="nil"/>
              <w:right w:val="nil"/>
            </w:tcBorders>
            <w:noWrap/>
            <w:vAlign w:val="center"/>
          </w:tcPr>
          <w:p>
            <w:pPr>
              <w:shd w:val="clear" w:color="auto" w:fill="FFFFFF"/>
              <w:ind w:firstLine="360"/>
              <w:rPr>
                <w:sz w:val="18"/>
              </w:rPr>
            </w:pPr>
            <w:r>
              <w:rPr>
                <w:sz w:val="18"/>
              </w:rPr>
              <w:t>2.85</w:t>
            </w:r>
          </w:p>
        </w:tc>
        <w:tc>
          <w:tcPr>
            <w:tcW w:w="1324" w:type="dxa"/>
            <w:tcBorders>
              <w:top w:val="nil"/>
              <w:left w:val="nil"/>
              <w:bottom w:val="nil"/>
              <w:right w:val="nil"/>
            </w:tcBorders>
            <w:noWrap/>
            <w:vAlign w:val="center"/>
          </w:tcPr>
          <w:p>
            <w:pPr>
              <w:shd w:val="clear" w:color="auto" w:fill="FFFFFF"/>
              <w:ind w:firstLine="360"/>
              <w:rPr>
                <w:sz w:val="18"/>
              </w:rPr>
            </w:pPr>
            <w:r>
              <w:rPr>
                <w:sz w:val="18"/>
              </w:rPr>
              <w:t>2.465</w:t>
            </w:r>
          </w:p>
        </w:tc>
        <w:tc>
          <w:tcPr>
            <w:tcW w:w="1324" w:type="dxa"/>
            <w:tcBorders>
              <w:top w:val="nil"/>
              <w:left w:val="nil"/>
              <w:bottom w:val="nil"/>
              <w:right w:val="nil"/>
            </w:tcBorders>
            <w:noWrap/>
            <w:vAlign w:val="center"/>
          </w:tcPr>
          <w:p>
            <w:pPr>
              <w:shd w:val="clear" w:color="auto" w:fill="FFFFFF"/>
              <w:ind w:firstLine="360"/>
              <w:rPr>
                <w:sz w:val="18"/>
              </w:rPr>
            </w:pPr>
            <w:r>
              <w:rPr>
                <w:sz w:val="18"/>
              </w:rPr>
              <w:t>2.428</w:t>
            </w:r>
          </w:p>
        </w:tc>
        <w:tc>
          <w:tcPr>
            <w:tcW w:w="1148" w:type="dxa"/>
            <w:tcBorders>
              <w:top w:val="nil"/>
              <w:left w:val="nil"/>
              <w:bottom w:val="nil"/>
              <w:right w:val="nil"/>
            </w:tcBorders>
            <w:noWrap/>
            <w:vAlign w:val="center"/>
          </w:tcPr>
          <w:p>
            <w:pPr>
              <w:shd w:val="clear" w:color="auto" w:fill="FFFFFF"/>
              <w:ind w:firstLine="360"/>
              <w:rPr>
                <w:sz w:val="18"/>
              </w:rPr>
            </w:pPr>
            <w:r>
              <w:rPr>
                <w:sz w:val="18"/>
              </w:rPr>
              <w:t>10.742</w:t>
            </w:r>
          </w:p>
        </w:tc>
        <w:tc>
          <w:tcPr>
            <w:tcW w:w="1263" w:type="dxa"/>
            <w:tcBorders>
              <w:top w:val="nil"/>
              <w:left w:val="nil"/>
              <w:bottom w:val="nil"/>
              <w:right w:val="nil"/>
            </w:tcBorders>
            <w:noWrap/>
            <w:vAlign w:val="center"/>
          </w:tcPr>
          <w:p>
            <w:pPr>
              <w:shd w:val="clear" w:color="auto" w:fill="FFFFFF"/>
              <w:ind w:firstLine="360"/>
              <w:rPr>
                <w:sz w:val="18"/>
              </w:rPr>
            </w:pPr>
            <w:r>
              <w:rPr>
                <w:sz w:val="18"/>
              </w:rPr>
              <w:t>2.85</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upperLOA_lowerCI</w:t>
            </w:r>
          </w:p>
        </w:tc>
        <w:tc>
          <w:tcPr>
            <w:tcW w:w="1324" w:type="dxa"/>
            <w:tcBorders>
              <w:top w:val="nil"/>
              <w:left w:val="nil"/>
              <w:bottom w:val="nil"/>
              <w:right w:val="nil"/>
            </w:tcBorders>
            <w:noWrap/>
            <w:vAlign w:val="center"/>
          </w:tcPr>
          <w:p>
            <w:pPr>
              <w:shd w:val="clear" w:color="auto" w:fill="FFFFFF"/>
              <w:ind w:firstLine="360"/>
              <w:rPr>
                <w:sz w:val="18"/>
              </w:rPr>
            </w:pPr>
            <w:r>
              <w:rPr>
                <w:sz w:val="18"/>
              </w:rPr>
              <w:t>2.611</w:t>
            </w:r>
          </w:p>
        </w:tc>
        <w:tc>
          <w:tcPr>
            <w:tcW w:w="1324" w:type="dxa"/>
            <w:tcBorders>
              <w:top w:val="nil"/>
              <w:left w:val="nil"/>
              <w:bottom w:val="nil"/>
              <w:right w:val="nil"/>
            </w:tcBorders>
            <w:noWrap/>
            <w:vAlign w:val="center"/>
          </w:tcPr>
          <w:p>
            <w:pPr>
              <w:shd w:val="clear" w:color="auto" w:fill="FFFFFF"/>
              <w:ind w:firstLine="360"/>
              <w:rPr>
                <w:sz w:val="18"/>
              </w:rPr>
            </w:pPr>
            <w:r>
              <w:rPr>
                <w:sz w:val="18"/>
              </w:rPr>
              <w:t>2.257</w:t>
            </w:r>
          </w:p>
        </w:tc>
        <w:tc>
          <w:tcPr>
            <w:tcW w:w="1324" w:type="dxa"/>
            <w:tcBorders>
              <w:top w:val="nil"/>
              <w:left w:val="nil"/>
              <w:bottom w:val="nil"/>
              <w:right w:val="nil"/>
            </w:tcBorders>
            <w:noWrap/>
            <w:vAlign w:val="center"/>
          </w:tcPr>
          <w:p>
            <w:pPr>
              <w:shd w:val="clear" w:color="auto" w:fill="FFFFFF"/>
              <w:ind w:firstLine="360"/>
              <w:rPr>
                <w:sz w:val="18"/>
              </w:rPr>
            </w:pPr>
            <w:r>
              <w:rPr>
                <w:sz w:val="18"/>
              </w:rPr>
              <w:t>2.216</w:t>
            </w:r>
          </w:p>
        </w:tc>
        <w:tc>
          <w:tcPr>
            <w:tcW w:w="1148" w:type="dxa"/>
            <w:tcBorders>
              <w:top w:val="nil"/>
              <w:left w:val="nil"/>
              <w:bottom w:val="nil"/>
              <w:right w:val="nil"/>
            </w:tcBorders>
            <w:noWrap/>
            <w:vAlign w:val="center"/>
          </w:tcPr>
          <w:p>
            <w:pPr>
              <w:shd w:val="clear" w:color="auto" w:fill="FFFFFF"/>
              <w:ind w:firstLine="360"/>
              <w:rPr>
                <w:sz w:val="18"/>
              </w:rPr>
            </w:pPr>
            <w:r>
              <w:rPr>
                <w:sz w:val="18"/>
              </w:rPr>
              <w:t>9.876</w:t>
            </w:r>
          </w:p>
        </w:tc>
        <w:tc>
          <w:tcPr>
            <w:tcW w:w="1263" w:type="dxa"/>
            <w:tcBorders>
              <w:top w:val="nil"/>
              <w:left w:val="nil"/>
              <w:bottom w:val="nil"/>
              <w:right w:val="nil"/>
            </w:tcBorders>
            <w:noWrap/>
            <w:vAlign w:val="center"/>
          </w:tcPr>
          <w:p>
            <w:pPr>
              <w:shd w:val="clear" w:color="auto" w:fill="FFFFFF"/>
              <w:ind w:firstLine="360"/>
              <w:rPr>
                <w:sz w:val="18"/>
              </w:rPr>
            </w:pPr>
            <w:r>
              <w:rPr>
                <w:sz w:val="18"/>
              </w:rPr>
              <w:t>2.611</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lowerLOA</w:t>
            </w:r>
          </w:p>
        </w:tc>
        <w:tc>
          <w:tcPr>
            <w:tcW w:w="1324" w:type="dxa"/>
            <w:tcBorders>
              <w:top w:val="nil"/>
              <w:left w:val="nil"/>
              <w:bottom w:val="nil"/>
              <w:right w:val="nil"/>
            </w:tcBorders>
            <w:noWrap/>
            <w:vAlign w:val="center"/>
          </w:tcPr>
          <w:p>
            <w:pPr>
              <w:shd w:val="clear" w:color="auto" w:fill="FFFFFF"/>
              <w:ind w:firstLine="360"/>
              <w:rPr>
                <w:sz w:val="18"/>
              </w:rPr>
            </w:pPr>
            <w:r>
              <w:rPr>
                <w:sz w:val="18"/>
              </w:rPr>
              <w:t>-3.657</w:t>
            </w:r>
          </w:p>
        </w:tc>
        <w:tc>
          <w:tcPr>
            <w:tcW w:w="1324" w:type="dxa"/>
            <w:tcBorders>
              <w:top w:val="nil"/>
              <w:left w:val="nil"/>
              <w:bottom w:val="nil"/>
              <w:right w:val="nil"/>
            </w:tcBorders>
            <w:noWrap/>
            <w:vAlign w:val="center"/>
          </w:tcPr>
          <w:p>
            <w:pPr>
              <w:shd w:val="clear" w:color="auto" w:fill="FFFFFF"/>
              <w:ind w:firstLine="360"/>
              <w:rPr>
                <w:sz w:val="18"/>
              </w:rPr>
            </w:pPr>
            <w:r>
              <w:rPr>
                <w:sz w:val="18"/>
              </w:rPr>
              <w:t>-3.223</w:t>
            </w:r>
          </w:p>
        </w:tc>
        <w:tc>
          <w:tcPr>
            <w:tcW w:w="1324" w:type="dxa"/>
            <w:tcBorders>
              <w:top w:val="nil"/>
              <w:left w:val="nil"/>
              <w:bottom w:val="nil"/>
              <w:right w:val="nil"/>
            </w:tcBorders>
            <w:noWrap/>
            <w:vAlign w:val="center"/>
          </w:tcPr>
          <w:p>
            <w:pPr>
              <w:shd w:val="clear" w:color="auto" w:fill="FFFFFF"/>
              <w:ind w:firstLine="360"/>
              <w:rPr>
                <w:sz w:val="18"/>
              </w:rPr>
            </w:pPr>
            <w:r>
              <w:rPr>
                <w:sz w:val="18"/>
              </w:rPr>
              <w:t>-3.374</w:t>
            </w:r>
          </w:p>
        </w:tc>
        <w:tc>
          <w:tcPr>
            <w:tcW w:w="1148" w:type="dxa"/>
            <w:tcBorders>
              <w:top w:val="nil"/>
              <w:left w:val="nil"/>
              <w:bottom w:val="nil"/>
              <w:right w:val="nil"/>
            </w:tcBorders>
            <w:noWrap/>
            <w:vAlign w:val="center"/>
          </w:tcPr>
          <w:p>
            <w:pPr>
              <w:shd w:val="clear" w:color="auto" w:fill="FFFFFF"/>
              <w:ind w:firstLine="360"/>
              <w:rPr>
                <w:sz w:val="18"/>
              </w:rPr>
            </w:pPr>
            <w:r>
              <w:rPr>
                <w:sz w:val="18"/>
              </w:rPr>
              <w:t>-12.922</w:t>
            </w:r>
          </w:p>
        </w:tc>
        <w:tc>
          <w:tcPr>
            <w:tcW w:w="1263" w:type="dxa"/>
            <w:tcBorders>
              <w:top w:val="nil"/>
              <w:left w:val="nil"/>
              <w:bottom w:val="nil"/>
              <w:right w:val="nil"/>
            </w:tcBorders>
            <w:noWrap/>
            <w:vAlign w:val="center"/>
          </w:tcPr>
          <w:p>
            <w:pPr>
              <w:shd w:val="clear" w:color="auto" w:fill="FFFFFF"/>
              <w:ind w:firstLine="360"/>
              <w:rPr>
                <w:sz w:val="18"/>
              </w:rPr>
            </w:pPr>
            <w:r>
              <w:rPr>
                <w:sz w:val="18"/>
              </w:rPr>
              <w:t>-3.657</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lowerLOA_upperCI</w:t>
            </w:r>
          </w:p>
        </w:tc>
        <w:tc>
          <w:tcPr>
            <w:tcW w:w="1324" w:type="dxa"/>
            <w:tcBorders>
              <w:top w:val="nil"/>
              <w:left w:val="nil"/>
              <w:bottom w:val="nil"/>
              <w:right w:val="nil"/>
            </w:tcBorders>
            <w:noWrap/>
            <w:vAlign w:val="center"/>
          </w:tcPr>
          <w:p>
            <w:pPr>
              <w:shd w:val="clear" w:color="auto" w:fill="FFFFFF"/>
              <w:ind w:firstLine="360"/>
              <w:rPr>
                <w:sz w:val="18"/>
              </w:rPr>
            </w:pPr>
            <w:r>
              <w:rPr>
                <w:sz w:val="18"/>
              </w:rPr>
              <w:t>-3.538</w:t>
            </w:r>
          </w:p>
        </w:tc>
        <w:tc>
          <w:tcPr>
            <w:tcW w:w="1324" w:type="dxa"/>
            <w:tcBorders>
              <w:top w:val="nil"/>
              <w:left w:val="nil"/>
              <w:bottom w:val="nil"/>
              <w:right w:val="nil"/>
            </w:tcBorders>
            <w:noWrap/>
            <w:vAlign w:val="center"/>
          </w:tcPr>
          <w:p>
            <w:pPr>
              <w:shd w:val="clear" w:color="auto" w:fill="FFFFFF"/>
              <w:ind w:firstLine="360"/>
              <w:rPr>
                <w:sz w:val="18"/>
              </w:rPr>
            </w:pPr>
            <w:r>
              <w:rPr>
                <w:sz w:val="18"/>
              </w:rPr>
              <w:t>-3.119</w:t>
            </w:r>
          </w:p>
        </w:tc>
        <w:tc>
          <w:tcPr>
            <w:tcW w:w="1324" w:type="dxa"/>
            <w:tcBorders>
              <w:top w:val="nil"/>
              <w:left w:val="nil"/>
              <w:bottom w:val="nil"/>
              <w:right w:val="nil"/>
            </w:tcBorders>
            <w:noWrap/>
            <w:vAlign w:val="center"/>
          </w:tcPr>
          <w:p>
            <w:pPr>
              <w:shd w:val="clear" w:color="auto" w:fill="FFFFFF"/>
              <w:ind w:firstLine="360"/>
              <w:rPr>
                <w:sz w:val="18"/>
              </w:rPr>
            </w:pPr>
            <w:r>
              <w:rPr>
                <w:sz w:val="18"/>
              </w:rPr>
              <w:t>-3.267</w:t>
            </w:r>
          </w:p>
        </w:tc>
        <w:tc>
          <w:tcPr>
            <w:tcW w:w="1148" w:type="dxa"/>
            <w:tcBorders>
              <w:top w:val="nil"/>
              <w:left w:val="nil"/>
              <w:bottom w:val="nil"/>
              <w:right w:val="nil"/>
            </w:tcBorders>
            <w:noWrap/>
            <w:vAlign w:val="center"/>
          </w:tcPr>
          <w:p>
            <w:pPr>
              <w:shd w:val="clear" w:color="auto" w:fill="FFFFFF"/>
              <w:ind w:firstLine="360"/>
              <w:rPr>
                <w:sz w:val="18"/>
              </w:rPr>
            </w:pPr>
            <w:r>
              <w:rPr>
                <w:sz w:val="18"/>
              </w:rPr>
              <w:t>-12.489</w:t>
            </w:r>
          </w:p>
        </w:tc>
        <w:tc>
          <w:tcPr>
            <w:tcW w:w="1263" w:type="dxa"/>
            <w:tcBorders>
              <w:top w:val="nil"/>
              <w:left w:val="nil"/>
              <w:bottom w:val="nil"/>
              <w:right w:val="nil"/>
            </w:tcBorders>
            <w:noWrap/>
            <w:vAlign w:val="center"/>
          </w:tcPr>
          <w:p>
            <w:pPr>
              <w:shd w:val="clear" w:color="auto" w:fill="FFFFFF"/>
              <w:ind w:firstLine="360"/>
              <w:rPr>
                <w:sz w:val="18"/>
              </w:rPr>
            </w:pPr>
            <w:r>
              <w:rPr>
                <w:sz w:val="18"/>
              </w:rPr>
              <w:t>-3.538</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lowerLOA_lowerCI</w:t>
            </w:r>
          </w:p>
        </w:tc>
        <w:tc>
          <w:tcPr>
            <w:tcW w:w="1324" w:type="dxa"/>
            <w:tcBorders>
              <w:top w:val="nil"/>
              <w:left w:val="nil"/>
              <w:bottom w:val="nil"/>
              <w:right w:val="nil"/>
            </w:tcBorders>
            <w:noWrap/>
            <w:vAlign w:val="center"/>
          </w:tcPr>
          <w:p>
            <w:pPr>
              <w:shd w:val="clear" w:color="auto" w:fill="FFFFFF"/>
              <w:ind w:firstLine="360"/>
              <w:rPr>
                <w:sz w:val="18"/>
              </w:rPr>
            </w:pPr>
            <w:r>
              <w:rPr>
                <w:sz w:val="18"/>
              </w:rPr>
              <w:t>-3.777</w:t>
            </w:r>
          </w:p>
        </w:tc>
        <w:tc>
          <w:tcPr>
            <w:tcW w:w="1324" w:type="dxa"/>
            <w:tcBorders>
              <w:top w:val="nil"/>
              <w:left w:val="nil"/>
              <w:bottom w:val="nil"/>
              <w:right w:val="nil"/>
            </w:tcBorders>
            <w:noWrap/>
            <w:vAlign w:val="center"/>
          </w:tcPr>
          <w:p>
            <w:pPr>
              <w:shd w:val="clear" w:color="auto" w:fill="FFFFFF"/>
              <w:ind w:firstLine="360"/>
              <w:rPr>
                <w:sz w:val="18"/>
              </w:rPr>
            </w:pPr>
            <w:r>
              <w:rPr>
                <w:sz w:val="18"/>
              </w:rPr>
              <w:t>-3.327</w:t>
            </w:r>
          </w:p>
        </w:tc>
        <w:tc>
          <w:tcPr>
            <w:tcW w:w="1324" w:type="dxa"/>
            <w:tcBorders>
              <w:top w:val="nil"/>
              <w:left w:val="nil"/>
              <w:bottom w:val="nil"/>
              <w:right w:val="nil"/>
            </w:tcBorders>
            <w:noWrap/>
            <w:vAlign w:val="center"/>
          </w:tcPr>
          <w:p>
            <w:pPr>
              <w:shd w:val="clear" w:color="auto" w:fill="FFFFFF"/>
              <w:ind w:firstLine="360"/>
              <w:rPr>
                <w:sz w:val="18"/>
              </w:rPr>
            </w:pPr>
            <w:r>
              <w:rPr>
                <w:sz w:val="18"/>
              </w:rPr>
              <w:t>-3.48</w:t>
            </w:r>
          </w:p>
        </w:tc>
        <w:tc>
          <w:tcPr>
            <w:tcW w:w="1148" w:type="dxa"/>
            <w:tcBorders>
              <w:top w:val="nil"/>
              <w:left w:val="nil"/>
              <w:bottom w:val="nil"/>
              <w:right w:val="nil"/>
            </w:tcBorders>
            <w:noWrap/>
            <w:vAlign w:val="center"/>
          </w:tcPr>
          <w:p>
            <w:pPr>
              <w:shd w:val="clear" w:color="auto" w:fill="FFFFFF"/>
              <w:ind w:firstLine="360"/>
              <w:rPr>
                <w:sz w:val="18"/>
              </w:rPr>
            </w:pPr>
            <w:r>
              <w:rPr>
                <w:sz w:val="18"/>
              </w:rPr>
              <w:t>-13.355</w:t>
            </w:r>
          </w:p>
        </w:tc>
        <w:tc>
          <w:tcPr>
            <w:tcW w:w="1263" w:type="dxa"/>
            <w:tcBorders>
              <w:top w:val="nil"/>
              <w:left w:val="nil"/>
              <w:bottom w:val="nil"/>
              <w:right w:val="nil"/>
            </w:tcBorders>
            <w:noWrap/>
            <w:vAlign w:val="center"/>
          </w:tcPr>
          <w:p>
            <w:pPr>
              <w:shd w:val="clear" w:color="auto" w:fill="FFFFFF"/>
              <w:ind w:firstLine="360"/>
              <w:rPr>
                <w:sz w:val="18"/>
              </w:rPr>
            </w:pPr>
            <w:r>
              <w:rPr>
                <w:sz w:val="18"/>
              </w:rPr>
              <w:t>-3.777</w:t>
            </w:r>
          </w:p>
        </w:tc>
      </w:tr>
      <w:tr>
        <w:tblPrEx>
          <w:tblCellMar>
            <w:top w:w="0" w:type="dxa"/>
            <w:left w:w="108" w:type="dxa"/>
            <w:bottom w:w="0" w:type="dxa"/>
            <w:right w:w="108" w:type="dxa"/>
          </w:tblCellMar>
        </w:tblPrEx>
        <w:trPr>
          <w:trHeight w:val="269" w:hRule="atLeast"/>
          <w:jc w:val="center"/>
        </w:trPr>
        <w:tc>
          <w:tcPr>
            <w:tcW w:w="3160" w:type="dxa"/>
            <w:tcBorders>
              <w:top w:val="nil"/>
              <w:left w:val="nil"/>
              <w:bottom w:val="nil"/>
              <w:right w:val="nil"/>
            </w:tcBorders>
            <w:noWrap/>
            <w:vAlign w:val="center"/>
          </w:tcPr>
          <w:p>
            <w:pPr>
              <w:shd w:val="clear" w:color="auto" w:fill="FFFFFF"/>
              <w:ind w:firstLine="360"/>
              <w:rPr>
                <w:sz w:val="18"/>
              </w:rPr>
            </w:pPr>
            <w:r>
              <w:rPr>
                <w:sz w:val="18"/>
              </w:rPr>
              <w:t>regression.fixed.slope</w:t>
            </w:r>
          </w:p>
        </w:tc>
        <w:tc>
          <w:tcPr>
            <w:tcW w:w="1324" w:type="dxa"/>
            <w:tcBorders>
              <w:top w:val="nil"/>
              <w:left w:val="nil"/>
              <w:bottom w:val="nil"/>
              <w:right w:val="nil"/>
            </w:tcBorders>
            <w:noWrap/>
            <w:vAlign w:val="center"/>
          </w:tcPr>
          <w:p>
            <w:pPr>
              <w:shd w:val="clear" w:color="auto" w:fill="FFFFFF"/>
              <w:ind w:firstLine="360"/>
              <w:rPr>
                <w:sz w:val="18"/>
              </w:rPr>
            </w:pPr>
            <w:r>
              <w:rPr>
                <w:sz w:val="18"/>
              </w:rPr>
              <w:t>0.15</w:t>
            </w:r>
          </w:p>
        </w:tc>
        <w:tc>
          <w:tcPr>
            <w:tcW w:w="1324" w:type="dxa"/>
            <w:tcBorders>
              <w:top w:val="nil"/>
              <w:left w:val="nil"/>
              <w:bottom w:val="nil"/>
              <w:right w:val="nil"/>
            </w:tcBorders>
            <w:noWrap/>
            <w:vAlign w:val="center"/>
          </w:tcPr>
          <w:p>
            <w:pPr>
              <w:shd w:val="clear" w:color="auto" w:fill="FFFFFF"/>
              <w:ind w:firstLine="360"/>
              <w:rPr>
                <w:sz w:val="18"/>
              </w:rPr>
            </w:pPr>
            <w:r>
              <w:rPr>
                <w:sz w:val="18"/>
              </w:rPr>
              <w:t>0.12</w:t>
            </w:r>
          </w:p>
        </w:tc>
        <w:tc>
          <w:tcPr>
            <w:tcW w:w="1324" w:type="dxa"/>
            <w:tcBorders>
              <w:top w:val="nil"/>
              <w:left w:val="nil"/>
              <w:bottom w:val="nil"/>
              <w:right w:val="nil"/>
            </w:tcBorders>
            <w:noWrap/>
            <w:vAlign w:val="center"/>
          </w:tcPr>
          <w:p>
            <w:pPr>
              <w:shd w:val="clear" w:color="auto" w:fill="FFFFFF"/>
              <w:ind w:firstLine="360"/>
              <w:rPr>
                <w:sz w:val="18"/>
              </w:rPr>
            </w:pPr>
            <w:r>
              <w:rPr>
                <w:sz w:val="18"/>
              </w:rPr>
              <w:t>0.12</w:t>
            </w:r>
          </w:p>
        </w:tc>
        <w:tc>
          <w:tcPr>
            <w:tcW w:w="1148" w:type="dxa"/>
            <w:tcBorders>
              <w:top w:val="nil"/>
              <w:left w:val="nil"/>
              <w:bottom w:val="nil"/>
              <w:right w:val="nil"/>
            </w:tcBorders>
            <w:noWrap/>
            <w:vAlign w:val="center"/>
          </w:tcPr>
          <w:p>
            <w:pPr>
              <w:shd w:val="clear" w:color="auto" w:fill="FFFFFF"/>
              <w:ind w:firstLine="360"/>
              <w:rPr>
                <w:sz w:val="18"/>
              </w:rPr>
            </w:pPr>
            <w:r>
              <w:rPr>
                <w:sz w:val="18"/>
              </w:rPr>
              <w:t>-0.02</w:t>
            </w:r>
          </w:p>
        </w:tc>
        <w:tc>
          <w:tcPr>
            <w:tcW w:w="1263" w:type="dxa"/>
            <w:tcBorders>
              <w:top w:val="nil"/>
              <w:left w:val="nil"/>
              <w:bottom w:val="nil"/>
              <w:right w:val="nil"/>
            </w:tcBorders>
            <w:noWrap/>
            <w:vAlign w:val="center"/>
          </w:tcPr>
          <w:p>
            <w:pPr>
              <w:shd w:val="clear" w:color="auto" w:fill="FFFFFF"/>
              <w:ind w:firstLine="360"/>
              <w:rPr>
                <w:sz w:val="18"/>
              </w:rPr>
            </w:pPr>
            <w:r>
              <w:rPr>
                <w:sz w:val="18"/>
              </w:rPr>
              <w:t>0.15</w:t>
            </w:r>
          </w:p>
        </w:tc>
      </w:tr>
      <w:tr>
        <w:tblPrEx>
          <w:tblCellMar>
            <w:top w:w="0" w:type="dxa"/>
            <w:left w:w="108" w:type="dxa"/>
            <w:bottom w:w="0" w:type="dxa"/>
            <w:right w:w="108" w:type="dxa"/>
          </w:tblCellMar>
        </w:tblPrEx>
        <w:trPr>
          <w:trHeight w:val="275" w:hRule="atLeast"/>
          <w:jc w:val="center"/>
        </w:trPr>
        <w:tc>
          <w:tcPr>
            <w:tcW w:w="3160" w:type="dxa"/>
            <w:tcBorders>
              <w:top w:val="nil"/>
              <w:left w:val="nil"/>
              <w:bottom w:val="single" w:color="auto" w:sz="12" w:space="0"/>
              <w:right w:val="nil"/>
            </w:tcBorders>
            <w:noWrap/>
            <w:vAlign w:val="center"/>
          </w:tcPr>
          <w:p>
            <w:pPr>
              <w:shd w:val="clear" w:color="auto" w:fill="FFFFFF"/>
              <w:ind w:firstLine="360"/>
              <w:rPr>
                <w:sz w:val="18"/>
              </w:rPr>
            </w:pPr>
            <w:r>
              <w:rPr>
                <w:sz w:val="18"/>
              </w:rPr>
              <w:t>regression.fixed.intercept</w:t>
            </w:r>
          </w:p>
        </w:tc>
        <w:tc>
          <w:tcPr>
            <w:tcW w:w="1324" w:type="dxa"/>
            <w:tcBorders>
              <w:top w:val="nil"/>
              <w:left w:val="nil"/>
              <w:bottom w:val="single" w:color="auto" w:sz="12" w:space="0"/>
              <w:right w:val="nil"/>
            </w:tcBorders>
            <w:noWrap/>
            <w:vAlign w:val="center"/>
          </w:tcPr>
          <w:p>
            <w:pPr>
              <w:shd w:val="clear" w:color="auto" w:fill="FFFFFF"/>
              <w:ind w:firstLine="360"/>
              <w:rPr>
                <w:sz w:val="18"/>
              </w:rPr>
            </w:pPr>
            <w:r>
              <w:rPr>
                <w:sz w:val="18"/>
              </w:rPr>
              <w:t>-0.83</w:t>
            </w:r>
          </w:p>
        </w:tc>
        <w:tc>
          <w:tcPr>
            <w:tcW w:w="1324" w:type="dxa"/>
            <w:tcBorders>
              <w:top w:val="nil"/>
              <w:left w:val="nil"/>
              <w:bottom w:val="single" w:color="auto" w:sz="12" w:space="0"/>
              <w:right w:val="nil"/>
            </w:tcBorders>
            <w:noWrap/>
            <w:vAlign w:val="center"/>
          </w:tcPr>
          <w:p>
            <w:pPr>
              <w:shd w:val="clear" w:color="auto" w:fill="FFFFFF"/>
              <w:ind w:firstLine="360"/>
              <w:rPr>
                <w:sz w:val="18"/>
              </w:rPr>
            </w:pPr>
            <w:r>
              <w:rPr>
                <w:sz w:val="18"/>
              </w:rPr>
              <w:t>-0.71</w:t>
            </w:r>
          </w:p>
        </w:tc>
        <w:tc>
          <w:tcPr>
            <w:tcW w:w="1324" w:type="dxa"/>
            <w:tcBorders>
              <w:top w:val="nil"/>
              <w:left w:val="nil"/>
              <w:bottom w:val="single" w:color="auto" w:sz="12" w:space="0"/>
              <w:right w:val="nil"/>
            </w:tcBorders>
            <w:noWrap/>
            <w:vAlign w:val="center"/>
          </w:tcPr>
          <w:p>
            <w:pPr>
              <w:shd w:val="clear" w:color="auto" w:fill="FFFFFF"/>
              <w:ind w:firstLine="360"/>
              <w:rPr>
                <w:sz w:val="18"/>
              </w:rPr>
            </w:pPr>
            <w:r>
              <w:rPr>
                <w:sz w:val="18"/>
              </w:rPr>
              <w:t>-0.82</w:t>
            </w:r>
          </w:p>
        </w:tc>
        <w:tc>
          <w:tcPr>
            <w:tcW w:w="1148" w:type="dxa"/>
            <w:tcBorders>
              <w:top w:val="nil"/>
              <w:left w:val="nil"/>
              <w:bottom w:val="single" w:color="auto" w:sz="12" w:space="0"/>
              <w:right w:val="nil"/>
            </w:tcBorders>
            <w:noWrap/>
            <w:vAlign w:val="center"/>
          </w:tcPr>
          <w:p>
            <w:pPr>
              <w:shd w:val="clear" w:color="auto" w:fill="FFFFFF"/>
              <w:ind w:firstLine="360"/>
              <w:rPr>
                <w:sz w:val="18"/>
              </w:rPr>
            </w:pPr>
            <w:r>
              <w:rPr>
                <w:sz w:val="18"/>
              </w:rPr>
              <w:t>-1.1</w:t>
            </w:r>
          </w:p>
        </w:tc>
        <w:tc>
          <w:tcPr>
            <w:tcW w:w="1263" w:type="dxa"/>
            <w:tcBorders>
              <w:top w:val="nil"/>
              <w:left w:val="nil"/>
              <w:bottom w:val="single" w:color="auto" w:sz="12" w:space="0"/>
              <w:right w:val="nil"/>
            </w:tcBorders>
            <w:noWrap/>
            <w:vAlign w:val="center"/>
          </w:tcPr>
          <w:p>
            <w:pPr>
              <w:shd w:val="clear" w:color="auto" w:fill="FFFFFF"/>
              <w:ind w:firstLine="360"/>
              <w:rPr>
                <w:sz w:val="18"/>
              </w:rPr>
            </w:pPr>
            <w:r>
              <w:rPr>
                <w:sz w:val="18"/>
              </w:rPr>
              <w:t>-0.83</w:t>
            </w:r>
          </w:p>
        </w:tc>
      </w:tr>
    </w:tbl>
    <w:p>
      <w:pPr>
        <w:jc w:val="center"/>
        <w:rPr>
          <w:rFonts w:ascii="宋体" w:hAnsi="宋体" w:eastAsia="宋体" w:cs="宋体"/>
        </w:rPr>
      </w:pPr>
      <w:r>
        <w:t xml:space="preserve">LOA limits of agreement, CI confidence interval, SEM </w:t>
      </w:r>
      <w:r>
        <w:rPr>
          <w:rFonts w:hint="eastAsia"/>
        </w:rPr>
        <w:t>s</w:t>
      </w:r>
      <w:r>
        <w:t>tandard error of mean,</w:t>
      </w:r>
      <w:r>
        <w:rPr>
          <w:rFonts w:hint="eastAsia" w:ascii="宋体" w:hAnsi="宋体" w:eastAsia="宋体" w:cs="宋体"/>
        </w:rPr>
        <w:t xml:space="preserve"> </w:t>
      </w:r>
      <w:r>
        <w:rPr>
          <w:rFonts w:hint="eastAsia"/>
        </w:rPr>
        <w:t>ADC</w:t>
      </w:r>
      <w:r>
        <w:t xml:space="preserve"> </w:t>
      </w:r>
      <w:r>
        <w:rPr>
          <w:rFonts w:hint="eastAsia"/>
        </w:rPr>
        <w:t>a</w:t>
      </w:r>
      <w:r>
        <w:t>pparent diffusion coefficient</w:t>
      </w:r>
    </w:p>
    <w:p>
      <w:pPr>
        <w:rPr>
          <w:rFonts w:eastAsiaTheme="minorEastAsia"/>
        </w:rPr>
      </w:pPr>
    </w:p>
    <w:p>
      <w:pPr>
        <w:pStyle w:val="3"/>
        <w:ind w:firstLine="640"/>
        <w:rPr>
          <w:rFonts w:eastAsiaTheme="minorEastAsia"/>
        </w:rPr>
      </w:pPr>
    </w:p>
    <w:p>
      <w:pPr>
        <w:pStyle w:val="7"/>
        <w:ind w:firstLine="482"/>
        <w:jc w:val="center"/>
        <w:rPr>
          <w:rFonts w:hint="eastAsia"/>
          <w:b/>
        </w:rPr>
      </w:pPr>
      <w:bookmarkStart w:id="11" w:name="_Ref126670505"/>
      <w:bookmarkStart w:id="12" w:name="_Ref126669973"/>
      <w:r>
        <w:rPr>
          <w:b/>
        </w:rPr>
        <w:t xml:space="preserve">Table </w:t>
      </w:r>
      <w:bookmarkEnd w:id="11"/>
      <w:r>
        <w:rPr>
          <w:b/>
        </w:rPr>
        <w:t xml:space="preserve">S 14 </w:t>
      </w:r>
      <w:r>
        <w:rPr>
          <w:bCs/>
        </w:rPr>
        <w:t>Odds ratios and their significance in the models</w:t>
      </w:r>
    </w:p>
    <w:tbl>
      <w:tblPr>
        <w:tblStyle w:val="13"/>
        <w:tblW w:w="8480" w:type="dxa"/>
        <w:jc w:val="center"/>
        <w:tblLayout w:type="autofit"/>
        <w:tblCellMar>
          <w:top w:w="0" w:type="dxa"/>
          <w:left w:w="108" w:type="dxa"/>
          <w:bottom w:w="0" w:type="dxa"/>
          <w:right w:w="108" w:type="dxa"/>
        </w:tblCellMar>
      </w:tblPr>
      <w:tblGrid>
        <w:gridCol w:w="2139"/>
        <w:gridCol w:w="1080"/>
        <w:gridCol w:w="1080"/>
        <w:gridCol w:w="1080"/>
        <w:gridCol w:w="2120"/>
        <w:gridCol w:w="1080"/>
      </w:tblGrid>
      <w:tr>
        <w:tblPrEx>
          <w:tblCellMar>
            <w:top w:w="0" w:type="dxa"/>
            <w:left w:w="108" w:type="dxa"/>
            <w:bottom w:w="0" w:type="dxa"/>
            <w:right w:w="108" w:type="dxa"/>
          </w:tblCellMar>
        </w:tblPrEx>
        <w:trPr>
          <w:trHeight w:val="278" w:hRule="atLeast"/>
          <w:jc w:val="center"/>
        </w:trPr>
        <w:tc>
          <w:tcPr>
            <w:tcW w:w="2040" w:type="dxa"/>
            <w:tcBorders>
              <w:top w:val="single" w:color="auto" w:sz="4" w:space="0"/>
              <w:left w:val="nil"/>
              <w:bottom w:val="single" w:color="auto" w:sz="4" w:space="0"/>
              <w:right w:val="nil"/>
            </w:tcBorders>
            <w:shd w:val="clear" w:color="auto" w:fill="auto"/>
            <w:noWrap/>
            <w:vAlign w:val="center"/>
          </w:tcPr>
          <w:p>
            <w:pPr>
              <w:widowControl/>
              <w:ind w:firstLine="0" w:firstLineChars="0"/>
              <w:jc w:val="left"/>
              <w:rPr>
                <w:rFonts w:eastAsia="等线"/>
                <w:color w:val="000000"/>
                <w:kern w:val="0"/>
                <w:sz w:val="22"/>
                <w:szCs w:val="22"/>
              </w:rPr>
            </w:pPr>
            <w:bookmarkStart w:id="13" w:name="_Ref126670919"/>
            <w:r>
              <w:rPr>
                <w:rFonts w:eastAsia="等线"/>
                <w:color w:val="000000"/>
                <w:kern w:val="0"/>
                <w:sz w:val="22"/>
                <w:szCs w:val="22"/>
              </w:rPr>
              <w:t>　</w:t>
            </w:r>
          </w:p>
        </w:tc>
        <w:tc>
          <w:tcPr>
            <w:tcW w:w="10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Value</w:t>
            </w:r>
          </w:p>
        </w:tc>
        <w:tc>
          <w:tcPr>
            <w:tcW w:w="10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Std. Error</w:t>
            </w:r>
          </w:p>
        </w:tc>
        <w:tc>
          <w:tcPr>
            <w:tcW w:w="10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i/>
                <w:iCs/>
                <w:color w:val="000000"/>
                <w:kern w:val="0"/>
                <w:sz w:val="22"/>
                <w:szCs w:val="22"/>
              </w:rPr>
              <w:t>t</w:t>
            </w:r>
            <w:r>
              <w:rPr>
                <w:rFonts w:eastAsia="等线"/>
                <w:b/>
                <w:bCs/>
                <w:color w:val="000000"/>
                <w:kern w:val="0"/>
                <w:sz w:val="22"/>
                <w:szCs w:val="22"/>
              </w:rPr>
              <w:t xml:space="preserve"> value</w:t>
            </w:r>
          </w:p>
        </w:tc>
        <w:tc>
          <w:tcPr>
            <w:tcW w:w="212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OR (95% CI)</w:t>
            </w:r>
          </w:p>
        </w:tc>
        <w:tc>
          <w:tcPr>
            <w:tcW w:w="10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i/>
                <w:iCs/>
                <w:color w:val="000000"/>
                <w:kern w:val="0"/>
                <w:sz w:val="22"/>
                <w:szCs w:val="22"/>
              </w:rPr>
              <w:t>P</w:t>
            </w:r>
            <w:r>
              <w:rPr>
                <w:rFonts w:eastAsia="等线"/>
                <w:b/>
                <w:bCs/>
                <w:color w:val="000000"/>
                <w:kern w:val="0"/>
                <w:sz w:val="22"/>
                <w:szCs w:val="22"/>
              </w:rPr>
              <w:t xml:space="preserve"> value</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Age</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0.003</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-3.193</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 (-0.032, 0.012)</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PSA</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0.046</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0.008</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5.524</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1.047 (0.030, 0.063)</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&lt;0.001</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PCaLocation=PZ</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2.203</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0.159</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13.861</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9.054 (0.937, 3.471)</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&lt;0.001</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PCaLocation=TZ</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2.001</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0.135</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14.792</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7.396 (0.830, 3.213)</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&lt;0.001</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PCaLocation=PZ+TZ</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2.363</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0.119</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19.787</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10.626 (1.150, 3.592)</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&lt;0.001</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PIRADS=PIRADS_2</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0.105</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0.162</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0.647</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1.110 (-2.579, 2.752)</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0.518</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PIRADS=PIRADS_3</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0.157</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0.123</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1.277</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1.170 (-2.817, 2.433)</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0.201</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PIRADS=PIRADS_4</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0.099</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0.161</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0.615</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1.104 (-2.618, 2.625)</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0.538</w:t>
            </w:r>
          </w:p>
        </w:tc>
      </w:tr>
      <w:tr>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PIRADS=PIRADS_5</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-0.156</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0.17</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-0.922</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0.855 (-2.455, 2.797)</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0.357</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p_m1_volume</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0.010</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0.019</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0.542</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1.010 (-0.027, 0.048)</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0.588</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p_m1_z</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-0.006</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0.012</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-0.497</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0.994 (-0.031, 0.020)</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0.619</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p_m1_ADC</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-0.002</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0.000</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-4.347</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0.998 (-0.003, 0.000)</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&lt;0.001</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p_m1_DWIsingal</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0.000</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0.427</w:t>
            </w:r>
          </w:p>
        </w:tc>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1.000 (-0.001, 0.001)</w:t>
            </w:r>
          </w:p>
        </w:tc>
        <w:tc>
          <w:tcPr>
            <w:tcW w:w="10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0.670</w:t>
            </w:r>
          </w:p>
        </w:tc>
      </w:tr>
      <w:tr>
        <w:tblPrEx>
          <w:tblCellMar>
            <w:top w:w="0" w:type="dxa"/>
            <w:left w:w="108" w:type="dxa"/>
            <w:bottom w:w="0" w:type="dxa"/>
            <w:right w:w="108" w:type="dxa"/>
          </w:tblCellMar>
        </w:tblPrEx>
        <w:trPr>
          <w:trHeight w:val="278" w:hRule="atLeast"/>
          <w:jc w:val="center"/>
        </w:trPr>
        <w:tc>
          <w:tcPr>
            <w:tcW w:w="2040" w:type="dxa"/>
            <w:tcBorders>
              <w:top w:val="nil"/>
              <w:left w:val="nil"/>
              <w:bottom w:val="single" w:color="auto" w:sz="4" w:space="0"/>
              <w:right w:val="nil"/>
            </w:tcBorders>
            <w:shd w:val="clear" w:color="000000" w:fill="FFFFFF"/>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p_m1_T2WIsignal</w:t>
            </w:r>
          </w:p>
        </w:tc>
        <w:tc>
          <w:tcPr>
            <w:tcW w:w="10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0.000</w:t>
            </w:r>
          </w:p>
        </w:tc>
        <w:tc>
          <w:tcPr>
            <w:tcW w:w="10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0.000</w:t>
            </w:r>
          </w:p>
        </w:tc>
        <w:tc>
          <w:tcPr>
            <w:tcW w:w="10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-0.576</w:t>
            </w:r>
          </w:p>
        </w:tc>
        <w:tc>
          <w:tcPr>
            <w:tcW w:w="21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1.000 (-0.001, 0.000)</w:t>
            </w:r>
          </w:p>
        </w:tc>
        <w:tc>
          <w:tcPr>
            <w:tcW w:w="10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0.565</w:t>
            </w:r>
          </w:p>
        </w:tc>
      </w:tr>
    </w:tbl>
    <w:p>
      <w:pPr>
        <w:pStyle w:val="7"/>
      </w:pPr>
    </w:p>
    <w:p>
      <w:pPr>
        <w:pStyle w:val="7"/>
        <w:ind w:firstLine="482"/>
        <w:jc w:val="center"/>
        <w:rPr>
          <w:b/>
        </w:rPr>
      </w:pPr>
      <w:r>
        <w:rPr>
          <w:b/>
        </w:rPr>
        <w:t xml:space="preserve">Table </w:t>
      </w:r>
      <w:bookmarkEnd w:id="13"/>
      <w:r>
        <w:rPr>
          <w:b/>
        </w:rPr>
        <w:t xml:space="preserve"> S 15 </w:t>
      </w:r>
      <w:r>
        <w:rPr>
          <w:bCs/>
        </w:rPr>
        <w:t>Selected features and their coefficients in the radiomics and deep-radiomics models</w:t>
      </w:r>
    </w:p>
    <w:tbl>
      <w:tblPr>
        <w:tblStyle w:val="13"/>
        <w:tblW w:w="8763" w:type="dxa"/>
        <w:jc w:val="center"/>
        <w:tblLayout w:type="autofit"/>
        <w:tblCellMar>
          <w:top w:w="0" w:type="dxa"/>
          <w:left w:w="108" w:type="dxa"/>
          <w:bottom w:w="0" w:type="dxa"/>
          <w:right w:w="108" w:type="dxa"/>
        </w:tblCellMar>
      </w:tblPr>
      <w:tblGrid>
        <w:gridCol w:w="2120"/>
        <w:gridCol w:w="5409"/>
        <w:gridCol w:w="1420"/>
      </w:tblGrid>
      <w:tr>
        <w:tblPrEx>
          <w:tblCellMar>
            <w:top w:w="0" w:type="dxa"/>
            <w:left w:w="108" w:type="dxa"/>
            <w:bottom w:w="0" w:type="dxa"/>
            <w:right w:w="108" w:type="dxa"/>
          </w:tblCellMar>
        </w:tblPrEx>
        <w:trPr>
          <w:trHeight w:val="278" w:hRule="atLeast"/>
          <w:jc w:val="center"/>
        </w:trPr>
        <w:tc>
          <w:tcPr>
            <w:tcW w:w="2120" w:type="dxa"/>
            <w:tcBorders>
              <w:top w:val="single" w:color="auto" w:sz="4" w:space="0"/>
              <w:left w:val="nil"/>
              <w:bottom w:val="single" w:color="auto" w:sz="4" w:space="0"/>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Model</w:t>
            </w:r>
          </w:p>
        </w:tc>
        <w:tc>
          <w:tcPr>
            <w:tcW w:w="5223" w:type="dxa"/>
            <w:tcBorders>
              <w:top w:val="single" w:color="auto" w:sz="4" w:space="0"/>
              <w:left w:val="nil"/>
              <w:bottom w:val="single" w:color="auto" w:sz="4" w:space="0"/>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Selected covariates</w:t>
            </w:r>
          </w:p>
        </w:tc>
        <w:tc>
          <w:tcPr>
            <w:tcW w:w="142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Coefficients</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Radiomics model</w:t>
            </w: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p>
        </w:tc>
        <w:tc>
          <w:tcPr>
            <w:tcW w:w="1420" w:type="dxa"/>
            <w:tcBorders>
              <w:top w:val="nil"/>
              <w:left w:val="nil"/>
              <w:bottom w:val="nil"/>
              <w:right w:val="nil"/>
            </w:tcBorders>
            <w:shd w:val="clear" w:color="auto" w:fill="auto"/>
            <w:noWrap/>
            <w:vAlign w:val="center"/>
          </w:tcPr>
          <w:p>
            <w:pPr>
              <w:widowControl/>
              <w:ind w:firstLine="0" w:firstLineChars="0"/>
              <w:jc w:val="left"/>
              <w:rPr>
                <w:kern w:val="0"/>
              </w:rPr>
            </w:pP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log-sigma-5-0-mm-3D_glcm_Imc1</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0.187</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original_gldm_LargeDependenceHighGrayLevelEmphasis</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0.287</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original_glrlm_LongRunLowGrayLevelEmphasis</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-0.123</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original_glrlm_LowGrayLevelRunEmphasis</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-0.263</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original_glszm_LowGrayLevelZoneEmphasis</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-0.390</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wavelet-HLH_gldm_DependenceEntropy</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0.517</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wavelet-LHH_gldm_DependenceEntropy</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0.357</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wavelet-LHL_gldm_DependenceEntropy</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0.405</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wavelet-LLL_firstorder_Entropy</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0.421</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wavelet-LLL_firstorder_Minimum</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-0.162</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wavelet-LLL_firstorder_Uniformity</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-0.480</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wavelet-LLL_glcm_DifferenceEntropy</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0.090</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000000" w:fill="FFFFFF"/>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wavelet-LLL_glrlm_LongRunLowGrayLevelEmphasis</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-0.169</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000000" w:fill="FFFFFF"/>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　</w:t>
            </w:r>
          </w:p>
        </w:tc>
        <w:tc>
          <w:tcPr>
            <w:tcW w:w="142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Deep-radiomics model</w:t>
            </w: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p>
        </w:tc>
        <w:tc>
          <w:tcPr>
            <w:tcW w:w="1420" w:type="dxa"/>
            <w:tcBorders>
              <w:top w:val="nil"/>
              <w:left w:val="nil"/>
              <w:bottom w:val="nil"/>
              <w:right w:val="nil"/>
            </w:tcBorders>
            <w:shd w:val="clear" w:color="auto" w:fill="auto"/>
            <w:noWrap/>
            <w:vAlign w:val="center"/>
          </w:tcPr>
          <w:p>
            <w:pPr>
              <w:widowControl/>
              <w:ind w:firstLine="0" w:firstLineChars="0"/>
              <w:jc w:val="left"/>
              <w:rPr>
                <w:kern w:val="0"/>
              </w:rPr>
            </w:pP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ResNet_feature_4</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0.138</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ResNet_feature_13</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0.160</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ResNet_feature_56</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0.278</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ResNet_feature_194</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0.294</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ResNet_feature_200</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0.414</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ResNet_feature_319</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0.257</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ResNet_feature_363</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0.285</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ResNet_feature_372</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0.419</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ResNet_feature_422</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-0.155</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ResNet_feature_423</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-0.115</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ResNet_feature_471</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0.127</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5223" w:type="dxa"/>
            <w:tcBorders>
              <w:top w:val="nil"/>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ResNet_feature_475</w:t>
            </w:r>
          </w:p>
        </w:tc>
        <w:tc>
          <w:tcPr>
            <w:tcW w:w="14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0.180</w:t>
            </w:r>
          </w:p>
        </w:tc>
      </w:tr>
      <w:tr>
        <w:tblPrEx>
          <w:tblCellMar>
            <w:top w:w="0" w:type="dxa"/>
            <w:left w:w="108" w:type="dxa"/>
            <w:bottom w:w="0" w:type="dxa"/>
            <w:right w:w="108" w:type="dxa"/>
          </w:tblCellMar>
        </w:tblPrEx>
        <w:trPr>
          <w:trHeight w:val="278" w:hRule="atLeast"/>
          <w:jc w:val="center"/>
        </w:trPr>
        <w:tc>
          <w:tcPr>
            <w:tcW w:w="2120" w:type="dxa"/>
            <w:tcBorders>
              <w:top w:val="nil"/>
              <w:left w:val="nil"/>
              <w:bottom w:val="single" w:color="auto" w:sz="4" w:space="0"/>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　</w:t>
            </w:r>
          </w:p>
        </w:tc>
        <w:tc>
          <w:tcPr>
            <w:tcW w:w="5223" w:type="dxa"/>
            <w:tcBorders>
              <w:top w:val="nil"/>
              <w:left w:val="nil"/>
              <w:bottom w:val="single" w:color="auto" w:sz="4" w:space="0"/>
              <w:right w:val="nil"/>
            </w:tcBorders>
            <w:shd w:val="clear" w:color="000000" w:fill="FFFFFF"/>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ResNet_feature_487</w:t>
            </w:r>
          </w:p>
        </w:tc>
        <w:tc>
          <w:tcPr>
            <w:tcW w:w="14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0.362</w:t>
            </w:r>
          </w:p>
        </w:tc>
      </w:tr>
    </w:tbl>
    <w:p/>
    <w:p/>
    <w:p>
      <w:pPr>
        <w:widowControl/>
        <w:spacing w:line="360" w:lineRule="auto"/>
        <w:ind w:firstLine="0" w:firstLineChars="0"/>
        <w:jc w:val="center"/>
        <w:rPr>
          <w:rFonts w:eastAsia="宋体"/>
          <w:shd w:val="clear" w:color="auto" w:fill="auto"/>
        </w:rPr>
      </w:pPr>
    </w:p>
    <w:p>
      <w:pPr>
        <w:ind w:firstLine="482"/>
        <w:jc w:val="center"/>
        <w:rPr>
          <w:b/>
          <w:bCs/>
        </w:rPr>
        <w:sectPr>
          <w:pgSz w:w="11906" w:h="16838"/>
          <w:pgMar w:top="720" w:right="720" w:bottom="720" w:left="720" w:header="851" w:footer="992" w:gutter="0"/>
          <w:cols w:space="425" w:num="1"/>
          <w:docGrid w:type="lines" w:linePitch="326" w:charSpace="0"/>
        </w:sectPr>
      </w:pPr>
    </w:p>
    <w:p>
      <w:pPr>
        <w:ind w:firstLine="482"/>
        <w:jc w:val="center"/>
      </w:pPr>
      <w:r>
        <w:rPr>
          <w:rFonts w:hint="eastAsia"/>
          <w:b/>
          <w:bCs/>
        </w:rPr>
        <w:t>T</w:t>
      </w:r>
      <w:r>
        <w:rPr>
          <w:b/>
          <w:bCs/>
        </w:rPr>
        <w:t xml:space="preserve">able S 16 </w:t>
      </w:r>
      <w:r>
        <w:t>DeLong test of the AUCs in the training and external validation datasets</w:t>
      </w:r>
    </w:p>
    <w:tbl>
      <w:tblPr>
        <w:tblStyle w:val="13"/>
        <w:tblW w:w="13700" w:type="dxa"/>
        <w:jc w:val="center"/>
        <w:tblLayout w:type="autofit"/>
        <w:tblCellMar>
          <w:top w:w="0" w:type="dxa"/>
          <w:left w:w="108" w:type="dxa"/>
          <w:bottom w:w="0" w:type="dxa"/>
          <w:right w:w="108" w:type="dxa"/>
        </w:tblCellMar>
      </w:tblPr>
      <w:tblGrid>
        <w:gridCol w:w="2300"/>
        <w:gridCol w:w="2280"/>
        <w:gridCol w:w="2280"/>
        <w:gridCol w:w="2280"/>
        <w:gridCol w:w="2280"/>
        <w:gridCol w:w="2280"/>
      </w:tblGrid>
      <w:tr>
        <w:tblPrEx>
          <w:tblCellMar>
            <w:top w:w="0" w:type="dxa"/>
            <w:left w:w="108" w:type="dxa"/>
            <w:bottom w:w="0" w:type="dxa"/>
            <w:right w:w="108" w:type="dxa"/>
          </w:tblCellMar>
        </w:tblPrEx>
        <w:trPr>
          <w:trHeight w:val="278" w:hRule="atLeast"/>
          <w:jc w:val="center"/>
        </w:trPr>
        <w:tc>
          <w:tcPr>
            <w:tcW w:w="2300" w:type="dxa"/>
            <w:tcBorders>
              <w:top w:val="single" w:color="auto" w:sz="4" w:space="0"/>
              <w:left w:val="nil"/>
              <w:bottom w:val="single" w:color="auto" w:sz="4" w:space="0"/>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　</w:t>
            </w:r>
          </w:p>
        </w:tc>
        <w:tc>
          <w:tcPr>
            <w:tcW w:w="22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Clinical model</w:t>
            </w:r>
          </w:p>
        </w:tc>
        <w:tc>
          <w:tcPr>
            <w:tcW w:w="22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PIRADS category</w:t>
            </w:r>
          </w:p>
        </w:tc>
        <w:tc>
          <w:tcPr>
            <w:tcW w:w="22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Radiomics model</w:t>
            </w:r>
          </w:p>
        </w:tc>
        <w:tc>
          <w:tcPr>
            <w:tcW w:w="22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Deep-radiomics model</w:t>
            </w:r>
          </w:p>
        </w:tc>
        <w:tc>
          <w:tcPr>
            <w:tcW w:w="2280" w:type="dxa"/>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Biopsy pathology</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Training dataset</w:t>
            </w:r>
          </w:p>
        </w:tc>
        <w:tc>
          <w:tcPr>
            <w:tcW w:w="228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ISUP_1 (N=10)</w:t>
            </w:r>
          </w:p>
        </w:tc>
        <w:tc>
          <w:tcPr>
            <w:tcW w:w="228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Clinical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0.002</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0.339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0.358</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0.884</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PIRADS category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0.002</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0.053</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0.339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0.646</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0.605</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Deep-radiomics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0.358</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0.646</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0.292</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Biopsy pathology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0.884</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0.053</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0.605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0.292</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ISUP_2 (N=148)</w:t>
            </w:r>
          </w:p>
        </w:tc>
        <w:tc>
          <w:tcPr>
            <w:tcW w:w="228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Clinical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0.109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0.020</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0.008</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PIRADS category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0.109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0.914</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0.142</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0.020</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0.914</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0.273</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Deep-radiomics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Biopsy pathology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0.008</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0.142</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0.273</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ISUP_3~5 (N=187)</w:t>
            </w:r>
          </w:p>
        </w:tc>
        <w:tc>
          <w:tcPr>
            <w:tcW w:w="228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Clinical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0.035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0.007</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PIRADS category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0.236</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0.896</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0.035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0.236</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0.193</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Deep-radiomics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Biopsy pathology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0.007</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0.896</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0.193</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4580" w:type="dxa"/>
            <w:gridSpan w:val="2"/>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External validation dataset</w:t>
            </w:r>
          </w:p>
        </w:tc>
        <w:tc>
          <w:tcPr>
            <w:tcW w:w="228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ISUP_1 (N=52)</w:t>
            </w:r>
          </w:p>
        </w:tc>
        <w:tc>
          <w:tcPr>
            <w:tcW w:w="228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Clinical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0.120</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PIRADS category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0.109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0.705</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0.109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0.050</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Deep-radiomics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0.120</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Biopsy pathology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0.705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ISUP_2 (N=152)</w:t>
            </w:r>
          </w:p>
        </w:tc>
        <w:tc>
          <w:tcPr>
            <w:tcW w:w="228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Clinical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0.753</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0.207</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0.547</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PIRADS category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0.753</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0.228</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0.29</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0.207</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0.228</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0.714</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Deep-radiomics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Biopsy pathology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0.547</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0.29</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0.714</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ISUP_3~5 (N=329)</w:t>
            </w:r>
          </w:p>
        </w:tc>
        <w:tc>
          <w:tcPr>
            <w:tcW w:w="228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28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Clinical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0.066</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0.002</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PIRADS category</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0.066</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0.735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0.016</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0.002</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0.735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0.111</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Deep-radiomics model</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0.005</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r>
      <w:tr>
        <w:tblPrEx>
          <w:tblCellMar>
            <w:top w:w="0" w:type="dxa"/>
            <w:left w:w="108" w:type="dxa"/>
            <w:bottom w:w="0" w:type="dxa"/>
            <w:right w:w="108" w:type="dxa"/>
          </w:tblCellMar>
        </w:tblPrEx>
        <w:trPr>
          <w:trHeight w:val="278" w:hRule="atLeast"/>
          <w:jc w:val="center"/>
        </w:trPr>
        <w:tc>
          <w:tcPr>
            <w:tcW w:w="2300" w:type="dxa"/>
            <w:tcBorders>
              <w:top w:val="nil"/>
              <w:left w:val="nil"/>
              <w:bottom w:val="single" w:color="auto" w:sz="4" w:space="0"/>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Biopsy pathology</w:t>
            </w:r>
          </w:p>
        </w:tc>
        <w:tc>
          <w:tcPr>
            <w:tcW w:w="22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0.016</w:t>
            </w:r>
          </w:p>
        </w:tc>
        <w:tc>
          <w:tcPr>
            <w:tcW w:w="22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0.111</w:t>
            </w:r>
          </w:p>
        </w:tc>
        <w:tc>
          <w:tcPr>
            <w:tcW w:w="22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&lt; 0.001</w:t>
            </w:r>
          </w:p>
        </w:tc>
        <w:tc>
          <w:tcPr>
            <w:tcW w:w="22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bl>
    <w:p>
      <w:pPr>
        <w:widowControl/>
        <w:spacing w:line="360" w:lineRule="auto"/>
        <w:ind w:firstLine="0" w:firstLineChars="0"/>
        <w:jc w:val="center"/>
        <w:rPr>
          <w:rFonts w:eastAsia="宋体"/>
          <w:shd w:val="clear" w:color="auto" w:fill="auto"/>
        </w:rPr>
        <w:sectPr>
          <w:pgSz w:w="16838" w:h="11906" w:orient="landscape"/>
          <w:pgMar w:top="720" w:right="720" w:bottom="720" w:left="720" w:header="851" w:footer="992" w:gutter="0"/>
          <w:cols w:space="425" w:num="1"/>
          <w:docGrid w:type="lines" w:linePitch="326" w:charSpace="0"/>
        </w:sectPr>
      </w:pPr>
    </w:p>
    <w:p>
      <w:pPr>
        <w:ind w:firstLine="482"/>
        <w:jc w:val="center"/>
      </w:pPr>
      <w:r>
        <w:rPr>
          <w:rFonts w:hint="eastAsia"/>
          <w:b/>
          <w:bCs/>
        </w:rPr>
        <w:t>T</w:t>
      </w:r>
      <w:r>
        <w:rPr>
          <w:b/>
          <w:bCs/>
        </w:rPr>
        <w:t>able S 17</w:t>
      </w:r>
      <w:r>
        <w:t xml:space="preserve"> DeLong test of the AUCs among different hospitals in the external validation dataset</w:t>
      </w:r>
    </w:p>
    <w:tbl>
      <w:tblPr>
        <w:tblStyle w:val="13"/>
        <w:tblW w:w="9960" w:type="dxa"/>
        <w:jc w:val="center"/>
        <w:tblLayout w:type="autofit"/>
        <w:tblCellMar>
          <w:top w:w="0" w:type="dxa"/>
          <w:left w:w="108" w:type="dxa"/>
          <w:bottom w:w="0" w:type="dxa"/>
          <w:right w:w="108" w:type="dxa"/>
        </w:tblCellMar>
      </w:tblPr>
      <w:tblGrid>
        <w:gridCol w:w="2360"/>
        <w:gridCol w:w="1220"/>
        <w:gridCol w:w="1220"/>
        <w:gridCol w:w="1220"/>
        <w:gridCol w:w="280"/>
        <w:gridCol w:w="1220"/>
        <w:gridCol w:w="1220"/>
        <w:gridCol w:w="1220"/>
      </w:tblGrid>
      <w:tr>
        <w:tblPrEx>
          <w:tblCellMar>
            <w:top w:w="0" w:type="dxa"/>
            <w:left w:w="108" w:type="dxa"/>
            <w:bottom w:w="0" w:type="dxa"/>
            <w:right w:w="108" w:type="dxa"/>
          </w:tblCellMar>
        </w:tblPrEx>
        <w:trPr>
          <w:trHeight w:val="278" w:hRule="atLeast"/>
          <w:jc w:val="center"/>
        </w:trPr>
        <w:tc>
          <w:tcPr>
            <w:tcW w:w="2360" w:type="dxa"/>
            <w:tcBorders>
              <w:top w:val="single" w:color="auto" w:sz="4" w:space="0"/>
              <w:left w:val="nil"/>
              <w:bottom w:val="nil"/>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　</w:t>
            </w:r>
          </w:p>
        </w:tc>
        <w:tc>
          <w:tcPr>
            <w:tcW w:w="3660" w:type="dxa"/>
            <w:gridSpan w:val="3"/>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ISUP_2 (N=152)</w:t>
            </w:r>
          </w:p>
        </w:tc>
        <w:tc>
          <w:tcPr>
            <w:tcW w:w="280" w:type="dxa"/>
            <w:tcBorders>
              <w:top w:val="single" w:color="auto" w:sz="4" w:space="0"/>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　</w:t>
            </w:r>
          </w:p>
        </w:tc>
        <w:tc>
          <w:tcPr>
            <w:tcW w:w="3660" w:type="dxa"/>
            <w:gridSpan w:val="3"/>
            <w:tcBorders>
              <w:top w:val="single" w:color="auto" w:sz="4" w:space="0"/>
              <w:left w:val="nil"/>
              <w:bottom w:val="single" w:color="auto" w:sz="4" w:space="0"/>
              <w:right w:val="nil"/>
            </w:tcBorders>
            <w:shd w:val="clear" w:color="auto" w:fill="auto"/>
            <w:noWrap/>
            <w:vAlign w:val="center"/>
          </w:tcPr>
          <w:p>
            <w:pPr>
              <w:widowControl/>
              <w:ind w:firstLine="0" w:firstLineChars="0"/>
              <w:jc w:val="center"/>
              <w:rPr>
                <w:rFonts w:eastAsia="等线"/>
                <w:b/>
                <w:bCs/>
                <w:color w:val="000000"/>
                <w:kern w:val="0"/>
                <w:sz w:val="22"/>
                <w:szCs w:val="22"/>
              </w:rPr>
            </w:pPr>
            <w:r>
              <w:rPr>
                <w:rFonts w:eastAsia="等线"/>
                <w:b/>
                <w:bCs/>
                <w:color w:val="000000"/>
                <w:kern w:val="0"/>
                <w:sz w:val="22"/>
                <w:szCs w:val="22"/>
              </w:rPr>
              <w:t>ISUP_3~5 (N=329)</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single" w:color="auto" w:sz="4" w:space="0"/>
              <w:right w:val="nil"/>
            </w:tcBorders>
            <w:shd w:val="clear" w:color="auto" w:fill="auto"/>
            <w:noWrap/>
            <w:vAlign w:val="center"/>
          </w:tcPr>
          <w:p>
            <w:pPr>
              <w:widowControl/>
              <w:ind w:firstLine="0" w:firstLineChars="0"/>
              <w:jc w:val="left"/>
              <w:rPr>
                <w:rFonts w:eastAsia="等线"/>
                <w:color w:val="000000"/>
                <w:kern w:val="0"/>
                <w:sz w:val="22"/>
                <w:szCs w:val="22"/>
              </w:rPr>
            </w:pPr>
            <w:r>
              <w:rPr>
                <w:rFonts w:eastAsia="等线"/>
                <w:color w:val="000000"/>
                <w:kern w:val="0"/>
                <w:sz w:val="22"/>
                <w:szCs w:val="22"/>
              </w:rPr>
              <w:t>　</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Hospital_2</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Hospital_3</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Hospital_4</w:t>
            </w:r>
          </w:p>
        </w:tc>
        <w:tc>
          <w:tcPr>
            <w:tcW w:w="2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　</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Hospital_2</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Hospital_3</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Hospital_4</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Clinical model</w:t>
            </w:r>
          </w:p>
        </w:tc>
        <w:tc>
          <w:tcPr>
            <w:tcW w:w="122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Hospital_2</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0.686</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0.848</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0.399</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0.981</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Hospital_3</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0.686</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0.074</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0.399</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0.008</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0.848</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0.074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0.981</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0.008</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PIRADS category</w:t>
            </w:r>
          </w:p>
        </w:tc>
        <w:tc>
          <w:tcPr>
            <w:tcW w:w="122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Hospital_2</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0.822</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0.457</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0.655</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0.413</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Hospital_3</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0.822</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0.148</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0.655</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0.278</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0.457</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0.148</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0.413</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0.278</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Radiomics model</w:t>
            </w:r>
          </w:p>
        </w:tc>
        <w:tc>
          <w:tcPr>
            <w:tcW w:w="122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Hospital_2</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0.638</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0.784</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0.421</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0.664</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Hospital_3</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0.638</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0.554</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0.421</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0.239</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0.784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0.554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0.664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0.239</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Deep-radiomics model</w:t>
            </w:r>
          </w:p>
        </w:tc>
        <w:tc>
          <w:tcPr>
            <w:tcW w:w="122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Hospital_2</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0.970</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0.826</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0.665</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0.840</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Hospital_3</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0.970</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0.602</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0.665</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0.464</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0.826</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0.602</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0.840</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0.464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r>
              <w:rPr>
                <w:rFonts w:eastAsia="等线"/>
                <w:b/>
                <w:bCs/>
                <w:color w:val="000000"/>
                <w:kern w:val="0"/>
                <w:sz w:val="22"/>
                <w:szCs w:val="22"/>
              </w:rPr>
              <w:t>Biopsy pathology</w:t>
            </w:r>
          </w:p>
        </w:tc>
        <w:tc>
          <w:tcPr>
            <w:tcW w:w="1220" w:type="dxa"/>
            <w:tcBorders>
              <w:top w:val="nil"/>
              <w:left w:val="nil"/>
              <w:bottom w:val="nil"/>
              <w:right w:val="nil"/>
            </w:tcBorders>
            <w:shd w:val="clear" w:color="auto" w:fill="auto"/>
            <w:noWrap/>
            <w:vAlign w:val="center"/>
          </w:tcPr>
          <w:p>
            <w:pPr>
              <w:widowControl/>
              <w:ind w:firstLine="0" w:firstLineChars="0"/>
              <w:jc w:val="left"/>
              <w:rPr>
                <w:rFonts w:eastAsia="等线"/>
                <w:b/>
                <w:bCs/>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28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c>
          <w:tcPr>
            <w:tcW w:w="1220" w:type="dxa"/>
            <w:tcBorders>
              <w:top w:val="nil"/>
              <w:left w:val="nil"/>
              <w:bottom w:val="nil"/>
              <w:right w:val="nil"/>
            </w:tcBorders>
            <w:shd w:val="clear" w:color="auto" w:fill="auto"/>
            <w:noWrap/>
            <w:vAlign w:val="center"/>
          </w:tcPr>
          <w:p>
            <w:pPr>
              <w:widowControl/>
              <w:ind w:firstLine="0" w:firstLineChars="0"/>
              <w:jc w:val="center"/>
              <w:rPr>
                <w:kern w:val="0"/>
              </w:rPr>
            </w:pP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Hospital_2</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0.559</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0.796</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0.614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0.919</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nil"/>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Hospital_3</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0.559</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0.021</w:t>
            </w:r>
          </w:p>
        </w:tc>
        <w:tc>
          <w:tcPr>
            <w:tcW w:w="28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0.614</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1220" w:type="dxa"/>
            <w:tcBorders>
              <w:top w:val="nil"/>
              <w:left w:val="nil"/>
              <w:bottom w:val="nil"/>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0.082</w:t>
            </w:r>
          </w:p>
        </w:tc>
      </w:tr>
      <w:tr>
        <w:tblPrEx>
          <w:tblCellMar>
            <w:top w:w="0" w:type="dxa"/>
            <w:left w:w="108" w:type="dxa"/>
            <w:bottom w:w="0" w:type="dxa"/>
            <w:right w:w="108" w:type="dxa"/>
          </w:tblCellMar>
        </w:tblPrEx>
        <w:trPr>
          <w:trHeight w:val="278" w:hRule="atLeast"/>
          <w:jc w:val="center"/>
        </w:trPr>
        <w:tc>
          <w:tcPr>
            <w:tcW w:w="2360" w:type="dxa"/>
            <w:tcBorders>
              <w:top w:val="nil"/>
              <w:left w:val="nil"/>
              <w:bottom w:val="single" w:color="auto" w:sz="4" w:space="0"/>
              <w:right w:val="nil"/>
            </w:tcBorders>
            <w:shd w:val="clear" w:color="auto" w:fill="auto"/>
            <w:noWrap/>
            <w:vAlign w:val="center"/>
          </w:tcPr>
          <w:p>
            <w:pPr>
              <w:widowControl/>
              <w:ind w:firstLine="0" w:firstLineChars="0"/>
              <w:jc w:val="right"/>
              <w:rPr>
                <w:rFonts w:eastAsia="等线"/>
                <w:color w:val="000000"/>
                <w:kern w:val="0"/>
                <w:sz w:val="22"/>
                <w:szCs w:val="22"/>
              </w:rPr>
            </w:pPr>
            <w:r>
              <w:rPr>
                <w:rFonts w:eastAsia="等线"/>
                <w:color w:val="000000"/>
                <w:kern w:val="0"/>
                <w:sz w:val="22"/>
                <w:szCs w:val="22"/>
              </w:rPr>
              <w:t>Hospital_4</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0.796</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0.021</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c>
          <w:tcPr>
            <w:tcW w:w="28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　</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0.919</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0.082</w:t>
            </w:r>
          </w:p>
        </w:tc>
        <w:tc>
          <w:tcPr>
            <w:tcW w:w="1220" w:type="dxa"/>
            <w:tcBorders>
              <w:top w:val="nil"/>
              <w:left w:val="nil"/>
              <w:bottom w:val="single" w:color="auto" w:sz="4" w:space="0"/>
              <w:right w:val="nil"/>
            </w:tcBorders>
            <w:shd w:val="clear" w:color="auto" w:fill="auto"/>
            <w:noWrap/>
            <w:vAlign w:val="center"/>
          </w:tcPr>
          <w:p>
            <w:pPr>
              <w:widowControl/>
              <w:ind w:firstLine="0" w:firstLineChars="0"/>
              <w:jc w:val="center"/>
              <w:rPr>
                <w:rFonts w:eastAsia="等线"/>
                <w:color w:val="000000"/>
                <w:kern w:val="0"/>
                <w:sz w:val="22"/>
                <w:szCs w:val="22"/>
              </w:rPr>
            </w:pPr>
            <w:r>
              <w:rPr>
                <w:rFonts w:eastAsia="等线"/>
                <w:color w:val="000000"/>
                <w:kern w:val="0"/>
                <w:sz w:val="22"/>
                <w:szCs w:val="22"/>
              </w:rPr>
              <w:t>NA</w:t>
            </w:r>
          </w:p>
        </w:tc>
      </w:tr>
    </w:tbl>
    <w:p>
      <w:pPr>
        <w:jc w:val="center"/>
      </w:pPr>
    </w:p>
    <w:p>
      <w:pPr>
        <w:widowControl/>
        <w:spacing w:line="360" w:lineRule="auto"/>
        <w:ind w:firstLine="0" w:firstLineChars="0"/>
        <w:jc w:val="center"/>
        <w:rPr>
          <w:rFonts w:hint="eastAsia" w:eastAsia="宋体"/>
          <w:shd w:val="clear" w:color="auto" w:fill="auto"/>
        </w:rPr>
        <w:sectPr>
          <w:pgSz w:w="11906" w:h="16838"/>
          <w:pgMar w:top="720" w:right="720" w:bottom="720" w:left="720" w:header="851" w:footer="992" w:gutter="0"/>
          <w:cols w:space="425" w:num="1"/>
          <w:docGrid w:type="lines" w:linePitch="326" w:charSpace="0"/>
        </w:sectPr>
      </w:pPr>
    </w:p>
    <w:bookmarkEnd w:id="12"/>
    <w:p>
      <w:pPr>
        <w:pStyle w:val="3"/>
        <w:ind w:firstLine="640"/>
        <w:rPr>
          <w:rFonts w:eastAsiaTheme="minorEastAsia"/>
        </w:rPr>
      </w:pPr>
      <w:r>
        <w:rPr>
          <w:rFonts w:hint="eastAsia" w:eastAsiaTheme="minorEastAsia"/>
        </w:rPr>
        <w:t>S</w:t>
      </w:r>
      <w:r>
        <w:rPr>
          <w:rFonts w:eastAsiaTheme="minorEastAsia"/>
        </w:rPr>
        <w:t>upplementary Figures</w:t>
      </w:r>
    </w:p>
    <w:p>
      <w:r>
        <w:rPr>
          <w:rFonts w:hint="eastAsia"/>
        </w:rPr>
        <w:drawing>
          <wp:inline distT="0" distB="0" distL="0" distR="0">
            <wp:extent cx="9777730" cy="5024755"/>
            <wp:effectExtent l="0" t="0" r="127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9777730" cy="5024755"/>
                    </a:xfrm>
                    <a:prstGeom prst="rect">
                      <a:avLst/>
                    </a:prstGeom>
                  </pic:spPr>
                </pic:pic>
              </a:graphicData>
            </a:graphic>
          </wp:inline>
        </w:drawing>
      </w:r>
    </w:p>
    <w:p>
      <w:pPr>
        <w:pStyle w:val="7"/>
        <w:tabs>
          <w:tab w:val="left" w:pos="5938"/>
        </w:tabs>
        <w:ind w:firstLine="482"/>
        <w:rPr>
          <w:rFonts w:eastAsia="宋体"/>
          <w:b/>
          <w:bCs/>
        </w:rPr>
      </w:pPr>
      <w:bookmarkStart w:id="14" w:name="_Ref127284139"/>
      <w:r>
        <w:rPr>
          <w:b/>
          <w:bCs/>
        </w:rPr>
        <w:t>Figure S</w:t>
      </w:r>
      <w:r>
        <w:rPr>
          <w:b/>
          <w:bCs/>
        </w:rPr>
        <w:fldChar w:fldCharType="begin"/>
      </w:r>
      <w:r>
        <w:rPr>
          <w:b/>
          <w:bCs/>
        </w:rPr>
        <w:instrText xml:space="preserve"> SEQ Figure_S \* ARABIC </w:instrText>
      </w:r>
      <w:r>
        <w:rPr>
          <w:b/>
          <w:bCs/>
        </w:rPr>
        <w:fldChar w:fldCharType="separate"/>
      </w:r>
      <w:r>
        <w:rPr>
          <w:b/>
          <w:bCs/>
        </w:rPr>
        <w:t>1</w:t>
      </w:r>
      <w:r>
        <w:rPr>
          <w:b/>
          <w:bCs/>
        </w:rPr>
        <w:fldChar w:fldCharType="end"/>
      </w:r>
      <w:bookmarkEnd w:id="14"/>
      <w:r>
        <w:t xml:space="preserve"> The modified Med3D network</w:t>
      </w:r>
      <w:r>
        <w:rPr>
          <w:rFonts w:eastAsia="宋体"/>
        </w:rPr>
        <w:t xml:space="preserve">. 3D three-dimensional, CONV Convolution, FC </w:t>
      </w:r>
      <w:r>
        <w:rPr>
          <w:rFonts w:hint="eastAsia" w:eastAsia="宋体"/>
        </w:rPr>
        <w:t>Fully</w:t>
      </w:r>
      <w:r>
        <w:rPr>
          <w:rFonts w:eastAsia="宋体"/>
        </w:rPr>
        <w:t xml:space="preserve"> </w:t>
      </w:r>
      <w:r>
        <w:rPr>
          <w:rFonts w:hint="eastAsia" w:eastAsia="宋体"/>
        </w:rPr>
        <w:t>connected</w:t>
      </w:r>
      <w:r>
        <w:rPr>
          <w:rFonts w:eastAsia="宋体"/>
        </w:rPr>
        <w:t>.</w:t>
      </w:r>
    </w:p>
    <w:p>
      <w:pPr>
        <w:pStyle w:val="7"/>
        <w:tabs>
          <w:tab w:val="left" w:pos="5938"/>
        </w:tabs>
        <w:rPr>
          <w:rFonts w:eastAsia="宋体"/>
        </w:rPr>
      </w:pPr>
    </w:p>
    <w:p>
      <w:pPr>
        <w:pStyle w:val="7"/>
        <w:tabs>
          <w:tab w:val="left" w:pos="5938"/>
        </w:tabs>
        <w:rPr>
          <w:rFonts w:ascii="宋体" w:hAnsi="宋体" w:eastAsia="宋体" w:cs="宋体"/>
        </w:rPr>
      </w:pPr>
    </w:p>
    <w:p>
      <w:r>
        <w:rPr>
          <w:color w:val="000000"/>
        </w:rPr>
        <w:drawing>
          <wp:anchor distT="0" distB="0" distL="114300" distR="114300" simplePos="0" relativeHeight="251661312" behindDoc="0" locked="0" layoutInCell="1" allowOverlap="1">
            <wp:simplePos x="0" y="0"/>
            <wp:positionH relativeFrom="margin">
              <wp:posOffset>4445</wp:posOffset>
            </wp:positionH>
            <wp:positionV relativeFrom="paragraph">
              <wp:posOffset>276860</wp:posOffset>
            </wp:positionV>
            <wp:extent cx="10151110" cy="3383915"/>
            <wp:effectExtent l="0" t="0" r="0" b="0"/>
            <wp:wrapTopAndBottom/>
            <wp:docPr id="5" name="图片 5" descr="图表, 瀑布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表, 瀑布图&#10;&#10;描述已自动生成"/>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151110" cy="3383915"/>
                    </a:xfrm>
                    <a:prstGeom prst="rect">
                      <a:avLst/>
                    </a:prstGeom>
                  </pic:spPr>
                </pic:pic>
              </a:graphicData>
            </a:graphic>
          </wp:anchor>
        </w:drawing>
      </w:r>
    </w:p>
    <w:p>
      <w:pPr>
        <w:pStyle w:val="7"/>
        <w:ind w:firstLine="482"/>
      </w:pPr>
      <w:bookmarkStart w:id="15" w:name="_Ref127284176"/>
      <w:r>
        <w:rPr>
          <w:b/>
          <w:bCs/>
        </w:rPr>
        <w:t>Figure S</w:t>
      </w:r>
      <w:r>
        <w:rPr>
          <w:b/>
          <w:bCs/>
        </w:rPr>
        <w:fldChar w:fldCharType="begin"/>
      </w:r>
      <w:r>
        <w:rPr>
          <w:b/>
          <w:bCs/>
        </w:rPr>
        <w:instrText xml:space="preserve"> SEQ Figure_S \* ARABIC </w:instrText>
      </w:r>
      <w:r>
        <w:rPr>
          <w:b/>
          <w:bCs/>
        </w:rPr>
        <w:fldChar w:fldCharType="separate"/>
      </w:r>
      <w:r>
        <w:rPr>
          <w:b/>
          <w:bCs/>
        </w:rPr>
        <w:t>2</w:t>
      </w:r>
      <w:r>
        <w:rPr>
          <w:b/>
          <w:bCs/>
        </w:rPr>
        <w:fldChar w:fldCharType="end"/>
      </w:r>
      <w:bookmarkEnd w:id="15"/>
      <w:r>
        <w:rPr>
          <w:rFonts w:ascii="Times New Roman Bold" w:hAnsi="Times New Roman Bold" w:cs="Times New Roman Bold"/>
          <w:b/>
          <w:bCs/>
        </w:rPr>
        <w:t xml:space="preserve"> </w:t>
      </w:r>
      <w:r>
        <w:t xml:space="preserve">Confusion matrix of the prediction results in the training, validation, and testing datasets. The number in the middle of each tile is the counted number of images. The percentage number at the bottom of each tile is the column percentage. The percentage number on the right side of each tile is the row percentage. The color intensity is based on the counts. T2WI </w:t>
      </w:r>
      <w:r>
        <w:rPr>
          <w:color w:val="000000" w:themeColor="text1"/>
          <w14:textFill>
            <w14:solidFill>
              <w14:schemeClr w14:val="tx1"/>
            </w14:solidFill>
          </w14:textFill>
        </w:rPr>
        <w:t xml:space="preserve">T2-weighted imaging, Fs </w:t>
      </w:r>
      <w:r>
        <w:t>fat saturation</w:t>
      </w:r>
      <w:r>
        <w:rPr>
          <w:color w:val="000000" w:themeColor="text1"/>
          <w14:textFill>
            <w14:solidFill>
              <w14:schemeClr w14:val="tx1"/>
            </w14:solidFill>
          </w14:textFill>
        </w:rPr>
        <w:t>, DWI diffusion-weighted imaging, ADC apparent diffusion coefficient.</w:t>
      </w:r>
    </w:p>
    <w:p>
      <w:pPr>
        <w:sectPr>
          <w:pgSz w:w="16838" w:h="11906" w:orient="landscape"/>
          <w:pgMar w:top="720" w:right="720" w:bottom="720" w:left="720" w:header="851" w:footer="992" w:gutter="0"/>
          <w:cols w:space="425" w:num="1"/>
          <w:docGrid w:type="lines" w:linePitch="326" w:charSpace="0"/>
        </w:sectPr>
      </w:pPr>
    </w:p>
    <w:p/>
    <w:p>
      <w:r>
        <w:rPr>
          <w:rFonts w:hint="eastAsia"/>
        </w:rPr>
        <w:t xml:space="preserve"> </w:t>
      </w:r>
      <w:r>
        <w:drawing>
          <wp:inline distT="0" distB="0" distL="114300" distR="114300">
            <wp:extent cx="3279775" cy="279971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3314788" cy="2829289"/>
                    </a:xfrm>
                    <a:prstGeom prst="rect">
                      <a:avLst/>
                    </a:prstGeom>
                    <a:noFill/>
                    <a:ln>
                      <a:noFill/>
                    </a:ln>
                  </pic:spPr>
                </pic:pic>
              </a:graphicData>
            </a:graphic>
          </wp:inline>
        </w:drawing>
      </w:r>
      <w:r>
        <w:drawing>
          <wp:inline distT="0" distB="0" distL="114300" distR="114300">
            <wp:extent cx="3270885" cy="2798445"/>
            <wp:effectExtent l="0" t="0" r="571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3299975" cy="2823312"/>
                    </a:xfrm>
                    <a:prstGeom prst="rect">
                      <a:avLst/>
                    </a:prstGeom>
                    <a:noFill/>
                    <a:ln>
                      <a:noFill/>
                    </a:ln>
                  </pic:spPr>
                </pic:pic>
              </a:graphicData>
            </a:graphic>
          </wp:inline>
        </w:drawing>
      </w:r>
    </w:p>
    <w:p>
      <w:pPr>
        <w:pStyle w:val="7"/>
        <w:ind w:firstLine="482"/>
      </w:pPr>
      <w:bookmarkStart w:id="16" w:name="_Ref127284200"/>
      <w:r>
        <w:rPr>
          <w:b/>
          <w:bCs/>
        </w:rPr>
        <w:t>Figure S</w:t>
      </w:r>
      <w:r>
        <w:rPr>
          <w:b/>
          <w:bCs/>
        </w:rPr>
        <w:fldChar w:fldCharType="begin"/>
      </w:r>
      <w:r>
        <w:rPr>
          <w:b/>
          <w:bCs/>
        </w:rPr>
        <w:instrText xml:space="preserve"> SEQ Figure_S \* ARABIC </w:instrText>
      </w:r>
      <w:r>
        <w:rPr>
          <w:b/>
          <w:bCs/>
        </w:rPr>
        <w:fldChar w:fldCharType="separate"/>
      </w:r>
      <w:r>
        <w:rPr>
          <w:b/>
          <w:bCs/>
        </w:rPr>
        <w:t>3</w:t>
      </w:r>
      <w:r>
        <w:rPr>
          <w:b/>
          <w:bCs/>
        </w:rPr>
        <w:fldChar w:fldCharType="end"/>
      </w:r>
      <w:bookmarkEnd w:id="16"/>
      <w:r>
        <w:rPr>
          <w:b/>
          <w:bCs/>
        </w:rPr>
        <w:t xml:space="preserve"> </w:t>
      </w:r>
      <w:r>
        <w:t>Whole prostate segmentation and the algorithm rule of the minimum volume bounding box.</w:t>
      </w:r>
    </w:p>
    <w:p>
      <w:pPr>
        <w:ind w:firstLine="0" w:firstLineChars="0"/>
        <w:rPr>
          <w:rFonts w:eastAsiaTheme="minorEastAsia"/>
        </w:rPr>
        <w:sectPr>
          <w:pgSz w:w="11906" w:h="16838"/>
          <w:pgMar w:top="720" w:right="720" w:bottom="720" w:left="720" w:header="851" w:footer="992" w:gutter="0"/>
          <w:cols w:space="425" w:num="1"/>
          <w:docGrid w:type="lines" w:linePitch="326" w:charSpace="0"/>
        </w:sectPr>
      </w:pPr>
    </w:p>
    <w:p>
      <w:pPr>
        <w:ind w:firstLine="0" w:firstLineChars="0"/>
        <w:rPr>
          <w:rFonts w:eastAsiaTheme="minorEastAsia"/>
        </w:rPr>
      </w:pPr>
      <w:r>
        <w:rPr>
          <w:color w:val="4472C4" w:themeColor="accent1"/>
          <w14:textFill>
            <w14:solidFill>
              <w14:schemeClr w14:val="accent1"/>
            </w14:solidFill>
          </w14:textFill>
        </w:rPr>
        <w:drawing>
          <wp:anchor distT="0" distB="0" distL="114300" distR="114300" simplePos="0" relativeHeight="251660288" behindDoc="0" locked="0" layoutInCell="1" allowOverlap="1">
            <wp:simplePos x="0" y="0"/>
            <wp:positionH relativeFrom="margin">
              <wp:align>left</wp:align>
            </wp:positionH>
            <wp:positionV relativeFrom="paragraph">
              <wp:posOffset>206375</wp:posOffset>
            </wp:positionV>
            <wp:extent cx="6480175" cy="4319905"/>
            <wp:effectExtent l="0" t="0" r="0" b="4445"/>
            <wp:wrapTopAndBottom/>
            <wp:docPr id="3" name="图片 3"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应用程序&#10;&#10;描述已自动生成"/>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80175" cy="4319905"/>
                    </a:xfrm>
                    <a:prstGeom prst="rect">
                      <a:avLst/>
                    </a:prstGeom>
                  </pic:spPr>
                </pic:pic>
              </a:graphicData>
            </a:graphic>
          </wp:anchor>
        </w:drawing>
      </w:r>
    </w:p>
    <w:p>
      <w:pPr>
        <w:pStyle w:val="7"/>
        <w:ind w:firstLine="482"/>
      </w:pPr>
      <w:bookmarkStart w:id="17" w:name="_Ref127284237"/>
      <w:r>
        <w:rPr>
          <w:b/>
          <w:bCs/>
        </w:rPr>
        <w:t>Figure S</w:t>
      </w:r>
      <w:r>
        <w:rPr>
          <w:b/>
          <w:bCs/>
        </w:rPr>
        <w:fldChar w:fldCharType="begin"/>
      </w:r>
      <w:r>
        <w:rPr>
          <w:b/>
          <w:bCs/>
        </w:rPr>
        <w:instrText xml:space="preserve"> SEQ Figure_S \* ARABIC </w:instrText>
      </w:r>
      <w:r>
        <w:rPr>
          <w:b/>
          <w:bCs/>
        </w:rPr>
        <w:fldChar w:fldCharType="separate"/>
      </w:r>
      <w:r>
        <w:rPr>
          <w:b/>
          <w:bCs/>
        </w:rPr>
        <w:t>4</w:t>
      </w:r>
      <w:r>
        <w:rPr>
          <w:b/>
          <w:bCs/>
        </w:rPr>
        <w:fldChar w:fldCharType="end"/>
      </w:r>
      <w:bookmarkEnd w:id="17"/>
      <w:r>
        <w:t xml:space="preserve"> The DSC, Jaccard index, VS, HD, and AD in different datasets. The metrics of the T2WI were superior to those of the ADC map in all datasets (all P&lt; 0.001). DSC Dice similarity coefficient, VS volumetric similarity, HD Hausdorff distance, and AD Average distance. T2WI T2-weighted imaging, ADC apparent diffusion coefficient.</w:t>
      </w:r>
    </w:p>
    <w:p/>
    <w:p>
      <w:pPr>
        <w:ind w:firstLine="482"/>
      </w:pPr>
      <w:r>
        <w:rPr>
          <w:b/>
          <w:bCs/>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column">
              <wp:posOffset>-89535</wp:posOffset>
            </wp:positionH>
            <wp:positionV relativeFrom="paragraph">
              <wp:posOffset>187960</wp:posOffset>
            </wp:positionV>
            <wp:extent cx="6351905" cy="4233545"/>
            <wp:effectExtent l="0" t="0" r="0" b="0"/>
            <wp:wrapTopAndBottom/>
            <wp:docPr id="4" name="图片 4" descr="日历&#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日历&#10;&#10;中度可信度描述已自动生成"/>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351986" cy="4233600"/>
                    </a:xfrm>
                    <a:prstGeom prst="rect">
                      <a:avLst/>
                    </a:prstGeom>
                  </pic:spPr>
                </pic:pic>
              </a:graphicData>
            </a:graphic>
          </wp:anchor>
        </w:drawing>
      </w:r>
    </w:p>
    <w:p>
      <w:pPr>
        <w:pStyle w:val="7"/>
        <w:ind w:firstLine="482"/>
        <w:sectPr>
          <w:pgSz w:w="16838" w:h="11906" w:orient="landscape"/>
          <w:pgMar w:top="1803" w:right="1440" w:bottom="1803" w:left="1440" w:header="851" w:footer="992" w:gutter="0"/>
          <w:cols w:space="0" w:num="1"/>
          <w:docGrid w:type="lines" w:linePitch="326" w:charSpace="0"/>
        </w:sectPr>
      </w:pPr>
      <w:bookmarkStart w:id="18" w:name="_Ref127284259"/>
      <w:r>
        <w:rPr>
          <w:b/>
          <w:bCs/>
        </w:rPr>
        <w:t>Figure S</w:t>
      </w:r>
      <w:r>
        <w:rPr>
          <w:b/>
          <w:bCs/>
        </w:rPr>
        <w:fldChar w:fldCharType="begin"/>
      </w:r>
      <w:r>
        <w:rPr>
          <w:b/>
          <w:bCs/>
        </w:rPr>
        <w:instrText xml:space="preserve"> SEQ Figure_S \* ARABIC </w:instrText>
      </w:r>
      <w:r>
        <w:rPr>
          <w:b/>
          <w:bCs/>
        </w:rPr>
        <w:fldChar w:fldCharType="separate"/>
      </w:r>
      <w:r>
        <w:rPr>
          <w:b/>
          <w:bCs/>
        </w:rPr>
        <w:t>5</w:t>
      </w:r>
      <w:r>
        <w:rPr>
          <w:b/>
          <w:bCs/>
        </w:rPr>
        <w:fldChar w:fldCharType="end"/>
      </w:r>
      <w:bookmarkEnd w:id="18"/>
      <w:r>
        <w:t xml:space="preserve"> Bland‒Altman analysis of the values of the RL diameter (A), AP diameter (B), SI diameter (C), volume (D), and signal intensity (E) of the manual label and the predicted label of the prostate gland. RL right and left, AP anterior and posterior, SI superior and inferior.</w:t>
      </w:r>
    </w:p>
    <w:p>
      <w:pPr>
        <w:pStyle w:val="7"/>
      </w:pPr>
    </w:p>
    <w:p>
      <w:r>
        <w:drawing>
          <wp:inline distT="0" distB="0" distL="114300" distR="114300">
            <wp:extent cx="2286000" cy="2028825"/>
            <wp:effectExtent l="0" t="0" r="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8"/>
                    <a:stretch>
                      <a:fillRect/>
                    </a:stretch>
                  </pic:blipFill>
                  <pic:spPr>
                    <a:xfrm>
                      <a:off x="0" y="0"/>
                      <a:ext cx="2286000" cy="2028825"/>
                    </a:xfrm>
                    <a:prstGeom prst="rect">
                      <a:avLst/>
                    </a:prstGeom>
                    <a:noFill/>
                    <a:ln>
                      <a:noFill/>
                    </a:ln>
                  </pic:spPr>
                </pic:pic>
              </a:graphicData>
            </a:graphic>
          </wp:inline>
        </w:drawing>
      </w:r>
    </w:p>
    <w:p>
      <w:pPr>
        <w:pStyle w:val="7"/>
        <w:ind w:firstLine="482"/>
      </w:pPr>
      <w:bookmarkStart w:id="19" w:name="_Ref127284281"/>
      <w:r>
        <w:rPr>
          <w:b/>
          <w:bCs/>
        </w:rPr>
        <w:t>Figure S</w:t>
      </w:r>
      <w:r>
        <w:rPr>
          <w:b/>
          <w:bCs/>
        </w:rPr>
        <w:fldChar w:fldCharType="begin"/>
      </w:r>
      <w:r>
        <w:rPr>
          <w:b/>
          <w:bCs/>
        </w:rPr>
        <w:instrText xml:space="preserve"> SEQ Figure_S \* ARABIC </w:instrText>
      </w:r>
      <w:r>
        <w:rPr>
          <w:b/>
          <w:bCs/>
        </w:rPr>
        <w:fldChar w:fldCharType="separate"/>
      </w:r>
      <w:r>
        <w:rPr>
          <w:b/>
          <w:bCs/>
        </w:rPr>
        <w:t>6</w:t>
      </w:r>
      <w:r>
        <w:rPr>
          <w:b/>
          <w:bCs/>
        </w:rPr>
        <w:fldChar w:fldCharType="end"/>
      </w:r>
      <w:bookmarkEnd w:id="19"/>
      <w:r>
        <w:t xml:space="preserve"> Sextant locations.</w:t>
      </w:r>
    </w:p>
    <w:p>
      <w:pPr>
        <w:rPr>
          <w:rFonts w:eastAsiaTheme="minorEastAsia"/>
        </w:rPr>
      </w:pPr>
    </w:p>
    <w:p>
      <w:pPr>
        <w:rPr>
          <w:rFonts w:eastAsiaTheme="minorEastAsia"/>
        </w:rPr>
      </w:pPr>
    </w:p>
    <w:p>
      <w:r>
        <w:drawing>
          <wp:inline distT="0" distB="0" distL="114300" distR="114300">
            <wp:extent cx="2743200" cy="2571750"/>
            <wp:effectExtent l="0" t="0" r="0" b="190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9"/>
                    <a:stretch>
                      <a:fillRect/>
                    </a:stretch>
                  </pic:blipFill>
                  <pic:spPr>
                    <a:xfrm>
                      <a:off x="0" y="0"/>
                      <a:ext cx="2743200" cy="2571750"/>
                    </a:xfrm>
                    <a:prstGeom prst="rect">
                      <a:avLst/>
                    </a:prstGeom>
                    <a:noFill/>
                    <a:ln>
                      <a:noFill/>
                    </a:ln>
                  </pic:spPr>
                </pic:pic>
              </a:graphicData>
            </a:graphic>
          </wp:inline>
        </w:drawing>
      </w:r>
    </w:p>
    <w:p>
      <w:pPr>
        <w:pStyle w:val="7"/>
        <w:ind w:firstLine="482"/>
      </w:pPr>
      <w:bookmarkStart w:id="20" w:name="_Ref127284301"/>
      <w:r>
        <w:rPr>
          <w:b/>
          <w:bCs/>
        </w:rPr>
        <w:t>Figure S</w:t>
      </w:r>
      <w:r>
        <w:rPr>
          <w:b/>
          <w:bCs/>
        </w:rPr>
        <w:fldChar w:fldCharType="begin"/>
      </w:r>
      <w:r>
        <w:rPr>
          <w:b/>
          <w:bCs/>
        </w:rPr>
        <w:instrText xml:space="preserve"> SEQ Figure_S \* ARABIC </w:instrText>
      </w:r>
      <w:r>
        <w:rPr>
          <w:b/>
          <w:bCs/>
        </w:rPr>
        <w:fldChar w:fldCharType="separate"/>
      </w:r>
      <w:r>
        <w:rPr>
          <w:b/>
          <w:bCs/>
        </w:rPr>
        <w:t>7</w:t>
      </w:r>
      <w:r>
        <w:rPr>
          <w:b/>
          <w:bCs/>
        </w:rPr>
        <w:fldChar w:fldCharType="end"/>
      </w:r>
      <w:bookmarkEnd w:id="20"/>
      <w:r>
        <w:t xml:space="preserve"> </w:t>
      </w:r>
      <w:r>
        <w:rPr>
          <w:rFonts w:eastAsiaTheme="minorEastAsia"/>
        </w:rPr>
        <w:t>A</w:t>
      </w:r>
      <w:r>
        <w:t>natomic zone locations.</w:t>
      </w:r>
    </w:p>
    <w:p>
      <w:pPr>
        <w:ind w:firstLine="0" w:firstLineChars="0"/>
        <w:rPr>
          <w:rFonts w:eastAsiaTheme="minorEastAsia"/>
        </w:rPr>
      </w:pPr>
    </w:p>
    <w:p>
      <w:r>
        <w:rPr>
          <w:rFonts w:hint="eastAsia"/>
        </w:rPr>
        <w:drawing>
          <wp:inline distT="0" distB="0" distL="0" distR="0">
            <wp:extent cx="1543685" cy="1543685"/>
            <wp:effectExtent l="0" t="0" r="0" b="0"/>
            <wp:docPr id="89859095" name="图片 4"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59095" name="图片 4" descr="图表, 直方图&#10;&#10;描述已自动生成"/>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48021" cy="1548021"/>
                    </a:xfrm>
                    <a:prstGeom prst="rect">
                      <a:avLst/>
                    </a:prstGeom>
                  </pic:spPr>
                </pic:pic>
              </a:graphicData>
            </a:graphic>
          </wp:inline>
        </w:drawing>
      </w:r>
    </w:p>
    <w:p>
      <w:r>
        <w:rPr>
          <w:rFonts w:hint="eastAsia"/>
        </w:rPr>
        <w:drawing>
          <wp:inline distT="0" distB="0" distL="0" distR="0">
            <wp:extent cx="1562100" cy="1562100"/>
            <wp:effectExtent l="0" t="0" r="0" b="0"/>
            <wp:docPr id="1997347761" name="图片 5"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347761" name="图片 5" descr="图表&#10;&#10;描述已自动生成"/>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62108" cy="1562108"/>
                    </a:xfrm>
                    <a:prstGeom prst="rect">
                      <a:avLst/>
                    </a:prstGeom>
                  </pic:spPr>
                </pic:pic>
              </a:graphicData>
            </a:graphic>
          </wp:inline>
        </w:drawing>
      </w:r>
    </w:p>
    <w:p/>
    <w:p>
      <w:r>
        <w:rPr>
          <w:rFonts w:hint="eastAsia"/>
        </w:rPr>
        <w:drawing>
          <wp:inline distT="0" distB="0" distL="0" distR="0">
            <wp:extent cx="1587500" cy="1587500"/>
            <wp:effectExtent l="0" t="0" r="0" b="0"/>
            <wp:docPr id="1381321760" name="图片 7"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321760" name="图片 7" descr="图表, 折线图&#10;&#10;描述已自动生成"/>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87505" cy="1587505"/>
                    </a:xfrm>
                    <a:prstGeom prst="rect">
                      <a:avLst/>
                    </a:prstGeom>
                  </pic:spPr>
                </pic:pic>
              </a:graphicData>
            </a:graphic>
          </wp:inline>
        </w:drawing>
      </w:r>
    </w:p>
    <w:p>
      <w:r>
        <w:rPr>
          <w:rFonts w:hint="eastAsia"/>
        </w:rPr>
        <w:drawing>
          <wp:inline distT="0" distB="0" distL="0" distR="0">
            <wp:extent cx="1663065" cy="1663065"/>
            <wp:effectExtent l="0" t="0" r="0" b="0"/>
            <wp:docPr id="1830729392" name="图片 6"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729392" name="图片 6" descr="图表&#10;&#10;描述已自动生成"/>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67825" cy="1667825"/>
                    </a:xfrm>
                    <a:prstGeom prst="rect">
                      <a:avLst/>
                    </a:prstGeom>
                  </pic:spPr>
                </pic:pic>
              </a:graphicData>
            </a:graphic>
          </wp:inline>
        </w:drawing>
      </w:r>
    </w:p>
    <w:p>
      <w:r>
        <w:rPr>
          <w:rFonts w:hint="eastAsia"/>
        </w:rPr>
        <w:drawing>
          <wp:inline distT="0" distB="0" distL="0" distR="0">
            <wp:extent cx="1828800" cy="1828800"/>
            <wp:effectExtent l="0" t="0" r="0" b="0"/>
            <wp:docPr id="16650198" name="图片 9"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0198" name="图片 9" descr="图表, 直方图&#10;&#10;描述已自动生成"/>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28804" cy="1828804"/>
                    </a:xfrm>
                    <a:prstGeom prst="rect">
                      <a:avLst/>
                    </a:prstGeom>
                  </pic:spPr>
                </pic:pic>
              </a:graphicData>
            </a:graphic>
          </wp:inline>
        </w:drawing>
      </w:r>
    </w:p>
    <w:p>
      <w:r>
        <w:rPr>
          <w:rFonts w:hint="eastAsia"/>
        </w:rPr>
        <w:drawing>
          <wp:inline distT="0" distB="0" distL="0" distR="0">
            <wp:extent cx="1762125" cy="1762125"/>
            <wp:effectExtent l="0" t="0" r="9525" b="9525"/>
            <wp:docPr id="629928894" name="图片 10"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928894" name="图片 10" descr="图表&#10;&#10;描述已自动生成"/>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63947" cy="1763947"/>
                    </a:xfrm>
                    <a:prstGeom prst="rect">
                      <a:avLst/>
                    </a:prstGeom>
                  </pic:spPr>
                </pic:pic>
              </a:graphicData>
            </a:graphic>
          </wp:inline>
        </w:drawing>
      </w:r>
    </w:p>
    <w:p>
      <w:r>
        <w:rPr>
          <w:rFonts w:hint="eastAsia"/>
        </w:rPr>
        <w:drawing>
          <wp:inline distT="0" distB="0" distL="0" distR="0">
            <wp:extent cx="1682750" cy="1682750"/>
            <wp:effectExtent l="0" t="0" r="0" b="0"/>
            <wp:docPr id="2109945740" name="图片 1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945740" name="图片 11" descr="图表&#10;&#10;描述已自动生成"/>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84150" cy="1684150"/>
                    </a:xfrm>
                    <a:prstGeom prst="rect">
                      <a:avLst/>
                    </a:prstGeom>
                  </pic:spPr>
                </pic:pic>
              </a:graphicData>
            </a:graphic>
          </wp:inline>
        </w:drawing>
      </w:r>
    </w:p>
    <w:p>
      <w:r>
        <w:rPr>
          <w:rFonts w:hint="eastAsia"/>
        </w:rPr>
        <w:drawing>
          <wp:inline distT="0" distB="0" distL="0" distR="0">
            <wp:extent cx="1769110" cy="1769110"/>
            <wp:effectExtent l="0" t="0" r="2540" b="2540"/>
            <wp:docPr id="1363129307" name="图片 12"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129307" name="图片 12" descr="图表, 折线图&#10;&#10;描述已自动生成"/>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770128" cy="1770128"/>
                    </a:xfrm>
                    <a:prstGeom prst="rect">
                      <a:avLst/>
                    </a:prstGeom>
                  </pic:spPr>
                </pic:pic>
              </a:graphicData>
            </a:graphic>
          </wp:inline>
        </w:drawing>
      </w:r>
    </w:p>
    <w:p>
      <w:pPr>
        <w:pStyle w:val="7"/>
        <w:ind w:firstLine="0" w:firstLineChars="0"/>
      </w:pPr>
      <w:r>
        <w:rPr>
          <w:b/>
          <w:bCs/>
        </w:rPr>
        <w:t>Figure S 8</w:t>
      </w:r>
      <w:r>
        <w:t xml:space="preserve"> Development of the radiomics and deep-radiomics LASSO classification</w:t>
      </w:r>
    </w:p>
    <w:p>
      <w:r>
        <w:t xml:space="preserve">A) to D) how the development of the radiomics model.  E) to H) show the development of the deep-radiomics model. Figure 4a and Figure 4e provide visual representations of the cross-validated performance of the LASSO regression model across different values of the regularization parameter lambda. The x-axis represents the logarithm (base 10) of the lambda values used in the cross-validation process. The y-axis represents the multinomial deviance across all folds in the cross-validation process. </w:t>
      </w:r>
      <w:r>
        <w:rPr>
          <w:rFonts w:hint="eastAsia"/>
        </w:rPr>
        <w:t>T</w:t>
      </w:r>
      <w:r>
        <w:t xml:space="preserve">he vertical lines indicate different lambda values. These lines represent the cross-validated error for each lambda value. </w:t>
      </w:r>
      <w:r>
        <w:rPr>
          <w:rFonts w:hint="eastAsia"/>
        </w:rPr>
        <w:t>T</w:t>
      </w:r>
      <w:r>
        <w:t>he dotted vertical line at a specific point on the x-axis represents the lambda value that gives the minimum cross-validated error. This is considered the optimal lambda for the Lasso model. The red dots compose the performance curve, which helps us understand the trade-off between model complexity and performance.</w:t>
      </w:r>
      <w:r>
        <w:rPr>
          <w:rFonts w:hint="eastAsia"/>
        </w:rPr>
        <w:t xml:space="preserve"> </w:t>
      </w:r>
      <w:r>
        <w:t>The cross-validation process helps in selecting an optimal lambda value for the LASSO regression model, which in turn helps prevent overfitting and improves the model's ability to generalize to new data.</w:t>
      </w:r>
    </w:p>
    <w:p>
      <w:r>
        <w:t>The other plots provide detailed insights into how the coefficient for the predictor variable is influenced by different aspects of the LASSO regression model, including the L1 norm (B and F), the logarithm of the regularization parameter (lambda) (Figure C and G), and the fraction of deviance explained (D and H) by the model.</w:t>
      </w:r>
    </w:p>
    <w:p>
      <w:pPr>
        <w:ind w:firstLine="0" w:firstLineChars="0"/>
        <w:rPr>
          <w:rFonts w:hint="eastAsia" w:eastAsiaTheme="minorEastAsia"/>
        </w:rPr>
      </w:pPr>
    </w:p>
    <w:sectPr>
      <w:pgSz w:w="11906" w:h="16838"/>
      <w:pgMar w:top="1440" w:right="1803" w:bottom="1440" w:left="1803" w:header="851" w:footer="992" w:gutter="0"/>
      <w:cols w:space="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DY163+ZKZIFK-163">
    <w:altName w:val="Cambria"/>
    <w:panose1 w:val="00000000000000000000"/>
    <w:charset w:val="00"/>
    <w:family w:val="roman"/>
    <w:pitch w:val="default"/>
    <w:sig w:usb0="00000000" w:usb1="00000000" w:usb2="00000000" w:usb3="00000000" w:csb0="00000000" w:csb1="00000000"/>
  </w:font>
  <w:font w:name="Times New Roman Bold">
    <w:altName w:val="Times New Roman"/>
    <w:panose1 w:val="02020803070505020304"/>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80"/>
      </w:pPr>
      <w:r>
        <w:separator/>
      </w:r>
    </w:p>
  </w:footnote>
  <w:footnote w:type="continuationSeparator" w:id="1">
    <w:p>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1&lt;/Suspended&gt;&lt;/ENInstantFormat&gt;"/>
    <w:docVar w:name="EN.Layout" w:val="&lt;ENLayout&gt;&lt;Style&gt;QIM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1107E"/>
    <w:rsid w:val="00000984"/>
    <w:rsid w:val="000010E1"/>
    <w:rsid w:val="00001EB9"/>
    <w:rsid w:val="00002B46"/>
    <w:rsid w:val="00005043"/>
    <w:rsid w:val="0000598D"/>
    <w:rsid w:val="00005BC1"/>
    <w:rsid w:val="00006AEA"/>
    <w:rsid w:val="000075F9"/>
    <w:rsid w:val="00010160"/>
    <w:rsid w:val="000101F7"/>
    <w:rsid w:val="00010AF2"/>
    <w:rsid w:val="00010AF4"/>
    <w:rsid w:val="00011253"/>
    <w:rsid w:val="00011C41"/>
    <w:rsid w:val="00012B4D"/>
    <w:rsid w:val="00014329"/>
    <w:rsid w:val="00014411"/>
    <w:rsid w:val="000152BB"/>
    <w:rsid w:val="0001611E"/>
    <w:rsid w:val="00016CAC"/>
    <w:rsid w:val="00017E56"/>
    <w:rsid w:val="00022460"/>
    <w:rsid w:val="0002267E"/>
    <w:rsid w:val="00025845"/>
    <w:rsid w:val="000262C8"/>
    <w:rsid w:val="00026DF8"/>
    <w:rsid w:val="0002770D"/>
    <w:rsid w:val="00032119"/>
    <w:rsid w:val="00035C8B"/>
    <w:rsid w:val="00040F6A"/>
    <w:rsid w:val="00041383"/>
    <w:rsid w:val="000416EC"/>
    <w:rsid w:val="00041B4E"/>
    <w:rsid w:val="00042ABA"/>
    <w:rsid w:val="00042F5A"/>
    <w:rsid w:val="000434B0"/>
    <w:rsid w:val="0004552A"/>
    <w:rsid w:val="00045B8E"/>
    <w:rsid w:val="0004648B"/>
    <w:rsid w:val="000466FF"/>
    <w:rsid w:val="0005012F"/>
    <w:rsid w:val="00050988"/>
    <w:rsid w:val="00050B4B"/>
    <w:rsid w:val="0005203C"/>
    <w:rsid w:val="000577A6"/>
    <w:rsid w:val="00057B4E"/>
    <w:rsid w:val="0006277E"/>
    <w:rsid w:val="00064FC0"/>
    <w:rsid w:val="000709CD"/>
    <w:rsid w:val="0007245F"/>
    <w:rsid w:val="00074FBF"/>
    <w:rsid w:val="0007566A"/>
    <w:rsid w:val="000774C8"/>
    <w:rsid w:val="0008226C"/>
    <w:rsid w:val="0008292F"/>
    <w:rsid w:val="00085843"/>
    <w:rsid w:val="0008672F"/>
    <w:rsid w:val="000907C6"/>
    <w:rsid w:val="00090D62"/>
    <w:rsid w:val="00091758"/>
    <w:rsid w:val="0009584E"/>
    <w:rsid w:val="00095DA5"/>
    <w:rsid w:val="000976AA"/>
    <w:rsid w:val="000A13B6"/>
    <w:rsid w:val="000A1994"/>
    <w:rsid w:val="000A1B76"/>
    <w:rsid w:val="000A1EEB"/>
    <w:rsid w:val="000A3404"/>
    <w:rsid w:val="000A4574"/>
    <w:rsid w:val="000A64EA"/>
    <w:rsid w:val="000A6963"/>
    <w:rsid w:val="000A6B42"/>
    <w:rsid w:val="000B055C"/>
    <w:rsid w:val="000B094A"/>
    <w:rsid w:val="000B3C3F"/>
    <w:rsid w:val="000B4B2C"/>
    <w:rsid w:val="000B6E4B"/>
    <w:rsid w:val="000B71B8"/>
    <w:rsid w:val="000B7BB0"/>
    <w:rsid w:val="000C21EB"/>
    <w:rsid w:val="000C3A80"/>
    <w:rsid w:val="000C3EA5"/>
    <w:rsid w:val="000C7534"/>
    <w:rsid w:val="000D1A4A"/>
    <w:rsid w:val="000D3048"/>
    <w:rsid w:val="000D4740"/>
    <w:rsid w:val="000D57E3"/>
    <w:rsid w:val="000D6011"/>
    <w:rsid w:val="000D722F"/>
    <w:rsid w:val="000E0081"/>
    <w:rsid w:val="000E162C"/>
    <w:rsid w:val="000E347E"/>
    <w:rsid w:val="000E3D18"/>
    <w:rsid w:val="000E3F2A"/>
    <w:rsid w:val="000E6838"/>
    <w:rsid w:val="000F7541"/>
    <w:rsid w:val="001014AE"/>
    <w:rsid w:val="00102CAA"/>
    <w:rsid w:val="00103F04"/>
    <w:rsid w:val="001047D3"/>
    <w:rsid w:val="0010506D"/>
    <w:rsid w:val="0010792F"/>
    <w:rsid w:val="00107DE7"/>
    <w:rsid w:val="00111D34"/>
    <w:rsid w:val="00112345"/>
    <w:rsid w:val="001125F3"/>
    <w:rsid w:val="00113DC8"/>
    <w:rsid w:val="00114196"/>
    <w:rsid w:val="001146A2"/>
    <w:rsid w:val="00115069"/>
    <w:rsid w:val="00115E96"/>
    <w:rsid w:val="0011732A"/>
    <w:rsid w:val="00125D1C"/>
    <w:rsid w:val="001264CC"/>
    <w:rsid w:val="00127B7B"/>
    <w:rsid w:val="00130578"/>
    <w:rsid w:val="001316D4"/>
    <w:rsid w:val="00132168"/>
    <w:rsid w:val="001326D4"/>
    <w:rsid w:val="0013323C"/>
    <w:rsid w:val="0013372F"/>
    <w:rsid w:val="00134689"/>
    <w:rsid w:val="0013521D"/>
    <w:rsid w:val="0013616C"/>
    <w:rsid w:val="001374AF"/>
    <w:rsid w:val="00140D44"/>
    <w:rsid w:val="001414A3"/>
    <w:rsid w:val="00141BBC"/>
    <w:rsid w:val="001421B9"/>
    <w:rsid w:val="00142C3E"/>
    <w:rsid w:val="00144C61"/>
    <w:rsid w:val="00147449"/>
    <w:rsid w:val="001512BE"/>
    <w:rsid w:val="0015135F"/>
    <w:rsid w:val="001514C7"/>
    <w:rsid w:val="00151E72"/>
    <w:rsid w:val="00152C33"/>
    <w:rsid w:val="00153811"/>
    <w:rsid w:val="00153D07"/>
    <w:rsid w:val="00154480"/>
    <w:rsid w:val="00156C93"/>
    <w:rsid w:val="00160C47"/>
    <w:rsid w:val="0016185B"/>
    <w:rsid w:val="001619F9"/>
    <w:rsid w:val="001653D4"/>
    <w:rsid w:val="0016549E"/>
    <w:rsid w:val="001731FC"/>
    <w:rsid w:val="001748C9"/>
    <w:rsid w:val="001761E8"/>
    <w:rsid w:val="00180E12"/>
    <w:rsid w:val="00180FAD"/>
    <w:rsid w:val="00181957"/>
    <w:rsid w:val="00181EE8"/>
    <w:rsid w:val="0018262A"/>
    <w:rsid w:val="0018269C"/>
    <w:rsid w:val="0018411C"/>
    <w:rsid w:val="001866C3"/>
    <w:rsid w:val="0019091A"/>
    <w:rsid w:val="00190C45"/>
    <w:rsid w:val="00192F9E"/>
    <w:rsid w:val="00193068"/>
    <w:rsid w:val="0019528B"/>
    <w:rsid w:val="00196551"/>
    <w:rsid w:val="00196E3D"/>
    <w:rsid w:val="001A0BB4"/>
    <w:rsid w:val="001A21C6"/>
    <w:rsid w:val="001A3A51"/>
    <w:rsid w:val="001A467E"/>
    <w:rsid w:val="001A4940"/>
    <w:rsid w:val="001A4979"/>
    <w:rsid w:val="001A4AA2"/>
    <w:rsid w:val="001A5D82"/>
    <w:rsid w:val="001B05A2"/>
    <w:rsid w:val="001B136A"/>
    <w:rsid w:val="001B2864"/>
    <w:rsid w:val="001B3360"/>
    <w:rsid w:val="001C1906"/>
    <w:rsid w:val="001C1FE3"/>
    <w:rsid w:val="001C26BD"/>
    <w:rsid w:val="001D0E58"/>
    <w:rsid w:val="001D410A"/>
    <w:rsid w:val="001E079E"/>
    <w:rsid w:val="001E11EC"/>
    <w:rsid w:val="001E5F2B"/>
    <w:rsid w:val="001E66AC"/>
    <w:rsid w:val="001F0A81"/>
    <w:rsid w:val="001F18A3"/>
    <w:rsid w:val="001F31A4"/>
    <w:rsid w:val="001F42C2"/>
    <w:rsid w:val="001F6A87"/>
    <w:rsid w:val="001F7AAA"/>
    <w:rsid w:val="002004CD"/>
    <w:rsid w:val="002006B0"/>
    <w:rsid w:val="0020565D"/>
    <w:rsid w:val="00205EAE"/>
    <w:rsid w:val="00206F23"/>
    <w:rsid w:val="00210BD0"/>
    <w:rsid w:val="0021107E"/>
    <w:rsid w:val="002112CB"/>
    <w:rsid w:val="00211C06"/>
    <w:rsid w:val="002153B2"/>
    <w:rsid w:val="00217266"/>
    <w:rsid w:val="0022467B"/>
    <w:rsid w:val="002257D8"/>
    <w:rsid w:val="0022623D"/>
    <w:rsid w:val="002322BB"/>
    <w:rsid w:val="002336C7"/>
    <w:rsid w:val="00233DBD"/>
    <w:rsid w:val="00233F8F"/>
    <w:rsid w:val="00234E4C"/>
    <w:rsid w:val="002350FB"/>
    <w:rsid w:val="00235E77"/>
    <w:rsid w:val="00236375"/>
    <w:rsid w:val="00236FA3"/>
    <w:rsid w:val="0024025C"/>
    <w:rsid w:val="002405FB"/>
    <w:rsid w:val="00240845"/>
    <w:rsid w:val="00241E27"/>
    <w:rsid w:val="00242F18"/>
    <w:rsid w:val="00242F5E"/>
    <w:rsid w:val="0024380C"/>
    <w:rsid w:val="00246A4C"/>
    <w:rsid w:val="002508C1"/>
    <w:rsid w:val="002509BB"/>
    <w:rsid w:val="00250A64"/>
    <w:rsid w:val="002538F7"/>
    <w:rsid w:val="00254F0B"/>
    <w:rsid w:val="002558D1"/>
    <w:rsid w:val="002561E9"/>
    <w:rsid w:val="002571D2"/>
    <w:rsid w:val="002652F4"/>
    <w:rsid w:val="002671D6"/>
    <w:rsid w:val="002705C3"/>
    <w:rsid w:val="00273270"/>
    <w:rsid w:val="0027340D"/>
    <w:rsid w:val="00274017"/>
    <w:rsid w:val="00275351"/>
    <w:rsid w:val="00277FE2"/>
    <w:rsid w:val="00280B8E"/>
    <w:rsid w:val="0028229D"/>
    <w:rsid w:val="00282C60"/>
    <w:rsid w:val="00283437"/>
    <w:rsid w:val="00284BF4"/>
    <w:rsid w:val="00286302"/>
    <w:rsid w:val="002869D2"/>
    <w:rsid w:val="0028755F"/>
    <w:rsid w:val="00287CBE"/>
    <w:rsid w:val="00287F30"/>
    <w:rsid w:val="00290544"/>
    <w:rsid w:val="002938EA"/>
    <w:rsid w:val="00297F23"/>
    <w:rsid w:val="002A0222"/>
    <w:rsid w:val="002A0505"/>
    <w:rsid w:val="002A12EE"/>
    <w:rsid w:val="002A15FF"/>
    <w:rsid w:val="002A1A5D"/>
    <w:rsid w:val="002A26CE"/>
    <w:rsid w:val="002A492D"/>
    <w:rsid w:val="002A5389"/>
    <w:rsid w:val="002A54EF"/>
    <w:rsid w:val="002A6762"/>
    <w:rsid w:val="002B275A"/>
    <w:rsid w:val="002B4822"/>
    <w:rsid w:val="002B62FF"/>
    <w:rsid w:val="002B7469"/>
    <w:rsid w:val="002C08FE"/>
    <w:rsid w:val="002C098B"/>
    <w:rsid w:val="002C1CDB"/>
    <w:rsid w:val="002C241E"/>
    <w:rsid w:val="002C33A1"/>
    <w:rsid w:val="002C36CC"/>
    <w:rsid w:val="002C55C2"/>
    <w:rsid w:val="002C7A15"/>
    <w:rsid w:val="002D0B82"/>
    <w:rsid w:val="002D1015"/>
    <w:rsid w:val="002D1736"/>
    <w:rsid w:val="002D34B3"/>
    <w:rsid w:val="002D409A"/>
    <w:rsid w:val="002D414B"/>
    <w:rsid w:val="002D515B"/>
    <w:rsid w:val="002E0A28"/>
    <w:rsid w:val="002E0C42"/>
    <w:rsid w:val="002E2EB3"/>
    <w:rsid w:val="002E3144"/>
    <w:rsid w:val="002E38E8"/>
    <w:rsid w:val="002E48FA"/>
    <w:rsid w:val="002E5474"/>
    <w:rsid w:val="002E5B93"/>
    <w:rsid w:val="002E6E5D"/>
    <w:rsid w:val="002E7B38"/>
    <w:rsid w:val="002F049F"/>
    <w:rsid w:val="002F0D24"/>
    <w:rsid w:val="002F1D3C"/>
    <w:rsid w:val="002F2371"/>
    <w:rsid w:val="002F2516"/>
    <w:rsid w:val="002F26CF"/>
    <w:rsid w:val="002F2ABC"/>
    <w:rsid w:val="002F2D7C"/>
    <w:rsid w:val="002F537C"/>
    <w:rsid w:val="002F68F1"/>
    <w:rsid w:val="00300A3A"/>
    <w:rsid w:val="003024BB"/>
    <w:rsid w:val="00302B61"/>
    <w:rsid w:val="00304592"/>
    <w:rsid w:val="00304A52"/>
    <w:rsid w:val="00304FDF"/>
    <w:rsid w:val="00305671"/>
    <w:rsid w:val="00306714"/>
    <w:rsid w:val="00306D04"/>
    <w:rsid w:val="003079CE"/>
    <w:rsid w:val="00307A60"/>
    <w:rsid w:val="003121CD"/>
    <w:rsid w:val="00314FB0"/>
    <w:rsid w:val="0031555E"/>
    <w:rsid w:val="00315F49"/>
    <w:rsid w:val="0031663F"/>
    <w:rsid w:val="003179BB"/>
    <w:rsid w:val="00322110"/>
    <w:rsid w:val="0032375E"/>
    <w:rsid w:val="00323A7D"/>
    <w:rsid w:val="003253F2"/>
    <w:rsid w:val="00326CD7"/>
    <w:rsid w:val="00330D1F"/>
    <w:rsid w:val="0033163E"/>
    <w:rsid w:val="0033257E"/>
    <w:rsid w:val="00335853"/>
    <w:rsid w:val="00336C11"/>
    <w:rsid w:val="00340A4F"/>
    <w:rsid w:val="00340DA5"/>
    <w:rsid w:val="00341810"/>
    <w:rsid w:val="0034238B"/>
    <w:rsid w:val="003429DE"/>
    <w:rsid w:val="00342AF5"/>
    <w:rsid w:val="0034505A"/>
    <w:rsid w:val="0034681B"/>
    <w:rsid w:val="00347C87"/>
    <w:rsid w:val="00352755"/>
    <w:rsid w:val="0035345B"/>
    <w:rsid w:val="0035423C"/>
    <w:rsid w:val="003548B7"/>
    <w:rsid w:val="00354C56"/>
    <w:rsid w:val="0035599A"/>
    <w:rsid w:val="00357D2E"/>
    <w:rsid w:val="00360E7B"/>
    <w:rsid w:val="00365918"/>
    <w:rsid w:val="00366418"/>
    <w:rsid w:val="00366E1F"/>
    <w:rsid w:val="00370251"/>
    <w:rsid w:val="00371ABD"/>
    <w:rsid w:val="00372BAB"/>
    <w:rsid w:val="00373D88"/>
    <w:rsid w:val="0037438F"/>
    <w:rsid w:val="003744A4"/>
    <w:rsid w:val="00374894"/>
    <w:rsid w:val="00374DD3"/>
    <w:rsid w:val="003750E0"/>
    <w:rsid w:val="0037696D"/>
    <w:rsid w:val="00377BF0"/>
    <w:rsid w:val="003804F7"/>
    <w:rsid w:val="00381A7B"/>
    <w:rsid w:val="00383C23"/>
    <w:rsid w:val="00385FC7"/>
    <w:rsid w:val="00391A08"/>
    <w:rsid w:val="003933B0"/>
    <w:rsid w:val="00393E09"/>
    <w:rsid w:val="00396EA8"/>
    <w:rsid w:val="0039771A"/>
    <w:rsid w:val="003A10C7"/>
    <w:rsid w:val="003A1BD1"/>
    <w:rsid w:val="003A1E6F"/>
    <w:rsid w:val="003A1FD9"/>
    <w:rsid w:val="003A2C84"/>
    <w:rsid w:val="003A475F"/>
    <w:rsid w:val="003A51CE"/>
    <w:rsid w:val="003A5B8C"/>
    <w:rsid w:val="003A6177"/>
    <w:rsid w:val="003B29ED"/>
    <w:rsid w:val="003B2F50"/>
    <w:rsid w:val="003B30C4"/>
    <w:rsid w:val="003B35C4"/>
    <w:rsid w:val="003B52E6"/>
    <w:rsid w:val="003B60EA"/>
    <w:rsid w:val="003B6552"/>
    <w:rsid w:val="003B6F21"/>
    <w:rsid w:val="003C11A3"/>
    <w:rsid w:val="003C1F78"/>
    <w:rsid w:val="003C26B6"/>
    <w:rsid w:val="003C3563"/>
    <w:rsid w:val="003C3FC6"/>
    <w:rsid w:val="003C468A"/>
    <w:rsid w:val="003C5EE9"/>
    <w:rsid w:val="003C5F14"/>
    <w:rsid w:val="003C65E0"/>
    <w:rsid w:val="003C7D57"/>
    <w:rsid w:val="003D0DFC"/>
    <w:rsid w:val="003D1688"/>
    <w:rsid w:val="003D184D"/>
    <w:rsid w:val="003D2204"/>
    <w:rsid w:val="003D2935"/>
    <w:rsid w:val="003D2C8C"/>
    <w:rsid w:val="003D46B7"/>
    <w:rsid w:val="003D4F09"/>
    <w:rsid w:val="003D71C4"/>
    <w:rsid w:val="003D7319"/>
    <w:rsid w:val="003E0AA6"/>
    <w:rsid w:val="003E0B89"/>
    <w:rsid w:val="003E12BC"/>
    <w:rsid w:val="003E248B"/>
    <w:rsid w:val="003E2DE7"/>
    <w:rsid w:val="003E3A2F"/>
    <w:rsid w:val="003E77EC"/>
    <w:rsid w:val="003E790F"/>
    <w:rsid w:val="003E7E17"/>
    <w:rsid w:val="003F0072"/>
    <w:rsid w:val="003F2E53"/>
    <w:rsid w:val="003F4D51"/>
    <w:rsid w:val="00401B6F"/>
    <w:rsid w:val="00402442"/>
    <w:rsid w:val="004038E8"/>
    <w:rsid w:val="00403C2A"/>
    <w:rsid w:val="00407FF9"/>
    <w:rsid w:val="00411159"/>
    <w:rsid w:val="00412420"/>
    <w:rsid w:val="00412479"/>
    <w:rsid w:val="00412CA7"/>
    <w:rsid w:val="00413931"/>
    <w:rsid w:val="00415061"/>
    <w:rsid w:val="004161AD"/>
    <w:rsid w:val="004162DD"/>
    <w:rsid w:val="00416810"/>
    <w:rsid w:val="00417741"/>
    <w:rsid w:val="00422CD6"/>
    <w:rsid w:val="0042341E"/>
    <w:rsid w:val="00423DF0"/>
    <w:rsid w:val="004302D5"/>
    <w:rsid w:val="00431D04"/>
    <w:rsid w:val="00433317"/>
    <w:rsid w:val="0043509C"/>
    <w:rsid w:val="004351F8"/>
    <w:rsid w:val="00436C3B"/>
    <w:rsid w:val="00436F38"/>
    <w:rsid w:val="00440B6B"/>
    <w:rsid w:val="004422FF"/>
    <w:rsid w:val="00444983"/>
    <w:rsid w:val="004457D9"/>
    <w:rsid w:val="0044745C"/>
    <w:rsid w:val="00452B6B"/>
    <w:rsid w:val="00453F66"/>
    <w:rsid w:val="00457919"/>
    <w:rsid w:val="004609E0"/>
    <w:rsid w:val="004614B1"/>
    <w:rsid w:val="00461A4F"/>
    <w:rsid w:val="00462471"/>
    <w:rsid w:val="00462EEC"/>
    <w:rsid w:val="0046380F"/>
    <w:rsid w:val="0046408F"/>
    <w:rsid w:val="00464BF4"/>
    <w:rsid w:val="00464F68"/>
    <w:rsid w:val="0046560A"/>
    <w:rsid w:val="00467714"/>
    <w:rsid w:val="00467D51"/>
    <w:rsid w:val="004702D4"/>
    <w:rsid w:val="004713E6"/>
    <w:rsid w:val="00471599"/>
    <w:rsid w:val="00471E6C"/>
    <w:rsid w:val="004726DD"/>
    <w:rsid w:val="00472BE1"/>
    <w:rsid w:val="00475956"/>
    <w:rsid w:val="00475A53"/>
    <w:rsid w:val="00481895"/>
    <w:rsid w:val="004823C3"/>
    <w:rsid w:val="00482778"/>
    <w:rsid w:val="0048791F"/>
    <w:rsid w:val="0049178E"/>
    <w:rsid w:val="00493C1B"/>
    <w:rsid w:val="00494A69"/>
    <w:rsid w:val="00495FDC"/>
    <w:rsid w:val="00496BEA"/>
    <w:rsid w:val="004A06FB"/>
    <w:rsid w:val="004A3118"/>
    <w:rsid w:val="004A3BC0"/>
    <w:rsid w:val="004A3E11"/>
    <w:rsid w:val="004A7D87"/>
    <w:rsid w:val="004B235E"/>
    <w:rsid w:val="004B285C"/>
    <w:rsid w:val="004B3802"/>
    <w:rsid w:val="004B466A"/>
    <w:rsid w:val="004B5973"/>
    <w:rsid w:val="004B6FD9"/>
    <w:rsid w:val="004B75C6"/>
    <w:rsid w:val="004B7A61"/>
    <w:rsid w:val="004C1368"/>
    <w:rsid w:val="004C47ED"/>
    <w:rsid w:val="004C57E5"/>
    <w:rsid w:val="004C718B"/>
    <w:rsid w:val="004D0C33"/>
    <w:rsid w:val="004D317C"/>
    <w:rsid w:val="004D3DC5"/>
    <w:rsid w:val="004D6DDB"/>
    <w:rsid w:val="004E01AD"/>
    <w:rsid w:val="004E0D84"/>
    <w:rsid w:val="004E2291"/>
    <w:rsid w:val="004E2F9B"/>
    <w:rsid w:val="004E5243"/>
    <w:rsid w:val="004E537E"/>
    <w:rsid w:val="004E5B84"/>
    <w:rsid w:val="004E61A4"/>
    <w:rsid w:val="004E6725"/>
    <w:rsid w:val="004F0199"/>
    <w:rsid w:val="004F1330"/>
    <w:rsid w:val="004F1D34"/>
    <w:rsid w:val="004F44CC"/>
    <w:rsid w:val="004F4A0D"/>
    <w:rsid w:val="004F60B1"/>
    <w:rsid w:val="004F61EF"/>
    <w:rsid w:val="004F65E9"/>
    <w:rsid w:val="004F6E80"/>
    <w:rsid w:val="004F70B0"/>
    <w:rsid w:val="00500A41"/>
    <w:rsid w:val="00500E58"/>
    <w:rsid w:val="00500E76"/>
    <w:rsid w:val="00501A5A"/>
    <w:rsid w:val="00502CC2"/>
    <w:rsid w:val="00505FB2"/>
    <w:rsid w:val="00507864"/>
    <w:rsid w:val="005079A3"/>
    <w:rsid w:val="00507C06"/>
    <w:rsid w:val="00511BA6"/>
    <w:rsid w:val="00511D0E"/>
    <w:rsid w:val="00511EEE"/>
    <w:rsid w:val="005127AB"/>
    <w:rsid w:val="0051453F"/>
    <w:rsid w:val="00515BEE"/>
    <w:rsid w:val="00515D56"/>
    <w:rsid w:val="00515D88"/>
    <w:rsid w:val="00516BF9"/>
    <w:rsid w:val="005175C5"/>
    <w:rsid w:val="00520118"/>
    <w:rsid w:val="00522DFD"/>
    <w:rsid w:val="00523CC4"/>
    <w:rsid w:val="00525423"/>
    <w:rsid w:val="00525756"/>
    <w:rsid w:val="00525A34"/>
    <w:rsid w:val="00526671"/>
    <w:rsid w:val="00526AC2"/>
    <w:rsid w:val="0053066B"/>
    <w:rsid w:val="00531234"/>
    <w:rsid w:val="0053134E"/>
    <w:rsid w:val="00532520"/>
    <w:rsid w:val="00532996"/>
    <w:rsid w:val="005334BC"/>
    <w:rsid w:val="005342E1"/>
    <w:rsid w:val="00534579"/>
    <w:rsid w:val="005346D3"/>
    <w:rsid w:val="00535368"/>
    <w:rsid w:val="0053682D"/>
    <w:rsid w:val="0053720F"/>
    <w:rsid w:val="005405AA"/>
    <w:rsid w:val="00542C43"/>
    <w:rsid w:val="00542D5C"/>
    <w:rsid w:val="00545297"/>
    <w:rsid w:val="00545B8C"/>
    <w:rsid w:val="00547084"/>
    <w:rsid w:val="0054718C"/>
    <w:rsid w:val="00547905"/>
    <w:rsid w:val="005514CD"/>
    <w:rsid w:val="00551554"/>
    <w:rsid w:val="00553486"/>
    <w:rsid w:val="00554571"/>
    <w:rsid w:val="00555F82"/>
    <w:rsid w:val="005572C3"/>
    <w:rsid w:val="00557D2B"/>
    <w:rsid w:val="00560250"/>
    <w:rsid w:val="00563652"/>
    <w:rsid w:val="00563FFB"/>
    <w:rsid w:val="00564FB7"/>
    <w:rsid w:val="00565455"/>
    <w:rsid w:val="005703D6"/>
    <w:rsid w:val="0057061F"/>
    <w:rsid w:val="005706F4"/>
    <w:rsid w:val="00571215"/>
    <w:rsid w:val="00573D69"/>
    <w:rsid w:val="005754F1"/>
    <w:rsid w:val="005755B5"/>
    <w:rsid w:val="005764B2"/>
    <w:rsid w:val="00580597"/>
    <w:rsid w:val="00582A54"/>
    <w:rsid w:val="00583B72"/>
    <w:rsid w:val="005842B3"/>
    <w:rsid w:val="005850EC"/>
    <w:rsid w:val="00585C59"/>
    <w:rsid w:val="00586DC7"/>
    <w:rsid w:val="005905E7"/>
    <w:rsid w:val="005916B9"/>
    <w:rsid w:val="00594057"/>
    <w:rsid w:val="0059458B"/>
    <w:rsid w:val="005945E8"/>
    <w:rsid w:val="00595FE5"/>
    <w:rsid w:val="00596AFD"/>
    <w:rsid w:val="00596EEC"/>
    <w:rsid w:val="00596F08"/>
    <w:rsid w:val="005A026B"/>
    <w:rsid w:val="005A08DC"/>
    <w:rsid w:val="005A1A74"/>
    <w:rsid w:val="005A29A6"/>
    <w:rsid w:val="005A469B"/>
    <w:rsid w:val="005A6546"/>
    <w:rsid w:val="005A6732"/>
    <w:rsid w:val="005A7342"/>
    <w:rsid w:val="005A7FC2"/>
    <w:rsid w:val="005B084C"/>
    <w:rsid w:val="005B0B9F"/>
    <w:rsid w:val="005B0DCB"/>
    <w:rsid w:val="005B0ECE"/>
    <w:rsid w:val="005B14D1"/>
    <w:rsid w:val="005B1F30"/>
    <w:rsid w:val="005B44E3"/>
    <w:rsid w:val="005B6E6D"/>
    <w:rsid w:val="005B786E"/>
    <w:rsid w:val="005C2C9D"/>
    <w:rsid w:val="005C3326"/>
    <w:rsid w:val="005C4C15"/>
    <w:rsid w:val="005C5361"/>
    <w:rsid w:val="005C7A9B"/>
    <w:rsid w:val="005D02C7"/>
    <w:rsid w:val="005D22EF"/>
    <w:rsid w:val="005D4D6E"/>
    <w:rsid w:val="005D5DC8"/>
    <w:rsid w:val="005D60E8"/>
    <w:rsid w:val="005D6661"/>
    <w:rsid w:val="005D6C77"/>
    <w:rsid w:val="005D77F8"/>
    <w:rsid w:val="005E025D"/>
    <w:rsid w:val="005E0885"/>
    <w:rsid w:val="005E0BE8"/>
    <w:rsid w:val="005E2E95"/>
    <w:rsid w:val="005E3017"/>
    <w:rsid w:val="005E34F4"/>
    <w:rsid w:val="005E4864"/>
    <w:rsid w:val="005E493A"/>
    <w:rsid w:val="005E65A2"/>
    <w:rsid w:val="005E699F"/>
    <w:rsid w:val="005F0001"/>
    <w:rsid w:val="005F0095"/>
    <w:rsid w:val="005F059A"/>
    <w:rsid w:val="005F09FD"/>
    <w:rsid w:val="005F1397"/>
    <w:rsid w:val="005F19A0"/>
    <w:rsid w:val="005F1C35"/>
    <w:rsid w:val="005F36CB"/>
    <w:rsid w:val="005F5CCC"/>
    <w:rsid w:val="005F6F8D"/>
    <w:rsid w:val="005F7296"/>
    <w:rsid w:val="005F7EF6"/>
    <w:rsid w:val="0060065A"/>
    <w:rsid w:val="00601A6F"/>
    <w:rsid w:val="00602430"/>
    <w:rsid w:val="00603386"/>
    <w:rsid w:val="0060553A"/>
    <w:rsid w:val="006059E5"/>
    <w:rsid w:val="00610BE3"/>
    <w:rsid w:val="006136EA"/>
    <w:rsid w:val="00616502"/>
    <w:rsid w:val="00620221"/>
    <w:rsid w:val="00622B53"/>
    <w:rsid w:val="00626A2D"/>
    <w:rsid w:val="0062755F"/>
    <w:rsid w:val="0063009B"/>
    <w:rsid w:val="00631625"/>
    <w:rsid w:val="00632845"/>
    <w:rsid w:val="00633A95"/>
    <w:rsid w:val="00634CB4"/>
    <w:rsid w:val="006354ED"/>
    <w:rsid w:val="00636380"/>
    <w:rsid w:val="00641FA3"/>
    <w:rsid w:val="0064237F"/>
    <w:rsid w:val="00642BBE"/>
    <w:rsid w:val="00643DB9"/>
    <w:rsid w:val="006441E9"/>
    <w:rsid w:val="00645090"/>
    <w:rsid w:val="006473E6"/>
    <w:rsid w:val="00647560"/>
    <w:rsid w:val="0064763F"/>
    <w:rsid w:val="0064779C"/>
    <w:rsid w:val="00647AEE"/>
    <w:rsid w:val="00651812"/>
    <w:rsid w:val="006534A9"/>
    <w:rsid w:val="006546D3"/>
    <w:rsid w:val="00654A36"/>
    <w:rsid w:val="00654DE9"/>
    <w:rsid w:val="00656BC6"/>
    <w:rsid w:val="00661A51"/>
    <w:rsid w:val="0066494C"/>
    <w:rsid w:val="006666FA"/>
    <w:rsid w:val="006670F0"/>
    <w:rsid w:val="00667514"/>
    <w:rsid w:val="00671644"/>
    <w:rsid w:val="006724F6"/>
    <w:rsid w:val="0067301D"/>
    <w:rsid w:val="00674F4F"/>
    <w:rsid w:val="00677462"/>
    <w:rsid w:val="00677F71"/>
    <w:rsid w:val="0068350A"/>
    <w:rsid w:val="00683904"/>
    <w:rsid w:val="00683F6F"/>
    <w:rsid w:val="00686215"/>
    <w:rsid w:val="00687209"/>
    <w:rsid w:val="0069178B"/>
    <w:rsid w:val="006923E3"/>
    <w:rsid w:val="00697244"/>
    <w:rsid w:val="00697D83"/>
    <w:rsid w:val="00697E30"/>
    <w:rsid w:val="006A01AA"/>
    <w:rsid w:val="006A025B"/>
    <w:rsid w:val="006A093E"/>
    <w:rsid w:val="006A4035"/>
    <w:rsid w:val="006A626A"/>
    <w:rsid w:val="006A7B3D"/>
    <w:rsid w:val="006B46BA"/>
    <w:rsid w:val="006B4B3C"/>
    <w:rsid w:val="006B7D56"/>
    <w:rsid w:val="006C03B3"/>
    <w:rsid w:val="006C04FE"/>
    <w:rsid w:val="006C14A2"/>
    <w:rsid w:val="006C17EB"/>
    <w:rsid w:val="006C28E0"/>
    <w:rsid w:val="006C3107"/>
    <w:rsid w:val="006C5CE3"/>
    <w:rsid w:val="006C7F6B"/>
    <w:rsid w:val="006D350E"/>
    <w:rsid w:val="006D4A8E"/>
    <w:rsid w:val="006D6042"/>
    <w:rsid w:val="006D6CBE"/>
    <w:rsid w:val="006D761D"/>
    <w:rsid w:val="006D7E55"/>
    <w:rsid w:val="006E06FC"/>
    <w:rsid w:val="006E1A17"/>
    <w:rsid w:val="006E27FB"/>
    <w:rsid w:val="006E3B12"/>
    <w:rsid w:val="006E608E"/>
    <w:rsid w:val="006F1706"/>
    <w:rsid w:val="006F3A7A"/>
    <w:rsid w:val="006F50E0"/>
    <w:rsid w:val="006F5A59"/>
    <w:rsid w:val="006F5F1C"/>
    <w:rsid w:val="006F5F27"/>
    <w:rsid w:val="006F6094"/>
    <w:rsid w:val="006F71D8"/>
    <w:rsid w:val="006F797E"/>
    <w:rsid w:val="00704009"/>
    <w:rsid w:val="00705179"/>
    <w:rsid w:val="007067E4"/>
    <w:rsid w:val="007075DA"/>
    <w:rsid w:val="00710C7E"/>
    <w:rsid w:val="007136DD"/>
    <w:rsid w:val="00713B9A"/>
    <w:rsid w:val="007140CF"/>
    <w:rsid w:val="00716A3F"/>
    <w:rsid w:val="00717D52"/>
    <w:rsid w:val="0072021E"/>
    <w:rsid w:val="00722601"/>
    <w:rsid w:val="00723C3C"/>
    <w:rsid w:val="007254E3"/>
    <w:rsid w:val="0072563A"/>
    <w:rsid w:val="00726BFF"/>
    <w:rsid w:val="00727728"/>
    <w:rsid w:val="0073197B"/>
    <w:rsid w:val="00731B39"/>
    <w:rsid w:val="00731D88"/>
    <w:rsid w:val="0073245B"/>
    <w:rsid w:val="00733472"/>
    <w:rsid w:val="00737F33"/>
    <w:rsid w:val="00741949"/>
    <w:rsid w:val="007419C8"/>
    <w:rsid w:val="00742CE8"/>
    <w:rsid w:val="0074349C"/>
    <w:rsid w:val="007445DB"/>
    <w:rsid w:val="00745494"/>
    <w:rsid w:val="00745C51"/>
    <w:rsid w:val="007469AF"/>
    <w:rsid w:val="007501EA"/>
    <w:rsid w:val="0075227B"/>
    <w:rsid w:val="0075242E"/>
    <w:rsid w:val="00752710"/>
    <w:rsid w:val="00753AB1"/>
    <w:rsid w:val="00753C5A"/>
    <w:rsid w:val="0075447F"/>
    <w:rsid w:val="00755601"/>
    <w:rsid w:val="00755D5C"/>
    <w:rsid w:val="00757D02"/>
    <w:rsid w:val="00767426"/>
    <w:rsid w:val="007678DC"/>
    <w:rsid w:val="00767C25"/>
    <w:rsid w:val="007710D2"/>
    <w:rsid w:val="00772166"/>
    <w:rsid w:val="00772CA0"/>
    <w:rsid w:val="00773390"/>
    <w:rsid w:val="007737EE"/>
    <w:rsid w:val="007749F9"/>
    <w:rsid w:val="00777271"/>
    <w:rsid w:val="00777278"/>
    <w:rsid w:val="00783EAF"/>
    <w:rsid w:val="00784B90"/>
    <w:rsid w:val="00785234"/>
    <w:rsid w:val="0078629D"/>
    <w:rsid w:val="007900FD"/>
    <w:rsid w:val="0079017A"/>
    <w:rsid w:val="0079127D"/>
    <w:rsid w:val="007950E6"/>
    <w:rsid w:val="007A1348"/>
    <w:rsid w:val="007A16E6"/>
    <w:rsid w:val="007A2589"/>
    <w:rsid w:val="007A2773"/>
    <w:rsid w:val="007A52AA"/>
    <w:rsid w:val="007A64CD"/>
    <w:rsid w:val="007A70CE"/>
    <w:rsid w:val="007B002E"/>
    <w:rsid w:val="007B34D3"/>
    <w:rsid w:val="007B4ACD"/>
    <w:rsid w:val="007B63B9"/>
    <w:rsid w:val="007B6B35"/>
    <w:rsid w:val="007B710A"/>
    <w:rsid w:val="007B772A"/>
    <w:rsid w:val="007C0199"/>
    <w:rsid w:val="007C0EBB"/>
    <w:rsid w:val="007C0F98"/>
    <w:rsid w:val="007C1DF2"/>
    <w:rsid w:val="007C2884"/>
    <w:rsid w:val="007C2A44"/>
    <w:rsid w:val="007C2D47"/>
    <w:rsid w:val="007C3205"/>
    <w:rsid w:val="007C4273"/>
    <w:rsid w:val="007C5064"/>
    <w:rsid w:val="007C7F91"/>
    <w:rsid w:val="007D14CB"/>
    <w:rsid w:val="007D1E87"/>
    <w:rsid w:val="007D227A"/>
    <w:rsid w:val="007D2F05"/>
    <w:rsid w:val="007D3307"/>
    <w:rsid w:val="007D4CBC"/>
    <w:rsid w:val="007D5812"/>
    <w:rsid w:val="007D5FE3"/>
    <w:rsid w:val="007F094F"/>
    <w:rsid w:val="007F09CC"/>
    <w:rsid w:val="007F1F30"/>
    <w:rsid w:val="007F38C7"/>
    <w:rsid w:val="007F3EBE"/>
    <w:rsid w:val="007F54CA"/>
    <w:rsid w:val="007F5FD7"/>
    <w:rsid w:val="007F60C2"/>
    <w:rsid w:val="007F7B1D"/>
    <w:rsid w:val="008002CF"/>
    <w:rsid w:val="00801EF1"/>
    <w:rsid w:val="0080210B"/>
    <w:rsid w:val="008036DE"/>
    <w:rsid w:val="00804A66"/>
    <w:rsid w:val="00804F4F"/>
    <w:rsid w:val="008106BE"/>
    <w:rsid w:val="008112AE"/>
    <w:rsid w:val="00812202"/>
    <w:rsid w:val="008163E5"/>
    <w:rsid w:val="00817450"/>
    <w:rsid w:val="008174EF"/>
    <w:rsid w:val="00821525"/>
    <w:rsid w:val="00823561"/>
    <w:rsid w:val="00823B34"/>
    <w:rsid w:val="00824B2A"/>
    <w:rsid w:val="00825B49"/>
    <w:rsid w:val="00825FCE"/>
    <w:rsid w:val="0082629C"/>
    <w:rsid w:val="008269D9"/>
    <w:rsid w:val="00830376"/>
    <w:rsid w:val="008305C1"/>
    <w:rsid w:val="0083473B"/>
    <w:rsid w:val="00834791"/>
    <w:rsid w:val="008349F1"/>
    <w:rsid w:val="00837E09"/>
    <w:rsid w:val="008404DC"/>
    <w:rsid w:val="00840BDB"/>
    <w:rsid w:val="00840F48"/>
    <w:rsid w:val="008421CD"/>
    <w:rsid w:val="00842DDA"/>
    <w:rsid w:val="00844A69"/>
    <w:rsid w:val="00847758"/>
    <w:rsid w:val="0085019E"/>
    <w:rsid w:val="00850883"/>
    <w:rsid w:val="00851283"/>
    <w:rsid w:val="00851D3D"/>
    <w:rsid w:val="008529EB"/>
    <w:rsid w:val="00855329"/>
    <w:rsid w:val="00856748"/>
    <w:rsid w:val="00857065"/>
    <w:rsid w:val="00857A77"/>
    <w:rsid w:val="00860884"/>
    <w:rsid w:val="00860895"/>
    <w:rsid w:val="00863E83"/>
    <w:rsid w:val="00864AD1"/>
    <w:rsid w:val="008655BC"/>
    <w:rsid w:val="00871DBE"/>
    <w:rsid w:val="00872921"/>
    <w:rsid w:val="00872FBC"/>
    <w:rsid w:val="008740AD"/>
    <w:rsid w:val="008743BF"/>
    <w:rsid w:val="00874A42"/>
    <w:rsid w:val="00874B1D"/>
    <w:rsid w:val="00876E03"/>
    <w:rsid w:val="00877C7F"/>
    <w:rsid w:val="00881168"/>
    <w:rsid w:val="008842CB"/>
    <w:rsid w:val="00885CED"/>
    <w:rsid w:val="00891DFA"/>
    <w:rsid w:val="008924A8"/>
    <w:rsid w:val="00892B2A"/>
    <w:rsid w:val="008934A5"/>
    <w:rsid w:val="00895CB2"/>
    <w:rsid w:val="00896488"/>
    <w:rsid w:val="00896E4F"/>
    <w:rsid w:val="00897EAD"/>
    <w:rsid w:val="008A03A0"/>
    <w:rsid w:val="008A106A"/>
    <w:rsid w:val="008A17DC"/>
    <w:rsid w:val="008A2DE1"/>
    <w:rsid w:val="008A2DE4"/>
    <w:rsid w:val="008A3CAE"/>
    <w:rsid w:val="008A4275"/>
    <w:rsid w:val="008A4705"/>
    <w:rsid w:val="008A51B8"/>
    <w:rsid w:val="008A7466"/>
    <w:rsid w:val="008B09A4"/>
    <w:rsid w:val="008B0FFE"/>
    <w:rsid w:val="008B7446"/>
    <w:rsid w:val="008B7BD9"/>
    <w:rsid w:val="008C035A"/>
    <w:rsid w:val="008C0549"/>
    <w:rsid w:val="008C14CA"/>
    <w:rsid w:val="008C3AED"/>
    <w:rsid w:val="008C4CCE"/>
    <w:rsid w:val="008C6AA8"/>
    <w:rsid w:val="008C7FE8"/>
    <w:rsid w:val="008D149E"/>
    <w:rsid w:val="008D38BE"/>
    <w:rsid w:val="008D3F4B"/>
    <w:rsid w:val="008D56E5"/>
    <w:rsid w:val="008D5E30"/>
    <w:rsid w:val="008E0B40"/>
    <w:rsid w:val="008E2C6E"/>
    <w:rsid w:val="008F01AE"/>
    <w:rsid w:val="008F2665"/>
    <w:rsid w:val="008F36A4"/>
    <w:rsid w:val="008F39B9"/>
    <w:rsid w:val="008F449F"/>
    <w:rsid w:val="008F53D9"/>
    <w:rsid w:val="008F6290"/>
    <w:rsid w:val="008F62AE"/>
    <w:rsid w:val="00901AC1"/>
    <w:rsid w:val="0090396B"/>
    <w:rsid w:val="00903A34"/>
    <w:rsid w:val="00904FA2"/>
    <w:rsid w:val="009050EB"/>
    <w:rsid w:val="00910FC8"/>
    <w:rsid w:val="00911AD8"/>
    <w:rsid w:val="00913987"/>
    <w:rsid w:val="00914BBE"/>
    <w:rsid w:val="009150F4"/>
    <w:rsid w:val="00915D4E"/>
    <w:rsid w:val="009160B9"/>
    <w:rsid w:val="00916556"/>
    <w:rsid w:val="009176B1"/>
    <w:rsid w:val="00920045"/>
    <w:rsid w:val="00920CA7"/>
    <w:rsid w:val="009217B9"/>
    <w:rsid w:val="00924B06"/>
    <w:rsid w:val="00924C23"/>
    <w:rsid w:val="00925B22"/>
    <w:rsid w:val="00926404"/>
    <w:rsid w:val="0093035C"/>
    <w:rsid w:val="00931E4A"/>
    <w:rsid w:val="00932C2C"/>
    <w:rsid w:val="009332B5"/>
    <w:rsid w:val="00933ED6"/>
    <w:rsid w:val="009346BC"/>
    <w:rsid w:val="00936722"/>
    <w:rsid w:val="00940A03"/>
    <w:rsid w:val="009415AE"/>
    <w:rsid w:val="00941EE5"/>
    <w:rsid w:val="00942F73"/>
    <w:rsid w:val="0094372A"/>
    <w:rsid w:val="00943A85"/>
    <w:rsid w:val="009456FE"/>
    <w:rsid w:val="009463CF"/>
    <w:rsid w:val="00947EB6"/>
    <w:rsid w:val="009517CD"/>
    <w:rsid w:val="009526D0"/>
    <w:rsid w:val="0095494B"/>
    <w:rsid w:val="00956D03"/>
    <w:rsid w:val="0096097E"/>
    <w:rsid w:val="009628EC"/>
    <w:rsid w:val="009664AA"/>
    <w:rsid w:val="009664B0"/>
    <w:rsid w:val="0097004B"/>
    <w:rsid w:val="0097011B"/>
    <w:rsid w:val="00971690"/>
    <w:rsid w:val="00973EED"/>
    <w:rsid w:val="00975369"/>
    <w:rsid w:val="009760CE"/>
    <w:rsid w:val="00977125"/>
    <w:rsid w:val="00980214"/>
    <w:rsid w:val="0098191C"/>
    <w:rsid w:val="00981E5D"/>
    <w:rsid w:val="00982ADF"/>
    <w:rsid w:val="0098349A"/>
    <w:rsid w:val="00984402"/>
    <w:rsid w:val="0098650D"/>
    <w:rsid w:val="0098685E"/>
    <w:rsid w:val="009878F0"/>
    <w:rsid w:val="009879C8"/>
    <w:rsid w:val="0099209E"/>
    <w:rsid w:val="009928A6"/>
    <w:rsid w:val="00995146"/>
    <w:rsid w:val="0099565A"/>
    <w:rsid w:val="00996787"/>
    <w:rsid w:val="00997271"/>
    <w:rsid w:val="00997985"/>
    <w:rsid w:val="009A1CC2"/>
    <w:rsid w:val="009A401F"/>
    <w:rsid w:val="009A44D4"/>
    <w:rsid w:val="009A475E"/>
    <w:rsid w:val="009A57C7"/>
    <w:rsid w:val="009A64CF"/>
    <w:rsid w:val="009B1F17"/>
    <w:rsid w:val="009B3470"/>
    <w:rsid w:val="009B5233"/>
    <w:rsid w:val="009B7521"/>
    <w:rsid w:val="009C08FA"/>
    <w:rsid w:val="009C1C7B"/>
    <w:rsid w:val="009C2512"/>
    <w:rsid w:val="009C2CFF"/>
    <w:rsid w:val="009C3BA8"/>
    <w:rsid w:val="009C4681"/>
    <w:rsid w:val="009C4772"/>
    <w:rsid w:val="009C480D"/>
    <w:rsid w:val="009C4AD7"/>
    <w:rsid w:val="009C620D"/>
    <w:rsid w:val="009C6BE2"/>
    <w:rsid w:val="009C733B"/>
    <w:rsid w:val="009D0720"/>
    <w:rsid w:val="009D0D42"/>
    <w:rsid w:val="009D11CB"/>
    <w:rsid w:val="009D23A9"/>
    <w:rsid w:val="009D5833"/>
    <w:rsid w:val="009E03F4"/>
    <w:rsid w:val="009E6D07"/>
    <w:rsid w:val="009E7C94"/>
    <w:rsid w:val="009F0947"/>
    <w:rsid w:val="009F0E76"/>
    <w:rsid w:val="009F1796"/>
    <w:rsid w:val="009F17F7"/>
    <w:rsid w:val="009F1EB4"/>
    <w:rsid w:val="009F2E61"/>
    <w:rsid w:val="009F3F3F"/>
    <w:rsid w:val="009F4641"/>
    <w:rsid w:val="009F553F"/>
    <w:rsid w:val="009F6CB4"/>
    <w:rsid w:val="009F6CC2"/>
    <w:rsid w:val="009F73AB"/>
    <w:rsid w:val="00A00E5A"/>
    <w:rsid w:val="00A04C21"/>
    <w:rsid w:val="00A05CB3"/>
    <w:rsid w:val="00A06389"/>
    <w:rsid w:val="00A06479"/>
    <w:rsid w:val="00A0745B"/>
    <w:rsid w:val="00A0755F"/>
    <w:rsid w:val="00A07889"/>
    <w:rsid w:val="00A11455"/>
    <w:rsid w:val="00A130F6"/>
    <w:rsid w:val="00A1511C"/>
    <w:rsid w:val="00A157D7"/>
    <w:rsid w:val="00A1647C"/>
    <w:rsid w:val="00A20A18"/>
    <w:rsid w:val="00A24F91"/>
    <w:rsid w:val="00A27C48"/>
    <w:rsid w:val="00A30DC7"/>
    <w:rsid w:val="00A339DE"/>
    <w:rsid w:val="00A348C3"/>
    <w:rsid w:val="00A3513F"/>
    <w:rsid w:val="00A35D79"/>
    <w:rsid w:val="00A379DB"/>
    <w:rsid w:val="00A407F2"/>
    <w:rsid w:val="00A407FD"/>
    <w:rsid w:val="00A41CD4"/>
    <w:rsid w:val="00A41EAE"/>
    <w:rsid w:val="00A43D8C"/>
    <w:rsid w:val="00A45E68"/>
    <w:rsid w:val="00A46B4E"/>
    <w:rsid w:val="00A46DD0"/>
    <w:rsid w:val="00A51F89"/>
    <w:rsid w:val="00A52F9A"/>
    <w:rsid w:val="00A53EDB"/>
    <w:rsid w:val="00A559BE"/>
    <w:rsid w:val="00A55D13"/>
    <w:rsid w:val="00A565B0"/>
    <w:rsid w:val="00A56A7D"/>
    <w:rsid w:val="00A57C06"/>
    <w:rsid w:val="00A61E50"/>
    <w:rsid w:val="00A626DF"/>
    <w:rsid w:val="00A7180B"/>
    <w:rsid w:val="00A71E1A"/>
    <w:rsid w:val="00A75C11"/>
    <w:rsid w:val="00A75CD4"/>
    <w:rsid w:val="00A7781C"/>
    <w:rsid w:val="00A80C7A"/>
    <w:rsid w:val="00A810FA"/>
    <w:rsid w:val="00A81BF6"/>
    <w:rsid w:val="00A827DD"/>
    <w:rsid w:val="00A82EBF"/>
    <w:rsid w:val="00A83259"/>
    <w:rsid w:val="00A849E4"/>
    <w:rsid w:val="00A84DE4"/>
    <w:rsid w:val="00A8563A"/>
    <w:rsid w:val="00A8598C"/>
    <w:rsid w:val="00A85D5C"/>
    <w:rsid w:val="00A864E4"/>
    <w:rsid w:val="00A86FDD"/>
    <w:rsid w:val="00A93232"/>
    <w:rsid w:val="00A95FE4"/>
    <w:rsid w:val="00A9643C"/>
    <w:rsid w:val="00AA0F00"/>
    <w:rsid w:val="00AA39D1"/>
    <w:rsid w:val="00AA4C80"/>
    <w:rsid w:val="00AB02F7"/>
    <w:rsid w:val="00AB11C7"/>
    <w:rsid w:val="00AB29F0"/>
    <w:rsid w:val="00AB37BC"/>
    <w:rsid w:val="00AB51C0"/>
    <w:rsid w:val="00AC03D4"/>
    <w:rsid w:val="00AC1BDD"/>
    <w:rsid w:val="00AC2698"/>
    <w:rsid w:val="00AC46C9"/>
    <w:rsid w:val="00AC4EC3"/>
    <w:rsid w:val="00AD096D"/>
    <w:rsid w:val="00AD132D"/>
    <w:rsid w:val="00AD1425"/>
    <w:rsid w:val="00AD2664"/>
    <w:rsid w:val="00AD2B2C"/>
    <w:rsid w:val="00AD5810"/>
    <w:rsid w:val="00AD6E6A"/>
    <w:rsid w:val="00AD6F0C"/>
    <w:rsid w:val="00AD7C22"/>
    <w:rsid w:val="00AE2590"/>
    <w:rsid w:val="00AE25D4"/>
    <w:rsid w:val="00AE2833"/>
    <w:rsid w:val="00AE51A9"/>
    <w:rsid w:val="00AE56C9"/>
    <w:rsid w:val="00AE57B8"/>
    <w:rsid w:val="00AE62A8"/>
    <w:rsid w:val="00AE6559"/>
    <w:rsid w:val="00AF17F3"/>
    <w:rsid w:val="00AF294B"/>
    <w:rsid w:val="00AF2BE1"/>
    <w:rsid w:val="00AF50D9"/>
    <w:rsid w:val="00AF6C8D"/>
    <w:rsid w:val="00AF6D64"/>
    <w:rsid w:val="00B04512"/>
    <w:rsid w:val="00B05105"/>
    <w:rsid w:val="00B06062"/>
    <w:rsid w:val="00B06D34"/>
    <w:rsid w:val="00B07326"/>
    <w:rsid w:val="00B12EC9"/>
    <w:rsid w:val="00B13DEC"/>
    <w:rsid w:val="00B163E3"/>
    <w:rsid w:val="00B165B0"/>
    <w:rsid w:val="00B16C06"/>
    <w:rsid w:val="00B1765B"/>
    <w:rsid w:val="00B17676"/>
    <w:rsid w:val="00B17D0E"/>
    <w:rsid w:val="00B20F0D"/>
    <w:rsid w:val="00B20FC4"/>
    <w:rsid w:val="00B22BB1"/>
    <w:rsid w:val="00B23C69"/>
    <w:rsid w:val="00B24062"/>
    <w:rsid w:val="00B25B84"/>
    <w:rsid w:val="00B30A6B"/>
    <w:rsid w:val="00B30B8A"/>
    <w:rsid w:val="00B30D1C"/>
    <w:rsid w:val="00B311C4"/>
    <w:rsid w:val="00B33155"/>
    <w:rsid w:val="00B34105"/>
    <w:rsid w:val="00B35A90"/>
    <w:rsid w:val="00B372BA"/>
    <w:rsid w:val="00B402D9"/>
    <w:rsid w:val="00B40E68"/>
    <w:rsid w:val="00B416FC"/>
    <w:rsid w:val="00B4526F"/>
    <w:rsid w:val="00B46537"/>
    <w:rsid w:val="00B46E56"/>
    <w:rsid w:val="00B50658"/>
    <w:rsid w:val="00B50B5E"/>
    <w:rsid w:val="00B51A84"/>
    <w:rsid w:val="00B52181"/>
    <w:rsid w:val="00B54635"/>
    <w:rsid w:val="00B5463D"/>
    <w:rsid w:val="00B546EA"/>
    <w:rsid w:val="00B553B0"/>
    <w:rsid w:val="00B60827"/>
    <w:rsid w:val="00B6124F"/>
    <w:rsid w:val="00B61559"/>
    <w:rsid w:val="00B61EC7"/>
    <w:rsid w:val="00B61EEF"/>
    <w:rsid w:val="00B628FC"/>
    <w:rsid w:val="00B62A41"/>
    <w:rsid w:val="00B63F76"/>
    <w:rsid w:val="00B645B7"/>
    <w:rsid w:val="00B655F9"/>
    <w:rsid w:val="00B67719"/>
    <w:rsid w:val="00B708F4"/>
    <w:rsid w:val="00B72E2F"/>
    <w:rsid w:val="00B73139"/>
    <w:rsid w:val="00B76C2C"/>
    <w:rsid w:val="00B779AE"/>
    <w:rsid w:val="00B779C3"/>
    <w:rsid w:val="00B77C8B"/>
    <w:rsid w:val="00B800FC"/>
    <w:rsid w:val="00B8066D"/>
    <w:rsid w:val="00B807D1"/>
    <w:rsid w:val="00B80D26"/>
    <w:rsid w:val="00B810C6"/>
    <w:rsid w:val="00B8331D"/>
    <w:rsid w:val="00B83850"/>
    <w:rsid w:val="00B83DFC"/>
    <w:rsid w:val="00B840F2"/>
    <w:rsid w:val="00B854C4"/>
    <w:rsid w:val="00B86415"/>
    <w:rsid w:val="00B870D2"/>
    <w:rsid w:val="00B87C08"/>
    <w:rsid w:val="00B87FAC"/>
    <w:rsid w:val="00B918FF"/>
    <w:rsid w:val="00B92157"/>
    <w:rsid w:val="00B92AC7"/>
    <w:rsid w:val="00B95571"/>
    <w:rsid w:val="00B95FE7"/>
    <w:rsid w:val="00B974AC"/>
    <w:rsid w:val="00B9784B"/>
    <w:rsid w:val="00BA0129"/>
    <w:rsid w:val="00BA2051"/>
    <w:rsid w:val="00BA2802"/>
    <w:rsid w:val="00BA2C1D"/>
    <w:rsid w:val="00BA30E7"/>
    <w:rsid w:val="00BA3EFA"/>
    <w:rsid w:val="00BA4678"/>
    <w:rsid w:val="00BA4C91"/>
    <w:rsid w:val="00BA55CB"/>
    <w:rsid w:val="00BA6519"/>
    <w:rsid w:val="00BB01A9"/>
    <w:rsid w:val="00BB0203"/>
    <w:rsid w:val="00BB0883"/>
    <w:rsid w:val="00BB0B50"/>
    <w:rsid w:val="00BB1DB5"/>
    <w:rsid w:val="00BB1EAC"/>
    <w:rsid w:val="00BB1F2C"/>
    <w:rsid w:val="00BB382C"/>
    <w:rsid w:val="00BB5978"/>
    <w:rsid w:val="00BB62F6"/>
    <w:rsid w:val="00BB6710"/>
    <w:rsid w:val="00BB7DF8"/>
    <w:rsid w:val="00BC0BB4"/>
    <w:rsid w:val="00BC0FED"/>
    <w:rsid w:val="00BC174E"/>
    <w:rsid w:val="00BC1C04"/>
    <w:rsid w:val="00BC20E0"/>
    <w:rsid w:val="00BC367C"/>
    <w:rsid w:val="00BC4603"/>
    <w:rsid w:val="00BC6142"/>
    <w:rsid w:val="00BC7411"/>
    <w:rsid w:val="00BD0821"/>
    <w:rsid w:val="00BD0DC5"/>
    <w:rsid w:val="00BD12FC"/>
    <w:rsid w:val="00BD1FCB"/>
    <w:rsid w:val="00BD2259"/>
    <w:rsid w:val="00BD3246"/>
    <w:rsid w:val="00BD39F1"/>
    <w:rsid w:val="00BD7944"/>
    <w:rsid w:val="00BE03B3"/>
    <w:rsid w:val="00BE09F6"/>
    <w:rsid w:val="00BE0B95"/>
    <w:rsid w:val="00BE0CCD"/>
    <w:rsid w:val="00BE14A9"/>
    <w:rsid w:val="00BE1642"/>
    <w:rsid w:val="00BE33EE"/>
    <w:rsid w:val="00BF2C20"/>
    <w:rsid w:val="00BF3710"/>
    <w:rsid w:val="00BF37FB"/>
    <w:rsid w:val="00BF3B9E"/>
    <w:rsid w:val="00BF40F3"/>
    <w:rsid w:val="00BF473A"/>
    <w:rsid w:val="00BF5755"/>
    <w:rsid w:val="00BF62A7"/>
    <w:rsid w:val="00BF63F2"/>
    <w:rsid w:val="00BF7A5E"/>
    <w:rsid w:val="00C00293"/>
    <w:rsid w:val="00C01981"/>
    <w:rsid w:val="00C03A85"/>
    <w:rsid w:val="00C03CC2"/>
    <w:rsid w:val="00C042EB"/>
    <w:rsid w:val="00C04791"/>
    <w:rsid w:val="00C05986"/>
    <w:rsid w:val="00C07509"/>
    <w:rsid w:val="00C11112"/>
    <w:rsid w:val="00C144B4"/>
    <w:rsid w:val="00C14976"/>
    <w:rsid w:val="00C151E9"/>
    <w:rsid w:val="00C1668B"/>
    <w:rsid w:val="00C17217"/>
    <w:rsid w:val="00C20216"/>
    <w:rsid w:val="00C20317"/>
    <w:rsid w:val="00C21569"/>
    <w:rsid w:val="00C21BBB"/>
    <w:rsid w:val="00C24D2F"/>
    <w:rsid w:val="00C25801"/>
    <w:rsid w:val="00C3002C"/>
    <w:rsid w:val="00C30200"/>
    <w:rsid w:val="00C3025A"/>
    <w:rsid w:val="00C30B80"/>
    <w:rsid w:val="00C30CF9"/>
    <w:rsid w:val="00C34552"/>
    <w:rsid w:val="00C3465D"/>
    <w:rsid w:val="00C356FA"/>
    <w:rsid w:val="00C35FAE"/>
    <w:rsid w:val="00C36A32"/>
    <w:rsid w:val="00C37EDD"/>
    <w:rsid w:val="00C4451C"/>
    <w:rsid w:val="00C456D8"/>
    <w:rsid w:val="00C45973"/>
    <w:rsid w:val="00C45C4C"/>
    <w:rsid w:val="00C46716"/>
    <w:rsid w:val="00C5015F"/>
    <w:rsid w:val="00C5060B"/>
    <w:rsid w:val="00C50733"/>
    <w:rsid w:val="00C51DDC"/>
    <w:rsid w:val="00C531FF"/>
    <w:rsid w:val="00C5322D"/>
    <w:rsid w:val="00C55393"/>
    <w:rsid w:val="00C571D9"/>
    <w:rsid w:val="00C603BF"/>
    <w:rsid w:val="00C62D78"/>
    <w:rsid w:val="00C63816"/>
    <w:rsid w:val="00C64070"/>
    <w:rsid w:val="00C64094"/>
    <w:rsid w:val="00C658AF"/>
    <w:rsid w:val="00C70818"/>
    <w:rsid w:val="00C719BB"/>
    <w:rsid w:val="00C73BB2"/>
    <w:rsid w:val="00C74290"/>
    <w:rsid w:val="00C757D7"/>
    <w:rsid w:val="00C75D91"/>
    <w:rsid w:val="00C767B9"/>
    <w:rsid w:val="00C76CD6"/>
    <w:rsid w:val="00C77126"/>
    <w:rsid w:val="00C77794"/>
    <w:rsid w:val="00C77C6B"/>
    <w:rsid w:val="00C80B98"/>
    <w:rsid w:val="00C80D39"/>
    <w:rsid w:val="00C82345"/>
    <w:rsid w:val="00C82711"/>
    <w:rsid w:val="00C832B4"/>
    <w:rsid w:val="00C85B93"/>
    <w:rsid w:val="00C87DCF"/>
    <w:rsid w:val="00C909A6"/>
    <w:rsid w:val="00C90B0A"/>
    <w:rsid w:val="00C91891"/>
    <w:rsid w:val="00C9293D"/>
    <w:rsid w:val="00C92D00"/>
    <w:rsid w:val="00C9340A"/>
    <w:rsid w:val="00C9408B"/>
    <w:rsid w:val="00C970D2"/>
    <w:rsid w:val="00C97B87"/>
    <w:rsid w:val="00CA158E"/>
    <w:rsid w:val="00CA2EFC"/>
    <w:rsid w:val="00CA3383"/>
    <w:rsid w:val="00CA50D6"/>
    <w:rsid w:val="00CA6045"/>
    <w:rsid w:val="00CA727B"/>
    <w:rsid w:val="00CA74A2"/>
    <w:rsid w:val="00CB1905"/>
    <w:rsid w:val="00CB1B58"/>
    <w:rsid w:val="00CB2D2A"/>
    <w:rsid w:val="00CB3720"/>
    <w:rsid w:val="00CB6333"/>
    <w:rsid w:val="00CB68B1"/>
    <w:rsid w:val="00CB73B7"/>
    <w:rsid w:val="00CB7F6B"/>
    <w:rsid w:val="00CC03EB"/>
    <w:rsid w:val="00CC147C"/>
    <w:rsid w:val="00CC2FEF"/>
    <w:rsid w:val="00CC379E"/>
    <w:rsid w:val="00CC469D"/>
    <w:rsid w:val="00CC5E85"/>
    <w:rsid w:val="00CD0B50"/>
    <w:rsid w:val="00CD18D6"/>
    <w:rsid w:val="00CD1AA3"/>
    <w:rsid w:val="00CD208D"/>
    <w:rsid w:val="00CD25CF"/>
    <w:rsid w:val="00CD4977"/>
    <w:rsid w:val="00CD59CE"/>
    <w:rsid w:val="00CE001E"/>
    <w:rsid w:val="00CE22E3"/>
    <w:rsid w:val="00CE5EA4"/>
    <w:rsid w:val="00CE6162"/>
    <w:rsid w:val="00CF177A"/>
    <w:rsid w:val="00CF21C6"/>
    <w:rsid w:val="00CF3520"/>
    <w:rsid w:val="00CF5D5A"/>
    <w:rsid w:val="00CF637E"/>
    <w:rsid w:val="00CF724C"/>
    <w:rsid w:val="00D00E7A"/>
    <w:rsid w:val="00D0153C"/>
    <w:rsid w:val="00D03829"/>
    <w:rsid w:val="00D04111"/>
    <w:rsid w:val="00D045EF"/>
    <w:rsid w:val="00D04DE2"/>
    <w:rsid w:val="00D06BCB"/>
    <w:rsid w:val="00D10FDE"/>
    <w:rsid w:val="00D115D5"/>
    <w:rsid w:val="00D11D67"/>
    <w:rsid w:val="00D14511"/>
    <w:rsid w:val="00D164D5"/>
    <w:rsid w:val="00D1740D"/>
    <w:rsid w:val="00D20C06"/>
    <w:rsid w:val="00D25279"/>
    <w:rsid w:val="00D252C6"/>
    <w:rsid w:val="00D31069"/>
    <w:rsid w:val="00D349CB"/>
    <w:rsid w:val="00D3513E"/>
    <w:rsid w:val="00D356DD"/>
    <w:rsid w:val="00D368F6"/>
    <w:rsid w:val="00D371A4"/>
    <w:rsid w:val="00D4067F"/>
    <w:rsid w:val="00D4086D"/>
    <w:rsid w:val="00D4305F"/>
    <w:rsid w:val="00D43ADC"/>
    <w:rsid w:val="00D455AE"/>
    <w:rsid w:val="00D469F8"/>
    <w:rsid w:val="00D47071"/>
    <w:rsid w:val="00D472A9"/>
    <w:rsid w:val="00D53A6C"/>
    <w:rsid w:val="00D53EE4"/>
    <w:rsid w:val="00D55FFD"/>
    <w:rsid w:val="00D56270"/>
    <w:rsid w:val="00D57013"/>
    <w:rsid w:val="00D571BE"/>
    <w:rsid w:val="00D57C13"/>
    <w:rsid w:val="00D60459"/>
    <w:rsid w:val="00D610B1"/>
    <w:rsid w:val="00D61E54"/>
    <w:rsid w:val="00D626C0"/>
    <w:rsid w:val="00D64034"/>
    <w:rsid w:val="00D64460"/>
    <w:rsid w:val="00D6494D"/>
    <w:rsid w:val="00D64F48"/>
    <w:rsid w:val="00D6790C"/>
    <w:rsid w:val="00D72E26"/>
    <w:rsid w:val="00D744BA"/>
    <w:rsid w:val="00D74A66"/>
    <w:rsid w:val="00D76183"/>
    <w:rsid w:val="00D77633"/>
    <w:rsid w:val="00D77960"/>
    <w:rsid w:val="00D80778"/>
    <w:rsid w:val="00D833B4"/>
    <w:rsid w:val="00D84455"/>
    <w:rsid w:val="00D855DB"/>
    <w:rsid w:val="00D86989"/>
    <w:rsid w:val="00D90FE0"/>
    <w:rsid w:val="00D91514"/>
    <w:rsid w:val="00D9276C"/>
    <w:rsid w:val="00D94B89"/>
    <w:rsid w:val="00D958B3"/>
    <w:rsid w:val="00D97D07"/>
    <w:rsid w:val="00DA044F"/>
    <w:rsid w:val="00DA0A97"/>
    <w:rsid w:val="00DA0E80"/>
    <w:rsid w:val="00DA163A"/>
    <w:rsid w:val="00DA197D"/>
    <w:rsid w:val="00DA297E"/>
    <w:rsid w:val="00DA4C91"/>
    <w:rsid w:val="00DA68CA"/>
    <w:rsid w:val="00DA6EF0"/>
    <w:rsid w:val="00DB0805"/>
    <w:rsid w:val="00DB100B"/>
    <w:rsid w:val="00DB57AD"/>
    <w:rsid w:val="00DB5905"/>
    <w:rsid w:val="00DB788C"/>
    <w:rsid w:val="00DC10DF"/>
    <w:rsid w:val="00DC1632"/>
    <w:rsid w:val="00DC5994"/>
    <w:rsid w:val="00DC5FBF"/>
    <w:rsid w:val="00DC7EAC"/>
    <w:rsid w:val="00DD105C"/>
    <w:rsid w:val="00DD13FE"/>
    <w:rsid w:val="00DD1870"/>
    <w:rsid w:val="00DD1F91"/>
    <w:rsid w:val="00DD5C0F"/>
    <w:rsid w:val="00DD5D90"/>
    <w:rsid w:val="00DD61F5"/>
    <w:rsid w:val="00DD67CA"/>
    <w:rsid w:val="00DD7944"/>
    <w:rsid w:val="00DD7BA1"/>
    <w:rsid w:val="00DD7BD4"/>
    <w:rsid w:val="00DE08AE"/>
    <w:rsid w:val="00DE1098"/>
    <w:rsid w:val="00DE1B37"/>
    <w:rsid w:val="00DE1E3E"/>
    <w:rsid w:val="00DE24C7"/>
    <w:rsid w:val="00DE27C1"/>
    <w:rsid w:val="00DE64E6"/>
    <w:rsid w:val="00DF1906"/>
    <w:rsid w:val="00DF28DB"/>
    <w:rsid w:val="00DF6E2B"/>
    <w:rsid w:val="00DF6ED8"/>
    <w:rsid w:val="00E01811"/>
    <w:rsid w:val="00E01A01"/>
    <w:rsid w:val="00E01F16"/>
    <w:rsid w:val="00E02609"/>
    <w:rsid w:val="00E03B14"/>
    <w:rsid w:val="00E04BD5"/>
    <w:rsid w:val="00E04CE7"/>
    <w:rsid w:val="00E0540F"/>
    <w:rsid w:val="00E06D3D"/>
    <w:rsid w:val="00E10DA2"/>
    <w:rsid w:val="00E11F73"/>
    <w:rsid w:val="00E1311F"/>
    <w:rsid w:val="00E13D02"/>
    <w:rsid w:val="00E13DCE"/>
    <w:rsid w:val="00E140BC"/>
    <w:rsid w:val="00E153F1"/>
    <w:rsid w:val="00E20D48"/>
    <w:rsid w:val="00E2194E"/>
    <w:rsid w:val="00E221E9"/>
    <w:rsid w:val="00E23BA5"/>
    <w:rsid w:val="00E23E89"/>
    <w:rsid w:val="00E2422E"/>
    <w:rsid w:val="00E26CEE"/>
    <w:rsid w:val="00E306CA"/>
    <w:rsid w:val="00E309FE"/>
    <w:rsid w:val="00E31623"/>
    <w:rsid w:val="00E31D7F"/>
    <w:rsid w:val="00E324B3"/>
    <w:rsid w:val="00E3341D"/>
    <w:rsid w:val="00E33629"/>
    <w:rsid w:val="00E421AB"/>
    <w:rsid w:val="00E435E3"/>
    <w:rsid w:val="00E46308"/>
    <w:rsid w:val="00E465CE"/>
    <w:rsid w:val="00E46CA2"/>
    <w:rsid w:val="00E46FCE"/>
    <w:rsid w:val="00E51F44"/>
    <w:rsid w:val="00E55073"/>
    <w:rsid w:val="00E55C37"/>
    <w:rsid w:val="00E56667"/>
    <w:rsid w:val="00E57E2A"/>
    <w:rsid w:val="00E61C11"/>
    <w:rsid w:val="00E6214D"/>
    <w:rsid w:val="00E63C13"/>
    <w:rsid w:val="00E64D32"/>
    <w:rsid w:val="00E6517B"/>
    <w:rsid w:val="00E65683"/>
    <w:rsid w:val="00E66F72"/>
    <w:rsid w:val="00E704E8"/>
    <w:rsid w:val="00E71F96"/>
    <w:rsid w:val="00E76193"/>
    <w:rsid w:val="00E80A6A"/>
    <w:rsid w:val="00E81685"/>
    <w:rsid w:val="00E82397"/>
    <w:rsid w:val="00E82BDC"/>
    <w:rsid w:val="00E82EC5"/>
    <w:rsid w:val="00E84945"/>
    <w:rsid w:val="00E850E9"/>
    <w:rsid w:val="00E853BA"/>
    <w:rsid w:val="00E86A2E"/>
    <w:rsid w:val="00E86AED"/>
    <w:rsid w:val="00E87378"/>
    <w:rsid w:val="00E87FD9"/>
    <w:rsid w:val="00E9018F"/>
    <w:rsid w:val="00E90BCF"/>
    <w:rsid w:val="00E9105F"/>
    <w:rsid w:val="00E911DD"/>
    <w:rsid w:val="00E92278"/>
    <w:rsid w:val="00E925CE"/>
    <w:rsid w:val="00E93A06"/>
    <w:rsid w:val="00E93FB8"/>
    <w:rsid w:val="00E9407E"/>
    <w:rsid w:val="00E971AE"/>
    <w:rsid w:val="00EA1D39"/>
    <w:rsid w:val="00EA1FB9"/>
    <w:rsid w:val="00EA31D0"/>
    <w:rsid w:val="00EA6418"/>
    <w:rsid w:val="00EA66FA"/>
    <w:rsid w:val="00EA732D"/>
    <w:rsid w:val="00EA79E5"/>
    <w:rsid w:val="00EB0901"/>
    <w:rsid w:val="00EB0E31"/>
    <w:rsid w:val="00EB2302"/>
    <w:rsid w:val="00EB36DD"/>
    <w:rsid w:val="00EB3EC4"/>
    <w:rsid w:val="00EB56F8"/>
    <w:rsid w:val="00EB6C82"/>
    <w:rsid w:val="00EC0BB4"/>
    <w:rsid w:val="00EC2DA9"/>
    <w:rsid w:val="00EC56AB"/>
    <w:rsid w:val="00EC5EF7"/>
    <w:rsid w:val="00EC624A"/>
    <w:rsid w:val="00EC6B2E"/>
    <w:rsid w:val="00ED181F"/>
    <w:rsid w:val="00ED27EE"/>
    <w:rsid w:val="00ED3867"/>
    <w:rsid w:val="00ED3DB0"/>
    <w:rsid w:val="00ED4D66"/>
    <w:rsid w:val="00ED749D"/>
    <w:rsid w:val="00EE0D01"/>
    <w:rsid w:val="00EE3F19"/>
    <w:rsid w:val="00EE5F51"/>
    <w:rsid w:val="00EF0830"/>
    <w:rsid w:val="00EF134B"/>
    <w:rsid w:val="00EF1436"/>
    <w:rsid w:val="00EF16E1"/>
    <w:rsid w:val="00EF3B1A"/>
    <w:rsid w:val="00EF54AA"/>
    <w:rsid w:val="00EF6539"/>
    <w:rsid w:val="00EF7C55"/>
    <w:rsid w:val="00F00F1F"/>
    <w:rsid w:val="00F079FA"/>
    <w:rsid w:val="00F109D7"/>
    <w:rsid w:val="00F111C1"/>
    <w:rsid w:val="00F12BAF"/>
    <w:rsid w:val="00F12CAB"/>
    <w:rsid w:val="00F134F5"/>
    <w:rsid w:val="00F1354C"/>
    <w:rsid w:val="00F137A3"/>
    <w:rsid w:val="00F14F3D"/>
    <w:rsid w:val="00F15449"/>
    <w:rsid w:val="00F178AC"/>
    <w:rsid w:val="00F20EE4"/>
    <w:rsid w:val="00F2123B"/>
    <w:rsid w:val="00F222D0"/>
    <w:rsid w:val="00F23711"/>
    <w:rsid w:val="00F255A1"/>
    <w:rsid w:val="00F309BC"/>
    <w:rsid w:val="00F320AD"/>
    <w:rsid w:val="00F32810"/>
    <w:rsid w:val="00F40644"/>
    <w:rsid w:val="00F41826"/>
    <w:rsid w:val="00F4373A"/>
    <w:rsid w:val="00F443D1"/>
    <w:rsid w:val="00F45A20"/>
    <w:rsid w:val="00F46EE1"/>
    <w:rsid w:val="00F51880"/>
    <w:rsid w:val="00F53D11"/>
    <w:rsid w:val="00F53E33"/>
    <w:rsid w:val="00F53E45"/>
    <w:rsid w:val="00F54456"/>
    <w:rsid w:val="00F54A28"/>
    <w:rsid w:val="00F61630"/>
    <w:rsid w:val="00F62C02"/>
    <w:rsid w:val="00F63162"/>
    <w:rsid w:val="00F64217"/>
    <w:rsid w:val="00F64CDF"/>
    <w:rsid w:val="00F652C3"/>
    <w:rsid w:val="00F65405"/>
    <w:rsid w:val="00F65E0D"/>
    <w:rsid w:val="00F666A0"/>
    <w:rsid w:val="00F667A7"/>
    <w:rsid w:val="00F66C6E"/>
    <w:rsid w:val="00F67C6A"/>
    <w:rsid w:val="00F70A2E"/>
    <w:rsid w:val="00F71A62"/>
    <w:rsid w:val="00F74780"/>
    <w:rsid w:val="00F76416"/>
    <w:rsid w:val="00F76BF0"/>
    <w:rsid w:val="00F80D45"/>
    <w:rsid w:val="00F81AC9"/>
    <w:rsid w:val="00F8530D"/>
    <w:rsid w:val="00F85383"/>
    <w:rsid w:val="00F87E71"/>
    <w:rsid w:val="00F92906"/>
    <w:rsid w:val="00F92E93"/>
    <w:rsid w:val="00F94094"/>
    <w:rsid w:val="00FA1D0B"/>
    <w:rsid w:val="00FA4236"/>
    <w:rsid w:val="00FA44CE"/>
    <w:rsid w:val="00FA5C93"/>
    <w:rsid w:val="00FB01E8"/>
    <w:rsid w:val="00FB056F"/>
    <w:rsid w:val="00FB0B7A"/>
    <w:rsid w:val="00FB0BCE"/>
    <w:rsid w:val="00FB10E8"/>
    <w:rsid w:val="00FB1102"/>
    <w:rsid w:val="00FB6330"/>
    <w:rsid w:val="00FB7AC5"/>
    <w:rsid w:val="00FC05C0"/>
    <w:rsid w:val="00FC0987"/>
    <w:rsid w:val="00FC115D"/>
    <w:rsid w:val="00FC260E"/>
    <w:rsid w:val="00FC5CC8"/>
    <w:rsid w:val="00FD13F1"/>
    <w:rsid w:val="00FD4DC4"/>
    <w:rsid w:val="00FE02AF"/>
    <w:rsid w:val="00FE1DE7"/>
    <w:rsid w:val="00FE3C1A"/>
    <w:rsid w:val="00FE5B95"/>
    <w:rsid w:val="00FE7666"/>
    <w:rsid w:val="00FE7B1C"/>
    <w:rsid w:val="00FF0C93"/>
    <w:rsid w:val="00FF3038"/>
    <w:rsid w:val="00FF3D21"/>
    <w:rsid w:val="00FF5487"/>
    <w:rsid w:val="00FF5A86"/>
    <w:rsid w:val="00FF602A"/>
    <w:rsid w:val="00FF6424"/>
    <w:rsid w:val="00FF7A10"/>
    <w:rsid w:val="2BFEE0CE"/>
    <w:rsid w:val="3B40708E"/>
    <w:rsid w:val="3FFF2CB9"/>
    <w:rsid w:val="417BF1B3"/>
    <w:rsid w:val="6BFF78F0"/>
    <w:rsid w:val="6D7F008E"/>
    <w:rsid w:val="6FFBA942"/>
    <w:rsid w:val="717E1B1A"/>
    <w:rsid w:val="722F166D"/>
    <w:rsid w:val="7DF64A36"/>
    <w:rsid w:val="7ECCC14B"/>
    <w:rsid w:val="967F6ACC"/>
    <w:rsid w:val="AFFB070C"/>
    <w:rsid w:val="CEA7F424"/>
    <w:rsid w:val="D2FDA08E"/>
    <w:rsid w:val="D7BF04F2"/>
    <w:rsid w:val="DFBA67AA"/>
    <w:rsid w:val="EBF40895"/>
    <w:rsid w:val="EFFF68D9"/>
    <w:rsid w:val="F0E74FBC"/>
    <w:rsid w:val="FAB7C7E8"/>
    <w:rsid w:val="FB8FE5B5"/>
    <w:rsid w:val="FDFBB0B0"/>
    <w:rsid w:val="FDFFF634"/>
    <w:rsid w:val="FF971D9C"/>
    <w:rsid w:val="FFFDF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nhideWhenUsed="0"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480" w:firstLineChars="200"/>
      <w:jc w:val="both"/>
    </w:pPr>
    <w:rPr>
      <w:rFonts w:ascii="Times New Roman" w:hAnsi="Times New Roman" w:eastAsia="Times New Roman" w:cs="Times New Roman"/>
      <w:kern w:val="2"/>
      <w:sz w:val="24"/>
      <w:szCs w:val="24"/>
      <w:shd w:val="clear" w:color="auto" w:fill="FFFFFF"/>
      <w:lang w:val="en-US" w:eastAsia="zh-CN" w:bidi="ar-SA"/>
    </w:rPr>
  </w:style>
  <w:style w:type="paragraph" w:styleId="2">
    <w:name w:val="heading 1"/>
    <w:basedOn w:val="1"/>
    <w:next w:val="1"/>
    <w:link w:val="3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0"/>
    <w:unhideWhenUsed/>
    <w:qFormat/>
    <w:uiPriority w:val="9"/>
    <w:pPr>
      <w:keepNext/>
      <w:keepLines/>
      <w:spacing w:before="260" w:after="260" w:line="416" w:lineRule="auto"/>
      <w:ind w:firstLine="643"/>
      <w:outlineLvl w:val="1"/>
    </w:pPr>
    <w:rPr>
      <w:rFonts w:cstheme="majorBidi"/>
      <w:b/>
      <w:bCs/>
      <w:sz w:val="32"/>
      <w:szCs w:val="32"/>
    </w:rPr>
  </w:style>
  <w:style w:type="paragraph" w:styleId="4">
    <w:name w:val="heading 3"/>
    <w:basedOn w:val="1"/>
    <w:next w:val="1"/>
    <w:link w:val="41"/>
    <w:unhideWhenUsed/>
    <w:qFormat/>
    <w:uiPriority w:val="9"/>
    <w:pPr>
      <w:keepNext/>
      <w:keepLines/>
      <w:spacing w:before="260" w:after="260" w:line="416" w:lineRule="auto"/>
      <w:outlineLvl w:val="2"/>
    </w:pPr>
    <w:rPr>
      <w:b/>
      <w:bCs/>
      <w:sz w:val="30"/>
      <w:szCs w:val="32"/>
    </w:rPr>
  </w:style>
  <w:style w:type="paragraph" w:styleId="5">
    <w:name w:val="heading 4"/>
    <w:basedOn w:val="1"/>
    <w:next w:val="1"/>
    <w:link w:val="34"/>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7"/>
    <w:basedOn w:val="1"/>
    <w:next w:val="1"/>
    <w:link w:val="31"/>
    <w:qFormat/>
    <w:uiPriority w:val="9"/>
    <w:pPr>
      <w:keepNext/>
      <w:keepLines/>
      <w:widowControl/>
      <w:spacing w:before="240" w:after="64" w:line="320" w:lineRule="auto"/>
      <w:jc w:val="left"/>
      <w:outlineLvl w:val="6"/>
    </w:pPr>
    <w:rPr>
      <w:rFonts w:eastAsia="宋体"/>
      <w:b/>
      <w:bCs/>
      <w:kern w:val="0"/>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7">
    <w:name w:val="caption"/>
    <w:basedOn w:val="1"/>
    <w:next w:val="1"/>
    <w:qFormat/>
    <w:uiPriority w:val="99"/>
  </w:style>
  <w:style w:type="paragraph" w:styleId="8">
    <w:name w:val="annotation text"/>
    <w:basedOn w:val="1"/>
    <w:link w:val="28"/>
    <w:unhideWhenUsed/>
    <w:qFormat/>
    <w:uiPriority w:val="99"/>
    <w:pPr>
      <w:jc w:val="left"/>
    </w:p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unhideWhenUsed/>
    <w:qFormat/>
    <w:uiPriority w:val="99"/>
    <w:pPr>
      <w:widowControl/>
      <w:spacing w:before="100" w:beforeAutospacing="1" w:after="100" w:afterAutospacing="1"/>
      <w:jc w:val="left"/>
    </w:pPr>
    <w:rPr>
      <w:rFonts w:ascii="宋体" w:hAnsi="宋体" w:eastAsia="宋体" w:cs="宋体"/>
      <w:kern w:val="0"/>
    </w:rPr>
  </w:style>
  <w:style w:type="paragraph" w:styleId="12">
    <w:name w:val="annotation subject"/>
    <w:basedOn w:val="8"/>
    <w:next w:val="8"/>
    <w:link w:val="29"/>
    <w:autoRedefine/>
    <w:semiHidden/>
    <w:unhideWhenUsed/>
    <w:qFormat/>
    <w:uiPriority w:val="99"/>
    <w:rPr>
      <w:b/>
      <w:bCs/>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autoRedefine/>
    <w:unhideWhenUsed/>
    <w:qFormat/>
    <w:uiPriority w:val="99"/>
    <w:rPr>
      <w:color w:val="0000FF"/>
      <w:u w:val="single"/>
    </w:rPr>
  </w:style>
  <w:style w:type="character" w:styleId="17">
    <w:name w:val="annotation reference"/>
    <w:basedOn w:val="15"/>
    <w:autoRedefine/>
    <w:semiHidden/>
    <w:unhideWhenUsed/>
    <w:qFormat/>
    <w:uiPriority w:val="99"/>
    <w:rPr>
      <w:sz w:val="21"/>
      <w:szCs w:val="21"/>
    </w:rPr>
  </w:style>
  <w:style w:type="character" w:customStyle="1" w:styleId="18">
    <w:name w:val="页眉 字符"/>
    <w:basedOn w:val="15"/>
    <w:link w:val="10"/>
    <w:autoRedefine/>
    <w:qFormat/>
    <w:uiPriority w:val="99"/>
    <w:rPr>
      <w:sz w:val="18"/>
      <w:szCs w:val="18"/>
    </w:rPr>
  </w:style>
  <w:style w:type="character" w:customStyle="1" w:styleId="19">
    <w:name w:val="页脚 字符"/>
    <w:basedOn w:val="15"/>
    <w:link w:val="9"/>
    <w:autoRedefine/>
    <w:qFormat/>
    <w:uiPriority w:val="99"/>
    <w:rPr>
      <w:sz w:val="18"/>
      <w:szCs w:val="18"/>
    </w:rPr>
  </w:style>
  <w:style w:type="paragraph" w:customStyle="1" w:styleId="20">
    <w:name w:val="EndNote Bibliography Title"/>
    <w:basedOn w:val="1"/>
    <w:link w:val="21"/>
    <w:autoRedefine/>
    <w:qFormat/>
    <w:uiPriority w:val="0"/>
    <w:pPr>
      <w:jc w:val="center"/>
    </w:pPr>
    <w:rPr>
      <w:rFonts w:ascii="等线" w:hAnsi="等线" w:eastAsia="等线"/>
      <w:sz w:val="20"/>
    </w:rPr>
  </w:style>
  <w:style w:type="character" w:customStyle="1" w:styleId="21">
    <w:name w:val="EndNote Bibliography Title 字符"/>
    <w:basedOn w:val="15"/>
    <w:link w:val="20"/>
    <w:autoRedefine/>
    <w:qFormat/>
    <w:uiPriority w:val="0"/>
    <w:rPr>
      <w:rFonts w:cs="Times New Roman"/>
      <w:kern w:val="2"/>
      <w:szCs w:val="24"/>
    </w:rPr>
  </w:style>
  <w:style w:type="paragraph" w:customStyle="1" w:styleId="22">
    <w:name w:val="EndNote Bibliography"/>
    <w:basedOn w:val="1"/>
    <w:link w:val="23"/>
    <w:autoRedefine/>
    <w:qFormat/>
    <w:uiPriority w:val="0"/>
    <w:rPr>
      <w:rFonts w:ascii="等线" w:hAnsi="等线" w:eastAsia="等线"/>
      <w:sz w:val="20"/>
    </w:rPr>
  </w:style>
  <w:style w:type="character" w:customStyle="1" w:styleId="23">
    <w:name w:val="EndNote Bibliography 字符"/>
    <w:basedOn w:val="15"/>
    <w:link w:val="22"/>
    <w:qFormat/>
    <w:uiPriority w:val="0"/>
    <w:rPr>
      <w:rFonts w:cs="Times New Roman"/>
      <w:kern w:val="2"/>
      <w:szCs w:val="24"/>
    </w:rPr>
  </w:style>
  <w:style w:type="character" w:customStyle="1" w:styleId="24">
    <w:name w:val="fontstyle01"/>
    <w:basedOn w:val="15"/>
    <w:autoRedefine/>
    <w:qFormat/>
    <w:uiPriority w:val="0"/>
    <w:rPr>
      <w:rFonts w:hint="default" w:ascii="Times New Roman" w:hAnsi="Times New Roman" w:cs="Times New Roman"/>
      <w:color w:val="B5082E"/>
      <w:sz w:val="18"/>
      <w:szCs w:val="18"/>
    </w:rPr>
  </w:style>
  <w:style w:type="character" w:customStyle="1" w:styleId="25">
    <w:name w:val="transsent"/>
    <w:basedOn w:val="15"/>
    <w:qFormat/>
    <w:uiPriority w:val="0"/>
  </w:style>
  <w:style w:type="character" w:customStyle="1" w:styleId="26">
    <w:name w:val="apple-converted-space"/>
    <w:basedOn w:val="15"/>
    <w:autoRedefine/>
    <w:qFormat/>
    <w:uiPriority w:val="0"/>
  </w:style>
  <w:style w:type="character" w:customStyle="1" w:styleId="27">
    <w:name w:val="fontstyle21"/>
    <w:basedOn w:val="15"/>
    <w:qFormat/>
    <w:uiPriority w:val="0"/>
    <w:rPr>
      <w:rFonts w:hint="default" w:ascii="Times New Roman" w:hAnsi="Times New Roman" w:cs="Times New Roman"/>
      <w:i/>
      <w:iCs/>
      <w:color w:val="B5082E"/>
      <w:sz w:val="18"/>
      <w:szCs w:val="18"/>
    </w:rPr>
  </w:style>
  <w:style w:type="character" w:customStyle="1" w:styleId="28">
    <w:name w:val="批注文字 字符"/>
    <w:basedOn w:val="15"/>
    <w:link w:val="8"/>
    <w:qFormat/>
    <w:uiPriority w:val="99"/>
  </w:style>
  <w:style w:type="character" w:customStyle="1" w:styleId="29">
    <w:name w:val="批注主题 字符"/>
    <w:basedOn w:val="28"/>
    <w:link w:val="12"/>
    <w:autoRedefine/>
    <w:semiHidden/>
    <w:qFormat/>
    <w:uiPriority w:val="99"/>
    <w:rPr>
      <w:b/>
      <w:bCs/>
    </w:rPr>
  </w:style>
  <w:style w:type="paragraph" w:styleId="30">
    <w:name w:val="List Paragraph"/>
    <w:basedOn w:val="1"/>
    <w:qFormat/>
    <w:uiPriority w:val="34"/>
    <w:pPr>
      <w:ind w:firstLine="420"/>
    </w:pPr>
  </w:style>
  <w:style w:type="character" w:customStyle="1" w:styleId="31">
    <w:name w:val="标题 7 字符"/>
    <w:basedOn w:val="15"/>
    <w:link w:val="6"/>
    <w:autoRedefine/>
    <w:qFormat/>
    <w:uiPriority w:val="9"/>
    <w:rPr>
      <w:rFonts w:ascii="Times New Roman" w:hAnsi="Times New Roman" w:eastAsia="宋体" w:cs="Times New Roman"/>
      <w:b/>
      <w:bCs/>
      <w:kern w:val="0"/>
      <w:sz w:val="24"/>
      <w:szCs w:val="24"/>
    </w:rPr>
  </w:style>
  <w:style w:type="character" w:customStyle="1" w:styleId="32">
    <w:name w:val="fontstyle11"/>
    <w:basedOn w:val="15"/>
    <w:qFormat/>
    <w:uiPriority w:val="0"/>
    <w:rPr>
      <w:rFonts w:hint="default" w:ascii="DY163+ZKZIFK-163" w:hAnsi="DY163+ZKZIFK-163"/>
      <w:color w:val="000000"/>
      <w:sz w:val="12"/>
      <w:szCs w:val="12"/>
    </w:rPr>
  </w:style>
  <w:style w:type="paragraph" w:customStyle="1" w:styleId="33">
    <w:name w:val="_tgt"/>
    <w:basedOn w:val="1"/>
    <w:qFormat/>
    <w:uiPriority w:val="0"/>
    <w:pPr>
      <w:widowControl/>
      <w:spacing w:before="100" w:beforeAutospacing="1" w:after="100" w:afterAutospacing="1"/>
      <w:jc w:val="left"/>
    </w:pPr>
    <w:rPr>
      <w:rFonts w:ascii="宋体" w:hAnsi="宋体" w:eastAsia="宋体" w:cs="宋体"/>
      <w:kern w:val="0"/>
    </w:rPr>
  </w:style>
  <w:style w:type="character" w:customStyle="1" w:styleId="34">
    <w:name w:val="标题 4 字符"/>
    <w:basedOn w:val="15"/>
    <w:link w:val="5"/>
    <w:autoRedefine/>
    <w:semiHidden/>
    <w:qFormat/>
    <w:uiPriority w:val="9"/>
    <w:rPr>
      <w:rFonts w:asciiTheme="majorHAnsi" w:hAnsiTheme="majorHAnsi" w:eastAsiaTheme="majorEastAsia" w:cstheme="majorBidi"/>
      <w:b/>
      <w:bCs/>
      <w:sz w:val="28"/>
      <w:szCs w:val="28"/>
    </w:rPr>
  </w:style>
  <w:style w:type="paragraph" w:customStyle="1" w:styleId="35">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未处理的提及1"/>
    <w:basedOn w:val="15"/>
    <w:semiHidden/>
    <w:unhideWhenUsed/>
    <w:qFormat/>
    <w:uiPriority w:val="99"/>
    <w:rPr>
      <w:color w:val="605E5C"/>
      <w:shd w:val="clear" w:color="auto" w:fill="E1DFDD"/>
    </w:rPr>
  </w:style>
  <w:style w:type="character" w:customStyle="1" w:styleId="37">
    <w:name w:val="未处理的提及2"/>
    <w:basedOn w:val="15"/>
    <w:qFormat/>
    <w:uiPriority w:val="99"/>
    <w:rPr>
      <w:color w:val="605E5C"/>
      <w:shd w:val="clear" w:color="auto" w:fill="E1DFDD"/>
    </w:rPr>
  </w:style>
  <w:style w:type="paragraph" w:customStyle="1" w:styleId="38">
    <w:name w:val="msonormal"/>
    <w:basedOn w:val="1"/>
    <w:qFormat/>
    <w:uiPriority w:val="0"/>
    <w:pPr>
      <w:widowControl/>
      <w:spacing w:before="100" w:beforeAutospacing="1" w:after="100" w:afterAutospacing="1"/>
      <w:ind w:firstLine="0" w:firstLineChars="0"/>
      <w:jc w:val="left"/>
    </w:pPr>
    <w:rPr>
      <w:rFonts w:ascii="宋体" w:hAnsi="宋体" w:cs="宋体"/>
      <w:kern w:val="0"/>
    </w:rPr>
  </w:style>
  <w:style w:type="character" w:customStyle="1" w:styleId="39">
    <w:name w:val="标题 1 字符"/>
    <w:basedOn w:val="15"/>
    <w:link w:val="2"/>
    <w:qFormat/>
    <w:uiPriority w:val="9"/>
    <w:rPr>
      <w:rFonts w:ascii="Times New Roman" w:hAnsi="Times New Roman" w:cs="Times New Roman"/>
      <w:b/>
      <w:bCs/>
      <w:kern w:val="44"/>
      <w:sz w:val="44"/>
      <w:szCs w:val="44"/>
    </w:rPr>
  </w:style>
  <w:style w:type="character" w:customStyle="1" w:styleId="40">
    <w:name w:val="标题 2 字符"/>
    <w:basedOn w:val="15"/>
    <w:link w:val="3"/>
    <w:autoRedefine/>
    <w:qFormat/>
    <w:uiPriority w:val="9"/>
    <w:rPr>
      <w:rFonts w:ascii="Times New Roman" w:hAnsi="Times New Roman" w:eastAsia="Times New Roman" w:cstheme="majorBidi"/>
      <w:b/>
      <w:bCs/>
      <w:kern w:val="2"/>
      <w:sz w:val="32"/>
      <w:szCs w:val="32"/>
    </w:rPr>
  </w:style>
  <w:style w:type="character" w:customStyle="1" w:styleId="41">
    <w:name w:val="标题 3 字符"/>
    <w:basedOn w:val="15"/>
    <w:link w:val="4"/>
    <w:autoRedefine/>
    <w:qFormat/>
    <w:uiPriority w:val="9"/>
    <w:rPr>
      <w:rFonts w:ascii="Times New Roman" w:hAnsi="Times New Roman" w:cs="Times New Roman"/>
      <w:b/>
      <w:bCs/>
      <w:kern w:val="2"/>
      <w:sz w:val="30"/>
      <w:szCs w:val="32"/>
    </w:rPr>
  </w:style>
  <w:style w:type="paragraph" w:customStyle="1" w:styleId="42">
    <w:name w:val="修订2"/>
    <w:hidden/>
    <w:semiHidden/>
    <w:qFormat/>
    <w:uiPriority w:val="99"/>
    <w:rPr>
      <w:rFonts w:ascii="Times New Roman" w:hAnsi="Times New Roman" w:eastAsia="Times New Roman" w:cs="Times New Roman"/>
      <w:kern w:val="2"/>
      <w:sz w:val="24"/>
      <w:szCs w:val="24"/>
      <w:shd w:val="clear" w:color="auto" w:fill="FFFFFF"/>
      <w:lang w:val="en-US" w:eastAsia="zh-CN" w:bidi="ar-SA"/>
    </w:rPr>
  </w:style>
  <w:style w:type="paragraph" w:customStyle="1" w:styleId="43">
    <w:name w:val="Revision"/>
    <w:hidden/>
    <w:semiHidden/>
    <w:uiPriority w:val="99"/>
    <w:rPr>
      <w:rFonts w:ascii="Times New Roman" w:hAnsi="Times New Roman" w:eastAsia="Times New Roman" w:cs="Times New Roman"/>
      <w:kern w:val="2"/>
      <w:sz w:val="24"/>
      <w:szCs w:val="24"/>
      <w:shd w:val="clear" w:color="auto" w:fill="FFFFFF"/>
      <w:lang w:val="en-US" w:eastAsia="zh-CN" w:bidi="ar-SA"/>
    </w:rPr>
  </w:style>
  <w:style w:type="table" w:customStyle="1" w:styleId="44">
    <w:name w:val="网格型1"/>
    <w:basedOn w:val="13"/>
    <w:autoRedefine/>
    <w:qFormat/>
    <w:uiPriority w:val="39"/>
    <w:rPr>
      <w:rFonts w:cs="Times New Roman"/>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jpe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60AC8-81C6-490A-AB41-02432378DC88}">
  <ds:schemaRefs/>
</ds:datastoreItem>
</file>

<file path=docProps/app.xml><?xml version="1.0" encoding="utf-8"?>
<Properties xmlns="http://schemas.openxmlformats.org/officeDocument/2006/extended-properties" xmlns:vt="http://schemas.openxmlformats.org/officeDocument/2006/docPropsVTypes">
  <Template>Normal.dotm</Template>
  <Pages>41</Pages>
  <Words>6838</Words>
  <Characters>38979</Characters>
  <Lines>324</Lines>
  <Paragraphs>91</Paragraphs>
  <TotalTime>7</TotalTime>
  <ScaleCrop>false</ScaleCrop>
  <LinksUpToDate>false</LinksUpToDate>
  <CharactersWithSpaces>45726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2024-02-07T10:14:00Z</dcterms:created>
  <dc:creator>Author</dc:creator>
  <cp:lastModifiedBy>罗小宁是绿色的 </cp:lastModifiedBy>
  <cp:lastPrinted>2022-07-14T02:03:00Z</cp:lastPrinted>
  <dcterms:modified xsi:type="dcterms:W3CDTF">2024-02-08T13:50:53Z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35C03C893D6C408B891BC7DD6DDB6903_13</vt:lpwstr>
  </property>
  <property fmtid="{D5CDD505-2E9C-101B-9397-08002B2CF9AE}" pid="3" name="KSOProductBuildVer">
    <vt:lpwstr>2052-12.1.0.16250</vt:lpwstr>
  </property>
  <property fmtid="{D5CDD505-2E9C-101B-9397-08002B2CF9AE}" pid="4" name="LE1">
    <vt:filetime>2023-09-20T14:33:55Z</vt:filetime>
  </property>
</Properties>
</file>