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2325" w:rsidRDefault="00EC2325" w:rsidP="00EC2325">
      <w:pPr>
        <w:spacing w:line="360" w:lineRule="auto"/>
        <w:rPr>
          <w:rFonts w:ascii="Times New Roman" w:hAnsi="Times New Roman"/>
          <w:sz w:val="24"/>
        </w:rPr>
      </w:pPr>
      <w:r>
        <w:rPr>
          <w:rFonts w:ascii="Times New Roman" w:hAnsi="Times New Roman" w:hint="eastAsia"/>
          <w:b/>
          <w:bCs/>
          <w:sz w:val="24"/>
        </w:rPr>
        <w:t>S</w:t>
      </w:r>
      <w:r>
        <w:rPr>
          <w:rFonts w:ascii="Times New Roman" w:hAnsi="Times New Roman"/>
          <w:b/>
          <w:bCs/>
          <w:sz w:val="24"/>
        </w:rPr>
        <w:t>upplemental Fig</w:t>
      </w:r>
      <w:r>
        <w:rPr>
          <w:rFonts w:ascii="Times New Roman" w:hAnsi="Times New Roman" w:hint="eastAsia"/>
          <w:b/>
          <w:bCs/>
          <w:sz w:val="24"/>
        </w:rPr>
        <w:t>ure-1:</w:t>
      </w:r>
      <w:r>
        <w:rPr>
          <w:rFonts w:ascii="Times New Roman" w:hAnsi="Times New Roman" w:hint="eastAsia"/>
          <w:sz w:val="24"/>
        </w:rPr>
        <w:t xml:space="preserve"> </w:t>
      </w:r>
      <w:r>
        <w:rPr>
          <w:rFonts w:ascii="Times New Roman" w:hAnsi="Times New Roman"/>
          <w:b/>
          <w:bCs/>
          <w:sz w:val="24"/>
        </w:rPr>
        <w:t>HRD1 ligase-dead mutant (C291S) had no effect on PFKP expression, activity, and protein stability</w:t>
      </w:r>
      <w:r>
        <w:rPr>
          <w:rFonts w:ascii="Times New Roman" w:hAnsi="Times New Roman" w:hint="eastAsia"/>
          <w:b/>
          <w:bCs/>
          <w:sz w:val="24"/>
        </w:rPr>
        <w:t>.</w:t>
      </w:r>
      <w:r>
        <w:rPr>
          <w:rFonts w:ascii="Times New Roman" w:hAnsi="Times New Roman"/>
          <w:sz w:val="24"/>
        </w:rPr>
        <w:t xml:space="preserve"> </w:t>
      </w:r>
      <w:r>
        <w:rPr>
          <w:rFonts w:ascii="Times New Roman" w:hAnsi="Times New Roman" w:hint="eastAsia"/>
          <w:sz w:val="24"/>
        </w:rPr>
        <w:t>(A, B C)</w:t>
      </w:r>
      <w:r>
        <w:rPr>
          <w:rFonts w:ascii="Times New Roman" w:hAnsi="Times New Roman"/>
          <w:sz w:val="24"/>
        </w:rPr>
        <w:t xml:space="preserve"> The protein level, enzyme activity and mRNA level of PFKP in MDA-MB-231 cells infected with Ad-GFP or Ad-HRD1 mutant (C291S)</w:t>
      </w:r>
      <w:r>
        <w:rPr>
          <w:rFonts w:ascii="Times New Roman" w:hAnsi="Times New Roman" w:hint="eastAsia"/>
          <w:b/>
          <w:bCs/>
          <w:sz w:val="24"/>
        </w:rPr>
        <w:t xml:space="preserve"> </w:t>
      </w:r>
      <w:r>
        <w:rPr>
          <w:rFonts w:ascii="Times New Roman" w:hAnsi="Times New Roman"/>
          <w:sz w:val="24"/>
        </w:rPr>
        <w:t>for 48 h were measured by western blotting, PFKP enzyme activity assays and real-time PCR assays, respectively.</w:t>
      </w:r>
    </w:p>
    <w:p w:rsidR="00EC2325" w:rsidRDefault="00EC2325" w:rsidP="00EC2325">
      <w:pPr>
        <w:spacing w:line="360" w:lineRule="auto"/>
        <w:rPr>
          <w:rFonts w:ascii="Times New Roman" w:hAnsi="Times New Roman" w:hint="eastAsia"/>
          <w:kern w:val="0"/>
          <w:sz w:val="24"/>
        </w:rPr>
      </w:pPr>
      <w:r>
        <w:rPr>
          <w:rFonts w:ascii="Times New Roman" w:hAnsi="Times New Roman" w:hint="eastAsia"/>
          <w:b/>
          <w:bCs/>
          <w:sz w:val="24"/>
        </w:rPr>
        <w:t>S</w:t>
      </w:r>
      <w:r>
        <w:rPr>
          <w:rFonts w:ascii="Times New Roman" w:hAnsi="Times New Roman"/>
          <w:b/>
          <w:bCs/>
          <w:sz w:val="24"/>
        </w:rPr>
        <w:t>upplemental Fig</w:t>
      </w:r>
      <w:r>
        <w:rPr>
          <w:rFonts w:ascii="Times New Roman" w:hAnsi="Times New Roman" w:hint="eastAsia"/>
          <w:b/>
          <w:bCs/>
          <w:sz w:val="24"/>
        </w:rPr>
        <w:t>ure-2:</w:t>
      </w:r>
      <w:r>
        <w:rPr>
          <w:rFonts w:ascii="Times New Roman" w:hAnsi="Times New Roman" w:hint="eastAsia"/>
          <w:sz w:val="24"/>
        </w:rPr>
        <w:t xml:space="preserve"> </w:t>
      </w:r>
      <w:r>
        <w:rPr>
          <w:rFonts w:ascii="Times New Roman" w:hAnsi="Times New Roman"/>
          <w:b/>
          <w:sz w:val="24"/>
        </w:rPr>
        <w:t>HRD1 inhibited aerobic glycolysis</w:t>
      </w:r>
      <w:r>
        <w:rPr>
          <w:rFonts w:ascii="Times New Roman" w:hAnsi="Times New Roman" w:hint="eastAsia"/>
          <w:b/>
          <w:sz w:val="24"/>
        </w:rPr>
        <w:t xml:space="preserve"> and </w:t>
      </w:r>
      <w:r>
        <w:rPr>
          <w:rFonts w:ascii="Times New Roman" w:hAnsi="Times New Roman"/>
          <w:b/>
          <w:sz w:val="24"/>
        </w:rPr>
        <w:t>growth of breast cancer cells</w:t>
      </w:r>
      <w:r>
        <w:rPr>
          <w:rFonts w:ascii="Times New Roman" w:hAnsi="Times New Roman"/>
          <w:b/>
          <w:i/>
          <w:sz w:val="24"/>
        </w:rPr>
        <w:t xml:space="preserve"> </w:t>
      </w:r>
      <w:r>
        <w:rPr>
          <w:rFonts w:ascii="Times New Roman" w:hAnsi="Times New Roman"/>
          <w:b/>
          <w:bCs/>
          <w:sz w:val="24"/>
        </w:rPr>
        <w:t xml:space="preserve">via </w:t>
      </w:r>
      <w:r>
        <w:rPr>
          <w:rFonts w:ascii="Times New Roman" w:hAnsi="Times New Roman"/>
          <w:b/>
          <w:sz w:val="24"/>
        </w:rPr>
        <w:t>PFKP</w:t>
      </w:r>
      <w:r>
        <w:rPr>
          <w:rFonts w:ascii="Times New Roman" w:hAnsi="Times New Roman"/>
          <w:b/>
          <w:bCs/>
          <w:sz w:val="24"/>
        </w:rPr>
        <w:t xml:space="preserve"> downregulation</w:t>
      </w:r>
      <w:r>
        <w:rPr>
          <w:rFonts w:ascii="Times New Roman" w:hAnsi="Times New Roman" w:hint="eastAsia"/>
          <w:b/>
          <w:bCs/>
          <w:sz w:val="24"/>
        </w:rPr>
        <w:t>.</w:t>
      </w:r>
      <w:r>
        <w:rPr>
          <w:rFonts w:ascii="Times New Roman" w:hAnsi="Times New Roman" w:hint="eastAsia"/>
          <w:sz w:val="24"/>
        </w:rPr>
        <w:t xml:space="preserve"> </w:t>
      </w:r>
      <w:r>
        <w:rPr>
          <w:rFonts w:ascii="Times New Roman" w:hAnsi="Times New Roman"/>
          <w:sz w:val="24"/>
        </w:rPr>
        <w:t>MCF-7</w:t>
      </w:r>
      <w:r>
        <w:rPr>
          <w:rFonts w:ascii="Times New Roman" w:hAnsi="Times New Roman" w:hint="eastAsia"/>
          <w:sz w:val="24"/>
        </w:rPr>
        <w:t xml:space="preserve"> cells stably expressing HRD1 were infected with </w:t>
      </w:r>
      <w:r>
        <w:rPr>
          <w:rFonts w:ascii="Times New Roman" w:hAnsi="Times New Roman"/>
          <w:sz w:val="24"/>
        </w:rPr>
        <w:t xml:space="preserve">a </w:t>
      </w:r>
      <w:r>
        <w:rPr>
          <w:rFonts w:ascii="Times New Roman" w:hAnsi="Times New Roman" w:hint="eastAsia"/>
          <w:sz w:val="24"/>
        </w:rPr>
        <w:t xml:space="preserve">lentivirus </w:t>
      </w:r>
      <w:r>
        <w:rPr>
          <w:rFonts w:ascii="Times New Roman" w:hAnsi="Times New Roman"/>
          <w:sz w:val="24"/>
        </w:rPr>
        <w:t xml:space="preserve">for </w:t>
      </w:r>
      <w:r>
        <w:rPr>
          <w:rFonts w:ascii="Times New Roman" w:hAnsi="Times New Roman" w:hint="eastAsia"/>
          <w:sz w:val="24"/>
        </w:rPr>
        <w:t xml:space="preserve">PFKP for 48 h. (A) </w:t>
      </w:r>
      <w:r>
        <w:rPr>
          <w:rFonts w:ascii="Times New Roman" w:hAnsi="Times New Roman"/>
          <w:sz w:val="24"/>
        </w:rPr>
        <w:t>Western blot analysis</w:t>
      </w:r>
      <w:r>
        <w:rPr>
          <w:rFonts w:ascii="Times New Roman" w:hAnsi="Times New Roman" w:hint="eastAsia"/>
          <w:sz w:val="24"/>
        </w:rPr>
        <w:t xml:space="preserve"> was performed</w:t>
      </w:r>
      <w:r>
        <w:rPr>
          <w:rFonts w:ascii="Times New Roman" w:hAnsi="Times New Roman"/>
          <w:sz w:val="24"/>
        </w:rPr>
        <w:t>.</w:t>
      </w:r>
      <w:r>
        <w:rPr>
          <w:rFonts w:ascii="Times New Roman" w:hAnsi="Times New Roman" w:hint="eastAsia"/>
          <w:sz w:val="24"/>
        </w:rPr>
        <w:t xml:space="preserve"> (B) </w:t>
      </w:r>
      <w:r>
        <w:rPr>
          <w:rFonts w:ascii="Times New Roman" w:hAnsi="Times New Roman"/>
          <w:sz w:val="24"/>
        </w:rPr>
        <w:t>G</w:t>
      </w:r>
      <w:r>
        <w:rPr>
          <w:rFonts w:ascii="Times New Roman" w:hAnsi="Times New Roman" w:hint="eastAsia"/>
          <w:sz w:val="24"/>
        </w:rPr>
        <w:t>lucose uptake was determined by measuring uptake of 2-NBDG using flow cytometry. (C) Glucose concentration in the medium was measured using the Ample</w:t>
      </w:r>
      <w:r>
        <w:rPr>
          <w:rFonts w:ascii="Times New Roman" w:hAnsi="Times New Roman"/>
          <w:sz w:val="24"/>
        </w:rPr>
        <w:t xml:space="preserve">x </w:t>
      </w:r>
      <w:r>
        <w:rPr>
          <w:rFonts w:ascii="Times New Roman" w:hAnsi="Times New Roman" w:hint="eastAsia"/>
          <w:sz w:val="24"/>
        </w:rPr>
        <w:t xml:space="preserve">Red glucose/glucose oxidase assay kit. (D) Lactate levels in the extracellular medium and the intracellular lactate levels in the cell lysates were measured using the lactate assay kit. (E) ATP concentration was measured using an ATP assay kit. (F) Extracellular acidification rate (ECAR) was measured using </w:t>
      </w:r>
      <w:r>
        <w:rPr>
          <w:rFonts w:ascii="Times New Roman" w:hAnsi="Times New Roman"/>
          <w:sz w:val="24"/>
        </w:rPr>
        <w:t xml:space="preserve">a </w:t>
      </w:r>
      <w:r>
        <w:rPr>
          <w:rFonts w:ascii="Times New Roman" w:hAnsi="Times New Roman" w:hint="eastAsia"/>
          <w:sz w:val="24"/>
        </w:rPr>
        <w:t xml:space="preserve">Seahorse XF96 Flux Analyzer. </w:t>
      </w:r>
      <w:r>
        <w:rPr>
          <w:rFonts w:ascii="Times New Roman" w:hAnsi="Times New Roman"/>
          <w:sz w:val="24"/>
        </w:rPr>
        <w:t>(</w:t>
      </w:r>
      <w:r>
        <w:rPr>
          <w:rFonts w:ascii="Times New Roman" w:hAnsi="Times New Roman" w:hint="eastAsia"/>
          <w:sz w:val="24"/>
        </w:rPr>
        <w:t>G</w:t>
      </w:r>
      <w:r>
        <w:rPr>
          <w:rFonts w:ascii="Times New Roman" w:hAnsi="Times New Roman"/>
          <w:sz w:val="24"/>
        </w:rPr>
        <w:t>) MCF-7</w:t>
      </w:r>
      <w:r>
        <w:rPr>
          <w:rFonts w:ascii="Times New Roman" w:hAnsi="Times New Roman" w:hint="eastAsia"/>
          <w:sz w:val="24"/>
        </w:rPr>
        <w:t xml:space="preserve"> cells stably expressing HRD1 were infected with </w:t>
      </w:r>
      <w:r>
        <w:rPr>
          <w:rFonts w:ascii="Times New Roman" w:hAnsi="Times New Roman"/>
          <w:sz w:val="24"/>
        </w:rPr>
        <w:t xml:space="preserve">a </w:t>
      </w:r>
      <w:r>
        <w:rPr>
          <w:rFonts w:ascii="Times New Roman" w:hAnsi="Times New Roman" w:hint="eastAsia"/>
          <w:sz w:val="24"/>
        </w:rPr>
        <w:t xml:space="preserve">lentivirus of PFKP for </w:t>
      </w:r>
      <w:r>
        <w:rPr>
          <w:rFonts w:ascii="Times New Roman" w:hAnsi="Times New Roman"/>
          <w:kern w:val="0"/>
          <w:sz w:val="24"/>
        </w:rPr>
        <w:t>72 h, and then cell proliferation was measured using CCK-8 assays</w:t>
      </w:r>
      <w:r>
        <w:rPr>
          <w:rFonts w:ascii="Times New Roman" w:hAnsi="Times New Roman"/>
          <w:sz w:val="24"/>
        </w:rPr>
        <w:t xml:space="preserve">.  </w:t>
      </w:r>
    </w:p>
    <w:p w:rsidR="00EC2325" w:rsidRDefault="00EC2325" w:rsidP="00EC2325">
      <w:pPr>
        <w:spacing w:line="360" w:lineRule="auto"/>
        <w:rPr>
          <w:rFonts w:ascii="Times New Roman" w:hAnsi="Times New Roman"/>
          <w:sz w:val="24"/>
        </w:rPr>
      </w:pPr>
    </w:p>
    <w:p w:rsidR="00230826" w:rsidRDefault="00230826">
      <w:bookmarkStart w:id="0" w:name="_GoBack"/>
      <w:bookmarkEnd w:id="0"/>
    </w:p>
    <w:sectPr w:rsidR="00230826">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2325"/>
    <w:rsid w:val="00230826"/>
    <w:rsid w:val="00EC23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D3D5E3-DE9B-41B6-A43E-FA01139D8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C2325"/>
    <w:pPr>
      <w:widowControl w:val="0"/>
      <w:spacing w:after="0" w:line="240" w:lineRule="auto"/>
      <w:jc w:val="both"/>
    </w:pPr>
    <w:rPr>
      <w:rFonts w:ascii="Calibri" w:eastAsia="SimSun" w:hAnsi="Calibri" w:cs="Times New Roman"/>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188</Words>
  <Characters>1072</Characters>
  <Application>Microsoft Office Word</Application>
  <DocSecurity>0</DocSecurity>
  <Lines>8</Lines>
  <Paragraphs>2</Paragraphs>
  <ScaleCrop>false</ScaleCrop>
  <Company>Springer Nature</Company>
  <LinksUpToDate>false</LinksUpToDate>
  <CharactersWithSpaces>1258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2020-07-17T06:55:00Z</dcterms:created>
  <dcterms:modified xsi:type="dcterms:W3CDTF">2020-07-17T06:56:00Z</dcterms:modified>
</cp:coreProperties>
</file>