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AFC02" w14:textId="77777777" w:rsidR="00095830" w:rsidRPr="008E2493" w:rsidRDefault="00095830" w:rsidP="0009583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E2493">
        <w:rPr>
          <w:rFonts w:ascii="Times New Roman" w:hAnsi="Times New Roman" w:cs="Times New Roman"/>
          <w:b/>
          <w:bCs/>
          <w:sz w:val="20"/>
          <w:szCs w:val="20"/>
        </w:rPr>
        <w:t>Bulk and single-cell transcriptional profiles reveal roles of fibroblasts and immunocytes in pan-cancer progression</w:t>
      </w:r>
    </w:p>
    <w:p w14:paraId="1302A934" w14:textId="77777777" w:rsidR="00095830" w:rsidRPr="008E2493" w:rsidRDefault="00095830" w:rsidP="00095830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821E683" w14:textId="77777777" w:rsidR="00095830" w:rsidRPr="008E2493" w:rsidRDefault="00095830" w:rsidP="00095830">
      <w:pPr>
        <w:jc w:val="center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 xml:space="preserve">Yan Sun </w:t>
      </w:r>
      <w:r w:rsidRPr="008E2493">
        <w:rPr>
          <w:rFonts w:ascii="Times New Roman" w:hAnsi="Times New Roman" w:cs="Times New Roman"/>
          <w:sz w:val="20"/>
          <w:szCs w:val="20"/>
          <w:vertAlign w:val="superscript"/>
        </w:rPr>
        <w:t>1, 2, 3</w:t>
      </w:r>
      <w:r w:rsidRPr="008E2493">
        <w:rPr>
          <w:rFonts w:ascii="Times New Roman" w:hAnsi="Times New Roman" w:cs="Times New Roman"/>
          <w:sz w:val="20"/>
          <w:szCs w:val="20"/>
        </w:rPr>
        <w:t xml:space="preserve">, Bin Song </w:t>
      </w:r>
      <w:r w:rsidRPr="008E2493">
        <w:rPr>
          <w:rFonts w:ascii="Times New Roman" w:hAnsi="Times New Roman" w:cs="Times New Roman"/>
          <w:sz w:val="20"/>
          <w:szCs w:val="20"/>
          <w:vertAlign w:val="superscript"/>
        </w:rPr>
        <w:t>1, 2</w:t>
      </w:r>
      <w:r w:rsidRPr="008E2493">
        <w:rPr>
          <w:rFonts w:ascii="Times New Roman" w:hAnsi="Times New Roman" w:cs="Times New Roman"/>
          <w:sz w:val="20"/>
          <w:szCs w:val="20"/>
        </w:rPr>
        <w:t xml:space="preserve">, Qichao Yu </w:t>
      </w:r>
      <w:r w:rsidRPr="008E2493">
        <w:rPr>
          <w:rFonts w:ascii="Times New Roman" w:hAnsi="Times New Roman" w:cs="Times New Roman"/>
          <w:sz w:val="20"/>
          <w:szCs w:val="20"/>
          <w:vertAlign w:val="superscript"/>
        </w:rPr>
        <w:t>1, 2</w:t>
      </w:r>
      <w:r w:rsidRPr="008E2493">
        <w:rPr>
          <w:rFonts w:ascii="Times New Roman" w:hAnsi="Times New Roman" w:cs="Times New Roman"/>
          <w:sz w:val="20"/>
          <w:szCs w:val="20"/>
        </w:rPr>
        <w:t xml:space="preserve">, Huanming Yang </w:t>
      </w:r>
      <w:r w:rsidRPr="008E2493">
        <w:rPr>
          <w:rFonts w:ascii="Times New Roman" w:hAnsi="Times New Roman" w:cs="Times New Roman"/>
          <w:sz w:val="20"/>
          <w:szCs w:val="20"/>
          <w:vertAlign w:val="superscript"/>
        </w:rPr>
        <w:t>1, 2, 3</w:t>
      </w:r>
      <w:r w:rsidRPr="008E2493">
        <w:rPr>
          <w:rFonts w:ascii="Times New Roman" w:hAnsi="Times New Roman" w:cs="Times New Roman"/>
          <w:sz w:val="20"/>
          <w:szCs w:val="20"/>
        </w:rPr>
        <w:t xml:space="preserve">, Wei Dong </w:t>
      </w:r>
      <w:r w:rsidRPr="008E2493">
        <w:rPr>
          <w:rFonts w:ascii="Times New Roman" w:hAnsi="Times New Roman" w:cs="Times New Roman"/>
          <w:sz w:val="20"/>
          <w:szCs w:val="20"/>
          <w:vertAlign w:val="superscript"/>
        </w:rPr>
        <w:t>1, 2, 3, *</w:t>
      </w:r>
    </w:p>
    <w:p w14:paraId="77951963" w14:textId="77777777" w:rsidR="00095830" w:rsidRPr="008E2493" w:rsidRDefault="00095830" w:rsidP="00095830">
      <w:pPr>
        <w:jc w:val="center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DFBD716" w14:textId="77777777" w:rsidR="00095830" w:rsidRPr="008E2493" w:rsidRDefault="00095830" w:rsidP="00095830">
      <w:pPr>
        <w:jc w:val="left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 xml:space="preserve">1 College of Life Sciences, University of Chinese Academy of Sciences, Beijing 100049, China. </w:t>
      </w:r>
    </w:p>
    <w:p w14:paraId="31774507" w14:textId="77777777" w:rsidR="00095830" w:rsidRPr="008E2493" w:rsidRDefault="00095830" w:rsidP="00095830">
      <w:pPr>
        <w:jc w:val="left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>2 BGI Research, Shenzhen 518083, China.</w:t>
      </w:r>
    </w:p>
    <w:p w14:paraId="479FF5CF" w14:textId="77777777" w:rsidR="00095830" w:rsidRPr="008E2493" w:rsidRDefault="00095830" w:rsidP="00095830">
      <w:pPr>
        <w:jc w:val="left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>3 HIM-BGI Omics Center, Hangzhou Institute of Medicine (HIM), Chinese Academy of Sciences (CAS), Zhejiang Cancer Hospital, Hangzhou 310022, China</w:t>
      </w:r>
    </w:p>
    <w:p w14:paraId="5EA5DEFD" w14:textId="77777777" w:rsidR="00095830" w:rsidRPr="008E2493" w:rsidRDefault="00095830" w:rsidP="00095830">
      <w:pPr>
        <w:jc w:val="left"/>
        <w:rPr>
          <w:rFonts w:ascii="Times New Roman" w:hAnsi="Times New Roman" w:cs="Times New Roman"/>
          <w:sz w:val="20"/>
          <w:szCs w:val="20"/>
        </w:rPr>
      </w:pPr>
      <w:r w:rsidRPr="008E2493">
        <w:rPr>
          <w:rFonts w:ascii="Times New Roman" w:hAnsi="Times New Roman" w:cs="Times New Roman"/>
          <w:sz w:val="20"/>
          <w:szCs w:val="20"/>
        </w:rPr>
        <w:t>* Correspondence: Wei Dong, dongw@bgi.com</w:t>
      </w:r>
    </w:p>
    <w:p w14:paraId="3C5875D9" w14:textId="28ADCD51" w:rsidR="00095830" w:rsidRDefault="00095830"/>
    <w:p w14:paraId="4D871C78" w14:textId="129C72EE" w:rsidR="002E26AB" w:rsidRDefault="00423413">
      <w:r>
        <w:rPr>
          <w:rFonts w:hint="eastAsia"/>
          <w:noProof/>
        </w:rPr>
        <w:drawing>
          <wp:inline distT="0" distB="0" distL="0" distR="0" wp14:anchorId="187091DB" wp14:editId="5F1D3D05">
            <wp:extent cx="6414770" cy="664591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77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D5792" w14:textId="1EBE420A" w:rsidR="00193184" w:rsidRDefault="00193184" w:rsidP="00193184">
      <w:r>
        <w:t>Figure S1. Commonly down-regulated genes</w:t>
      </w:r>
      <w:r w:rsidR="00E85D58">
        <w:t xml:space="preserve"> and </w:t>
      </w:r>
      <w:r w:rsidR="00C72E9A">
        <w:t xml:space="preserve">bulk sample </w:t>
      </w:r>
      <w:r w:rsidR="00E85D58">
        <w:t>deconvolution</w:t>
      </w:r>
      <w:r>
        <w:t xml:space="preserve">. </w:t>
      </w:r>
      <w:r w:rsidRPr="002C1409">
        <w:rPr>
          <w:b/>
          <w:bCs/>
        </w:rPr>
        <w:t>a</w:t>
      </w:r>
      <w:r>
        <w:t xml:space="preserve">: PPI network of commonly down-regulated genes. Six clusters are identified by </w:t>
      </w:r>
      <w:r w:rsidRPr="005F09D3">
        <w:t>MCL</w:t>
      </w:r>
      <w:r>
        <w:t xml:space="preserve"> clustering with </w:t>
      </w:r>
      <w:r w:rsidRPr="005F09D3">
        <w:t>inflation parameter = 2.5</w:t>
      </w:r>
      <w:r>
        <w:t>. L</w:t>
      </w:r>
      <w:r w:rsidRPr="005F09D3">
        <w:t>ine thickness indicates the strength of data support</w:t>
      </w:r>
      <w:r>
        <w:t>. N</w:t>
      </w:r>
      <w:r w:rsidRPr="005F09D3">
        <w:t>odes within a cluster are connected with solid lines, from different clusters with dashed lines.</w:t>
      </w:r>
      <w:r>
        <w:t xml:space="preserve"> D</w:t>
      </w:r>
      <w:r w:rsidRPr="005F09D3">
        <w:t xml:space="preserve">isconnected </w:t>
      </w:r>
      <w:r>
        <w:t>proteins</w:t>
      </w:r>
      <w:r w:rsidRPr="005F09D3">
        <w:t xml:space="preserve"> </w:t>
      </w:r>
      <w:r>
        <w:t>are hided.</w:t>
      </w:r>
      <w:r w:rsidR="009F4B41">
        <w:t xml:space="preserve"> </w:t>
      </w:r>
      <w:r>
        <w:rPr>
          <w:b/>
          <w:bCs/>
        </w:rPr>
        <w:t>b</w:t>
      </w:r>
      <w:r>
        <w:t xml:space="preserve">: GO </w:t>
      </w:r>
      <w:r>
        <w:rPr>
          <w:rFonts w:hint="eastAsia"/>
        </w:rPr>
        <w:t>en</w:t>
      </w:r>
      <w:r>
        <w:t xml:space="preserve">richment of Cluster1-3. </w:t>
      </w:r>
      <w:r w:rsidR="00423413" w:rsidRPr="00423413">
        <w:rPr>
          <w:b/>
          <w:bCs/>
        </w:rPr>
        <w:t>c</w:t>
      </w:r>
      <w:r w:rsidR="00423413">
        <w:t xml:space="preserve">. xCell scores of Epithelial (upper) and </w:t>
      </w:r>
      <w:r w:rsidR="00423413">
        <w:lastRenderedPageBreak/>
        <w:t>Fibroblast (lower) cells in GTEx non-tumor, TCGA adjacent and tumor bulk samples of 7 organs. There are three boxes in each organ</w:t>
      </w:r>
      <w:r w:rsidR="009605CF">
        <w:rPr>
          <w:rFonts w:hint="eastAsia"/>
        </w:rPr>
        <w:t>‘s</w:t>
      </w:r>
      <w:r w:rsidR="009605CF">
        <w:t xml:space="preserve"> panel</w:t>
      </w:r>
      <w:r w:rsidR="00423413">
        <w:t>. GTEx: GTEx non-tumor samples. TCGA_A: adjacent samples of TCGA patients. TCGA_T: tumor samples of TCGA patients. Two-tailed Wilcoxon test is applied.</w:t>
      </w:r>
      <w:r w:rsidR="00C61378">
        <w:t xml:space="preserve"> </w:t>
      </w:r>
    </w:p>
    <w:p w14:paraId="0FDCFE5F" w14:textId="77777777" w:rsidR="006835E2" w:rsidRPr="00423413" w:rsidRDefault="006835E2">
      <w:pPr>
        <w:sectPr w:rsidR="006835E2" w:rsidRPr="00423413" w:rsidSect="00423413">
          <w:headerReference w:type="even" r:id="rId8"/>
          <w:headerReference w:type="default" r:id="rId9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AB16DDB" w14:textId="24703707" w:rsidR="0035236D" w:rsidRDefault="00593F9E" w:rsidP="006835E2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07D651B5" wp14:editId="61F9346B">
            <wp:extent cx="7952509" cy="640850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621" cy="641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0D512" w14:textId="04A4A6D1" w:rsidR="00FB6BC4" w:rsidRDefault="0035236D" w:rsidP="006835E2">
      <w:r>
        <w:lastRenderedPageBreak/>
        <w:t xml:space="preserve">Figure S2. </w:t>
      </w:r>
      <w:r w:rsidRPr="002C1409">
        <w:rPr>
          <w:b/>
          <w:bCs/>
        </w:rPr>
        <w:t>a</w:t>
      </w:r>
      <w:r>
        <w:t xml:space="preserve">: Survival analysis </w:t>
      </w:r>
      <w:r w:rsidR="00400C14">
        <w:t>on</w:t>
      </w:r>
      <w:r>
        <w:t xml:space="preserve"> </w:t>
      </w:r>
      <w:r w:rsidRPr="0035236D">
        <w:rPr>
          <w:i/>
          <w:iCs/>
        </w:rPr>
        <w:t>COL10A1</w:t>
      </w:r>
      <w:r>
        <w:t xml:space="preserve">, </w:t>
      </w:r>
      <w:r w:rsidRPr="0035236D">
        <w:rPr>
          <w:i/>
          <w:iCs/>
        </w:rPr>
        <w:t>COL1A1</w:t>
      </w:r>
      <w:r>
        <w:t xml:space="preserve">, </w:t>
      </w:r>
      <w:r w:rsidRPr="0035236D">
        <w:rPr>
          <w:i/>
          <w:iCs/>
        </w:rPr>
        <w:t>COMP</w:t>
      </w:r>
      <w:r>
        <w:t xml:space="preserve">. </w:t>
      </w:r>
      <w:r>
        <w:rPr>
          <w:b/>
          <w:bCs/>
        </w:rPr>
        <w:t>b</w:t>
      </w:r>
      <w:r>
        <w:t xml:space="preserve">: Gene expression correlations of PARs receptor F2R and commonly up regulated genes in TCGA adjacent samples and GTEx non-tumor samples of 7 organs. </w:t>
      </w:r>
      <w:r w:rsidR="00B218AD">
        <w:rPr>
          <w:b/>
          <w:bCs/>
        </w:rPr>
        <w:t>c</w:t>
      </w:r>
      <w:r w:rsidR="00B218AD">
        <w:t xml:space="preserve">: log2-CPM of </w:t>
      </w:r>
      <w:r w:rsidR="00B218AD" w:rsidRPr="00B218AD">
        <w:rPr>
          <w:i/>
          <w:iCs/>
        </w:rPr>
        <w:t>GZMA</w:t>
      </w:r>
      <w:r w:rsidR="00B218AD">
        <w:t xml:space="preserve"> in GTEx non-tumor, TCGA adjacent and tumor bulk samples of 7 organs. There are four boxes in panel of each organ. GTEx: GTEx non-tumor samples. TCGA.A_A: adjacent samples of TCGA patients. TCGA.A_T: corresponding TCGA tumor samples from patients with adjacent tissues. Adjacent samples and tumor samples from the same patients are connected with a solid line. TCGA.T_T: tumor samples from tumor only TCGA patients.</w:t>
      </w:r>
      <w:r w:rsidR="005E0B7C">
        <w:t xml:space="preserve"> </w:t>
      </w:r>
      <w:r w:rsidR="00C773CA">
        <w:t xml:space="preserve">Two-tailed </w:t>
      </w:r>
      <w:r w:rsidR="005E0B7C">
        <w:t>Wilcox</w:t>
      </w:r>
      <w:r w:rsidR="00C773CA">
        <w:t>on</w:t>
      </w:r>
      <w:r w:rsidR="005E0B7C">
        <w:t xml:space="preserve"> test is </w:t>
      </w:r>
      <w:r w:rsidR="00C773CA">
        <w:t>applied</w:t>
      </w:r>
      <w:r w:rsidR="005E0B7C">
        <w:t>.</w:t>
      </w:r>
    </w:p>
    <w:p w14:paraId="130E800C" w14:textId="77777777" w:rsidR="006835E2" w:rsidRDefault="006835E2" w:rsidP="006835E2">
      <w:pPr>
        <w:sectPr w:rsidR="006835E2" w:rsidSect="006835E2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0C9A6BD" w14:textId="77777777" w:rsidR="006835E2" w:rsidRDefault="006835E2" w:rsidP="006835E2"/>
    <w:p w14:paraId="7F9FF45B" w14:textId="10EE71C1" w:rsidR="00FB6BC4" w:rsidRDefault="006E5189" w:rsidP="0035236D">
      <w:r>
        <w:rPr>
          <w:noProof/>
        </w:rPr>
        <w:drawing>
          <wp:inline distT="0" distB="0" distL="0" distR="0" wp14:anchorId="268EBBE0" wp14:editId="03117BEB">
            <wp:extent cx="9777730" cy="5118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3B264" w14:textId="015BD2A9" w:rsidR="00BC06DA" w:rsidRDefault="00FB6BC4" w:rsidP="0035236D">
      <w:pPr>
        <w:widowControl/>
        <w:jc w:val="left"/>
        <w:sectPr w:rsidR="00BC06DA" w:rsidSect="006835E2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>
        <w:t xml:space="preserve">Figure S3. Survival analysis </w:t>
      </w:r>
      <w:r w:rsidR="00B62342">
        <w:t>on</w:t>
      </w:r>
      <w:r>
        <w:t xml:space="preserve"> GSVA scores of commonly co-expressed gene sets S01</w:t>
      </w:r>
      <w:r w:rsidR="00B62342">
        <w:t>,</w:t>
      </w:r>
      <w:r>
        <w:t xml:space="preserve"> S0</w:t>
      </w:r>
      <w:r w:rsidR="00B62342">
        <w:t xml:space="preserve">8, S09, S14, </w:t>
      </w:r>
      <w:r w:rsidR="006E5189">
        <w:t xml:space="preserve">S18, </w:t>
      </w:r>
      <w:r w:rsidR="00B62342">
        <w:t>S45</w:t>
      </w:r>
      <w:r>
        <w:t>.</w:t>
      </w:r>
      <w:r w:rsidR="00B62342">
        <w:t xml:space="preserve"> </w:t>
      </w:r>
      <w:r w:rsidR="007E6624">
        <w:t xml:space="preserve">High expressions of these gene sets are </w:t>
      </w:r>
      <w:r w:rsidR="00B57F0D">
        <w:t>correlated</w:t>
      </w:r>
      <w:r w:rsidR="007E6624">
        <w:t xml:space="preserve"> with favorable prognosis</w:t>
      </w:r>
      <w:r w:rsidR="00025A22">
        <w:t xml:space="preserve"> in all the 7 cancer types</w:t>
      </w:r>
      <w:r w:rsidR="007E6624">
        <w:t>.</w:t>
      </w:r>
      <w:r w:rsidR="00DE76EE">
        <w:t xml:space="preserve"> </w:t>
      </w:r>
    </w:p>
    <w:p w14:paraId="3B523A07" w14:textId="56CF9B4E" w:rsidR="00DD202A" w:rsidRDefault="00BC06DA" w:rsidP="0035236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99D560F" wp14:editId="626EFC3D">
            <wp:extent cx="6645600" cy="770668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770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D820CA" wp14:editId="6DE1C95D">
            <wp:extent cx="6645910" cy="55518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5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5F5CB" w14:textId="2F33739E" w:rsidR="00BC06DA" w:rsidRDefault="00BC06DA" w:rsidP="0035236D">
      <w:pPr>
        <w:widowControl/>
        <w:jc w:val="left"/>
      </w:pPr>
    </w:p>
    <w:p w14:paraId="63E74C70" w14:textId="4FE61BD0" w:rsidR="00BC06DA" w:rsidRPr="00514251" w:rsidRDefault="00BC06DA" w:rsidP="00DA01DA">
      <w:r>
        <w:t xml:space="preserve">Figure S4. Cell cycle related gene sets. </w:t>
      </w:r>
      <w:r w:rsidRPr="002C1409">
        <w:rPr>
          <w:b/>
          <w:bCs/>
        </w:rPr>
        <w:t>a</w:t>
      </w:r>
      <w:r>
        <w:t>: GSVA scores of commonly co-expressed gene sets S04, S10, S37, S58 in tissues from 7 organs. GTEx: GTEx non-tumor samples.</w:t>
      </w:r>
      <w:r w:rsidR="00C773CA">
        <w:t xml:space="preserve"> </w:t>
      </w:r>
      <w:r>
        <w:t xml:space="preserve">TCGA.A_A: adjacent samples of TCGA patients. TCGA.A_T: corresponding TCGA tumor samples from patients with adjacent tissues. Adjacent samples and tumor samples from the same patients are connected with a solid line. TCGA.T_T: tumor samples from tumor only TCGA patients. </w:t>
      </w:r>
      <w:r w:rsidR="00C773CA">
        <w:t>Two-tailed Wilcoxon test is applied.</w:t>
      </w:r>
      <w:r>
        <w:t xml:space="preserve"> </w:t>
      </w:r>
      <w:r>
        <w:rPr>
          <w:b/>
          <w:bCs/>
        </w:rPr>
        <w:t>b</w:t>
      </w:r>
      <w:r>
        <w:t xml:space="preserve">: Survival analysis based on GSVA scores of S04, S10, S37, S58. </w:t>
      </w:r>
      <w:r>
        <w:rPr>
          <w:b/>
          <w:bCs/>
        </w:rPr>
        <w:t>c</w:t>
      </w:r>
      <w:r>
        <w:t xml:space="preserve">: PPI networks of S04, S10, S37, S58. </w:t>
      </w:r>
      <w:r w:rsidR="00D95625">
        <w:rPr>
          <w:b/>
          <w:bCs/>
        </w:rPr>
        <w:t>d</w:t>
      </w:r>
      <w:r>
        <w:t xml:space="preserve">: Survival analysis on expressions of </w:t>
      </w:r>
      <w:r w:rsidRPr="00C773CA">
        <w:rPr>
          <w:i/>
          <w:iCs/>
        </w:rPr>
        <w:t>CEP55</w:t>
      </w:r>
      <w:r>
        <w:t xml:space="preserve">, </w:t>
      </w:r>
      <w:r w:rsidRPr="00C773CA">
        <w:rPr>
          <w:i/>
          <w:iCs/>
        </w:rPr>
        <w:t>RACGAP1</w:t>
      </w:r>
      <w:r>
        <w:t xml:space="preserve">, </w:t>
      </w:r>
      <w:r w:rsidRPr="00C773CA">
        <w:rPr>
          <w:i/>
          <w:iCs/>
        </w:rPr>
        <w:t>CDCA2</w:t>
      </w:r>
      <w:r>
        <w:t xml:space="preserve">, </w:t>
      </w:r>
      <w:r w:rsidRPr="00C773CA">
        <w:rPr>
          <w:i/>
          <w:iCs/>
        </w:rPr>
        <w:t>UBE2C</w:t>
      </w:r>
      <w:r>
        <w:t>, which</w:t>
      </w:r>
      <w:r w:rsidR="000E4A3B">
        <w:t xml:space="preserve"> belong to</w:t>
      </w:r>
      <w:r w:rsidR="00CA3CD9">
        <w:t xml:space="preserve"> S04, S10, S37, S58, respectively.</w:t>
      </w:r>
      <w:r w:rsidR="00F32BB3">
        <w:t xml:space="preserve"> </w:t>
      </w:r>
    </w:p>
    <w:sectPr w:rsidR="00BC06DA" w:rsidRPr="00514251" w:rsidSect="00BC06D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CFD7C" w14:textId="77777777" w:rsidR="00A62F4C" w:rsidRDefault="00A62F4C" w:rsidP="00B668B1">
      <w:r>
        <w:separator/>
      </w:r>
    </w:p>
  </w:endnote>
  <w:endnote w:type="continuationSeparator" w:id="0">
    <w:p w14:paraId="76117969" w14:textId="77777777" w:rsidR="00A62F4C" w:rsidRDefault="00A62F4C" w:rsidP="00B66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F5629" w14:textId="77777777" w:rsidR="00A62F4C" w:rsidRDefault="00A62F4C" w:rsidP="00B668B1">
      <w:r>
        <w:separator/>
      </w:r>
    </w:p>
  </w:footnote>
  <w:footnote w:type="continuationSeparator" w:id="0">
    <w:p w14:paraId="389852C3" w14:textId="77777777" w:rsidR="00A62F4C" w:rsidRDefault="00A62F4C" w:rsidP="00B668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DA6B6" w14:textId="77777777" w:rsidR="00FC2DC3" w:rsidRDefault="00FC2DC3" w:rsidP="00FC2DC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30DF6" w14:textId="77777777" w:rsidR="00FC2DC3" w:rsidRDefault="00FC2DC3" w:rsidP="00FC2DC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285"/>
    <w:rsid w:val="00025A22"/>
    <w:rsid w:val="0004576E"/>
    <w:rsid w:val="000475AE"/>
    <w:rsid w:val="00050C7D"/>
    <w:rsid w:val="00071B4C"/>
    <w:rsid w:val="00095830"/>
    <w:rsid w:val="000A3D9F"/>
    <w:rsid w:val="000B191B"/>
    <w:rsid w:val="000E4A3B"/>
    <w:rsid w:val="00107B0E"/>
    <w:rsid w:val="0017295A"/>
    <w:rsid w:val="00183FD1"/>
    <w:rsid w:val="001921D6"/>
    <w:rsid w:val="00193184"/>
    <w:rsid w:val="001A5813"/>
    <w:rsid w:val="001D09E4"/>
    <w:rsid w:val="001D3E77"/>
    <w:rsid w:val="001E4913"/>
    <w:rsid w:val="001F513C"/>
    <w:rsid w:val="002417DF"/>
    <w:rsid w:val="002737A5"/>
    <w:rsid w:val="002B7BF8"/>
    <w:rsid w:val="002E26AB"/>
    <w:rsid w:val="00323384"/>
    <w:rsid w:val="00335633"/>
    <w:rsid w:val="0035236D"/>
    <w:rsid w:val="00355543"/>
    <w:rsid w:val="003B57D9"/>
    <w:rsid w:val="003C5577"/>
    <w:rsid w:val="00400C14"/>
    <w:rsid w:val="00415AC7"/>
    <w:rsid w:val="00423413"/>
    <w:rsid w:val="004251DD"/>
    <w:rsid w:val="00425FF9"/>
    <w:rsid w:val="00441DF1"/>
    <w:rsid w:val="004519AA"/>
    <w:rsid w:val="00464156"/>
    <w:rsid w:val="0048797B"/>
    <w:rsid w:val="00495CEB"/>
    <w:rsid w:val="00514251"/>
    <w:rsid w:val="005407A4"/>
    <w:rsid w:val="0058090A"/>
    <w:rsid w:val="00582AF3"/>
    <w:rsid w:val="00593F9E"/>
    <w:rsid w:val="005C6A3E"/>
    <w:rsid w:val="005E0B7C"/>
    <w:rsid w:val="005F09D3"/>
    <w:rsid w:val="00616285"/>
    <w:rsid w:val="00650F7F"/>
    <w:rsid w:val="00664496"/>
    <w:rsid w:val="0067106A"/>
    <w:rsid w:val="00675556"/>
    <w:rsid w:val="006835E2"/>
    <w:rsid w:val="00685E05"/>
    <w:rsid w:val="006B5E54"/>
    <w:rsid w:val="006D2437"/>
    <w:rsid w:val="006E0D13"/>
    <w:rsid w:val="006E5189"/>
    <w:rsid w:val="006F6A81"/>
    <w:rsid w:val="00732C83"/>
    <w:rsid w:val="00773E42"/>
    <w:rsid w:val="007A0A5B"/>
    <w:rsid w:val="007B2BEA"/>
    <w:rsid w:val="007D1808"/>
    <w:rsid w:val="007E6624"/>
    <w:rsid w:val="0080032A"/>
    <w:rsid w:val="00806448"/>
    <w:rsid w:val="008327CB"/>
    <w:rsid w:val="00861FA3"/>
    <w:rsid w:val="008C3D16"/>
    <w:rsid w:val="008C6FB4"/>
    <w:rsid w:val="008F00F2"/>
    <w:rsid w:val="0091635B"/>
    <w:rsid w:val="00942E35"/>
    <w:rsid w:val="00942F17"/>
    <w:rsid w:val="009605CF"/>
    <w:rsid w:val="009F3D5D"/>
    <w:rsid w:val="009F4B41"/>
    <w:rsid w:val="00A35CB5"/>
    <w:rsid w:val="00A62F4C"/>
    <w:rsid w:val="00A77063"/>
    <w:rsid w:val="00AA3DEA"/>
    <w:rsid w:val="00AB0DCF"/>
    <w:rsid w:val="00AB7BBC"/>
    <w:rsid w:val="00AC214A"/>
    <w:rsid w:val="00AC33A8"/>
    <w:rsid w:val="00B218AD"/>
    <w:rsid w:val="00B37473"/>
    <w:rsid w:val="00B57F0D"/>
    <w:rsid w:val="00B62342"/>
    <w:rsid w:val="00B668B1"/>
    <w:rsid w:val="00B73BE6"/>
    <w:rsid w:val="00BC06DA"/>
    <w:rsid w:val="00BC2642"/>
    <w:rsid w:val="00BC2BF2"/>
    <w:rsid w:val="00C61378"/>
    <w:rsid w:val="00C72E9A"/>
    <w:rsid w:val="00C773CA"/>
    <w:rsid w:val="00C77BFF"/>
    <w:rsid w:val="00CA2C18"/>
    <w:rsid w:val="00CA3CD9"/>
    <w:rsid w:val="00CA64C8"/>
    <w:rsid w:val="00CD4D9E"/>
    <w:rsid w:val="00CE6FCD"/>
    <w:rsid w:val="00D473E8"/>
    <w:rsid w:val="00D61B42"/>
    <w:rsid w:val="00D82B7E"/>
    <w:rsid w:val="00D87F5C"/>
    <w:rsid w:val="00D95625"/>
    <w:rsid w:val="00DA01DA"/>
    <w:rsid w:val="00DB49D5"/>
    <w:rsid w:val="00DD202A"/>
    <w:rsid w:val="00DD5A36"/>
    <w:rsid w:val="00DE76EE"/>
    <w:rsid w:val="00E04CB1"/>
    <w:rsid w:val="00E56A28"/>
    <w:rsid w:val="00E60E35"/>
    <w:rsid w:val="00E67202"/>
    <w:rsid w:val="00E85D58"/>
    <w:rsid w:val="00E962CF"/>
    <w:rsid w:val="00EA3C35"/>
    <w:rsid w:val="00EA5862"/>
    <w:rsid w:val="00EB1C77"/>
    <w:rsid w:val="00EF1F13"/>
    <w:rsid w:val="00EF60D2"/>
    <w:rsid w:val="00F224F5"/>
    <w:rsid w:val="00F261DB"/>
    <w:rsid w:val="00F32BB3"/>
    <w:rsid w:val="00F361B8"/>
    <w:rsid w:val="00F412F6"/>
    <w:rsid w:val="00F41397"/>
    <w:rsid w:val="00F56288"/>
    <w:rsid w:val="00F762EE"/>
    <w:rsid w:val="00FB6BC4"/>
    <w:rsid w:val="00FC2139"/>
    <w:rsid w:val="00FC2DC3"/>
    <w:rsid w:val="00FC51D2"/>
    <w:rsid w:val="00FC774C"/>
    <w:rsid w:val="00FE24BF"/>
    <w:rsid w:val="00FE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37C27"/>
  <w14:defaultImageDpi w14:val="330"/>
  <w15:chartTrackingRefBased/>
  <w15:docId w15:val="{16BAEF7E-DC0D-4872-B577-94F7061AB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8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8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60101-2A28-4760-92C9-ACA156F34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1119</TotalTime>
  <Pages>7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孙炎(Yan Sun)</dc:creator>
  <cp:keywords/>
  <dc:description/>
  <cp:lastModifiedBy>炎 孙</cp:lastModifiedBy>
  <cp:revision>85</cp:revision>
  <cp:lastPrinted>2023-08-03T09:11:00Z</cp:lastPrinted>
  <dcterms:created xsi:type="dcterms:W3CDTF">2023-07-24T01:41:00Z</dcterms:created>
  <dcterms:modified xsi:type="dcterms:W3CDTF">2024-03-19T05:55:00Z</dcterms:modified>
</cp:coreProperties>
</file>