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ECF55" w14:textId="77777777" w:rsidR="00FC7B6B" w:rsidRPr="00FD0972" w:rsidRDefault="00FC7B6B" w:rsidP="00FC7B6B">
      <w:pPr>
        <w:spacing w:line="360" w:lineRule="auto"/>
        <w:rPr>
          <w:rFonts w:ascii="Times" w:hAnsi="Times"/>
          <w:b/>
          <w:bCs/>
          <w:color w:val="000000" w:themeColor="text1"/>
          <w:kern w:val="2"/>
        </w:rPr>
      </w:pPr>
      <w:r w:rsidRPr="00FD0972">
        <w:rPr>
          <w:rFonts w:ascii="Times" w:hAnsi="Times"/>
          <w:b/>
          <w:bCs/>
          <w:color w:val="000000" w:themeColor="text1"/>
          <w:kern w:val="2"/>
        </w:rPr>
        <w:t>Supplementary Figure 1</w:t>
      </w:r>
    </w:p>
    <w:p w14:paraId="2FC4CAFE" w14:textId="77777777" w:rsidR="00FC7B6B" w:rsidRDefault="00FC7B6B" w:rsidP="00FC7B6B">
      <w:pPr>
        <w:spacing w:line="360" w:lineRule="auto"/>
        <w:rPr>
          <w:rFonts w:ascii="Times" w:hAnsi="Times"/>
          <w:color w:val="000000" w:themeColor="text1"/>
          <w:kern w:val="2"/>
        </w:rPr>
      </w:pPr>
      <w:r>
        <w:rPr>
          <w:rFonts w:ascii="Times" w:hAnsi="Times"/>
          <w:color w:val="000000" w:themeColor="text1"/>
          <w:kern w:val="2"/>
        </w:rPr>
        <w:t>A</w:t>
      </w:r>
      <w:r w:rsidRPr="00FD0972">
        <w:rPr>
          <w:rFonts w:ascii="Times" w:hAnsi="Times"/>
          <w:color w:val="000000" w:themeColor="text1"/>
          <w:kern w:val="2"/>
        </w:rPr>
        <w:t xml:space="preserve">. A list of the digested peptides that covered the NNMT protein sequence. </w:t>
      </w:r>
      <w:r>
        <w:rPr>
          <w:rFonts w:ascii="Times" w:hAnsi="Times"/>
          <w:color w:val="000000" w:themeColor="text1"/>
          <w:kern w:val="2"/>
        </w:rPr>
        <w:t>B</w:t>
      </w:r>
      <w:r w:rsidRPr="00FD0972">
        <w:rPr>
          <w:rFonts w:ascii="Times" w:hAnsi="Times"/>
          <w:color w:val="000000" w:themeColor="text1"/>
          <w:kern w:val="2"/>
        </w:rPr>
        <w:t>. The digested peptides covered 51% of the NNMT protein sequence.</w:t>
      </w:r>
    </w:p>
    <w:p w14:paraId="2BAC4752" w14:textId="77777777" w:rsidR="00FC7B6B" w:rsidRPr="00FD0972" w:rsidRDefault="00FC7B6B" w:rsidP="00FC7B6B">
      <w:pPr>
        <w:spacing w:line="360" w:lineRule="auto"/>
        <w:rPr>
          <w:rFonts w:ascii="Times" w:hAnsi="Times"/>
          <w:b/>
          <w:bCs/>
          <w:color w:val="000000" w:themeColor="text1"/>
          <w:kern w:val="2"/>
        </w:rPr>
      </w:pPr>
      <w:r w:rsidRPr="00FD0972">
        <w:rPr>
          <w:rFonts w:ascii="Times" w:hAnsi="Times"/>
          <w:b/>
          <w:bCs/>
          <w:color w:val="000000" w:themeColor="text1"/>
          <w:kern w:val="2"/>
        </w:rPr>
        <w:t xml:space="preserve">Supplementary Figure </w:t>
      </w:r>
      <w:r>
        <w:rPr>
          <w:rFonts w:ascii="Times" w:hAnsi="Times"/>
          <w:b/>
          <w:bCs/>
          <w:color w:val="000000" w:themeColor="text1"/>
          <w:kern w:val="2"/>
        </w:rPr>
        <w:t>2</w:t>
      </w:r>
    </w:p>
    <w:p w14:paraId="053B79E6" w14:textId="0B38CE7D" w:rsidR="00F35240" w:rsidRDefault="00FC7B6B" w:rsidP="00FC7B6B">
      <w:pPr>
        <w:rPr>
          <w:rFonts w:ascii="Times" w:hAnsi="Times"/>
          <w:color w:val="000000" w:themeColor="text1"/>
          <w:kern w:val="2"/>
        </w:rPr>
      </w:pPr>
      <w:r w:rsidRPr="00564C6D">
        <w:rPr>
          <w:rFonts w:ascii="Times" w:hAnsi="Times"/>
          <w:color w:val="000000" w:themeColor="text1"/>
          <w:kern w:val="2"/>
        </w:rPr>
        <w:t xml:space="preserve"> A representative gel image of 2D-DIGE is shown. </w:t>
      </w:r>
      <w:r>
        <w:rPr>
          <w:rFonts w:ascii="Times" w:hAnsi="Times"/>
          <w:color w:val="000000" w:themeColor="text1"/>
          <w:kern w:val="2"/>
        </w:rPr>
        <w:t xml:space="preserve">A. </w:t>
      </w:r>
      <w:r w:rsidRPr="00564C6D">
        <w:rPr>
          <w:rFonts w:ascii="Times" w:hAnsi="Times"/>
          <w:color w:val="000000" w:themeColor="text1"/>
          <w:kern w:val="2"/>
        </w:rPr>
        <w:t xml:space="preserve">The protein from </w:t>
      </w:r>
      <w:r>
        <w:rPr>
          <w:rFonts w:ascii="Times" w:hAnsi="Times"/>
          <w:color w:val="000000" w:themeColor="text1"/>
          <w:kern w:val="2"/>
        </w:rPr>
        <w:t>KK</w:t>
      </w:r>
      <w:r w:rsidRPr="00564C6D">
        <w:rPr>
          <w:rFonts w:ascii="Times" w:hAnsi="Times"/>
          <w:color w:val="000000" w:themeColor="text1"/>
          <w:kern w:val="2"/>
        </w:rPr>
        <w:t xml:space="preserve"> and OVMANA cells were labeled with Cy3 (green) and Cy5 (red), respectively. The red protein spot contained NNMT</w:t>
      </w:r>
    </w:p>
    <w:p w14:paraId="6387B48D" w14:textId="28805C48" w:rsidR="00FC7B6B" w:rsidRPr="00FD0972" w:rsidRDefault="00FC7B6B" w:rsidP="00FC7B6B">
      <w:pPr>
        <w:spacing w:line="360" w:lineRule="auto"/>
        <w:rPr>
          <w:rFonts w:ascii="Times" w:hAnsi="Times"/>
          <w:b/>
          <w:bCs/>
          <w:color w:val="000000" w:themeColor="text1"/>
          <w:kern w:val="2"/>
        </w:rPr>
      </w:pPr>
      <w:r w:rsidRPr="00FD0972">
        <w:rPr>
          <w:rFonts w:ascii="Times" w:hAnsi="Times"/>
          <w:b/>
          <w:bCs/>
          <w:color w:val="000000" w:themeColor="text1"/>
          <w:kern w:val="2"/>
        </w:rPr>
        <w:t xml:space="preserve">Supplementary Figure </w:t>
      </w:r>
      <w:r>
        <w:rPr>
          <w:rFonts w:ascii="Times" w:hAnsi="Times"/>
          <w:b/>
          <w:bCs/>
          <w:color w:val="000000" w:themeColor="text1"/>
          <w:kern w:val="2"/>
        </w:rPr>
        <w:t>3</w:t>
      </w:r>
    </w:p>
    <w:p w14:paraId="3C26AE83" w14:textId="77777777" w:rsidR="00FC7B6B" w:rsidRDefault="00FC7B6B" w:rsidP="00FC7B6B">
      <w:pPr>
        <w:spacing w:line="360" w:lineRule="auto"/>
        <w:rPr>
          <w:rFonts w:ascii="Times" w:hAnsi="Times"/>
          <w:color w:val="000000" w:themeColor="text1"/>
          <w:kern w:val="2"/>
        </w:rPr>
      </w:pPr>
      <w:r w:rsidRPr="00733F90">
        <w:rPr>
          <w:rFonts w:ascii="Times" w:hAnsi="Times"/>
          <w:color w:val="000000" w:themeColor="text1"/>
          <w:kern w:val="2"/>
        </w:rPr>
        <w:t xml:space="preserve">We investigated changes in paclitaxel sensitivity after NNMT overexpression </w:t>
      </w:r>
      <w:r w:rsidRPr="00733F90">
        <w:rPr>
          <w:rFonts w:ascii="Times" w:eastAsia="Yu Mincho" w:hAnsi="Times" w:cs="Calibri"/>
          <w:color w:val="000000" w:themeColor="text1"/>
          <w:kern w:val="2"/>
        </w:rPr>
        <w:t>in</w:t>
      </w:r>
      <w:r w:rsidRPr="00733F90">
        <w:rPr>
          <w:rFonts w:ascii="Times" w:hAnsi="Times"/>
          <w:color w:val="000000" w:themeColor="text1"/>
          <w:kern w:val="2"/>
        </w:rPr>
        <w:t xml:space="preserve"> ES-2 </w:t>
      </w:r>
      <w:r w:rsidRPr="00733F90">
        <w:rPr>
          <w:rFonts w:ascii="Times" w:eastAsia="Yu Mincho" w:hAnsi="Times" w:cs="Calibri"/>
          <w:color w:val="000000" w:themeColor="text1"/>
          <w:kern w:val="2"/>
        </w:rPr>
        <w:t xml:space="preserve">cells </w:t>
      </w:r>
      <w:r w:rsidRPr="00733F90">
        <w:rPr>
          <w:rFonts w:ascii="Times" w:hAnsi="Times"/>
          <w:color w:val="000000" w:themeColor="text1"/>
          <w:kern w:val="2"/>
        </w:rPr>
        <w:t xml:space="preserve">using the WST-8 assay. A. </w:t>
      </w:r>
      <w:r w:rsidRPr="002B623C">
        <w:rPr>
          <w:rFonts w:ascii="Times" w:hAnsi="Times"/>
          <w:color w:val="000000" w:themeColor="text1"/>
          <w:kern w:val="2"/>
        </w:rPr>
        <w:t>Paclitaxel IC50</w:t>
      </w:r>
      <w:r w:rsidRPr="00733F90">
        <w:rPr>
          <w:rFonts w:ascii="Times" w:hAnsi="Times"/>
          <w:color w:val="000000" w:themeColor="text1"/>
          <w:kern w:val="2"/>
        </w:rPr>
        <w:t xml:space="preserve"> </w:t>
      </w:r>
      <w:r w:rsidRPr="00733F90">
        <w:rPr>
          <w:rFonts w:ascii="Times" w:eastAsia="Yu Mincho" w:hAnsi="Times" w:cs="Calibri"/>
          <w:color w:val="000000" w:themeColor="text1"/>
          <w:kern w:val="2"/>
        </w:rPr>
        <w:t>in the</w:t>
      </w:r>
      <w:r w:rsidRPr="00733F90">
        <w:rPr>
          <w:rFonts w:ascii="Times" w:hAnsi="Times"/>
          <w:color w:val="000000" w:themeColor="text1"/>
          <w:kern w:val="2"/>
        </w:rPr>
        <w:t xml:space="preserve"> NNMT overexpressing </w:t>
      </w:r>
      <w:r w:rsidRPr="00733F90">
        <w:rPr>
          <w:rFonts w:ascii="Times" w:eastAsia="Yu Mincho" w:hAnsi="Times" w:cs="Calibri"/>
          <w:color w:val="000000" w:themeColor="text1"/>
          <w:kern w:val="2"/>
        </w:rPr>
        <w:t>viable</w:t>
      </w:r>
      <w:r w:rsidRPr="00733F90">
        <w:rPr>
          <w:rFonts w:ascii="Times" w:hAnsi="Times"/>
          <w:color w:val="000000" w:themeColor="text1"/>
          <w:kern w:val="2"/>
        </w:rPr>
        <w:t xml:space="preserve"> ES-2 </w:t>
      </w:r>
      <w:r w:rsidRPr="00733F90">
        <w:rPr>
          <w:rFonts w:ascii="Times" w:eastAsia="Yu Mincho" w:hAnsi="Times" w:cs="Calibri"/>
          <w:color w:val="000000" w:themeColor="text1"/>
          <w:kern w:val="2"/>
        </w:rPr>
        <w:t>cells was</w:t>
      </w:r>
      <w:r w:rsidRPr="00733F90">
        <w:rPr>
          <w:rFonts w:ascii="Times" w:hAnsi="Times"/>
          <w:color w:val="000000" w:themeColor="text1"/>
          <w:kern w:val="2"/>
        </w:rPr>
        <w:t xml:space="preserve"> not significantly higher than that of ES-2 </w:t>
      </w:r>
      <w:bookmarkStart w:id="0" w:name="_Hlk123316715"/>
      <w:r w:rsidRPr="00733F90">
        <w:rPr>
          <w:rFonts w:ascii="Times" w:hAnsi="Times"/>
          <w:color w:val="000000" w:themeColor="text1"/>
          <w:kern w:val="2"/>
        </w:rPr>
        <w:t>transfected</w:t>
      </w:r>
      <w:bookmarkEnd w:id="0"/>
      <w:r w:rsidRPr="00733F90">
        <w:rPr>
          <w:rFonts w:ascii="Times" w:hAnsi="Times"/>
          <w:color w:val="000000" w:themeColor="text1"/>
          <w:kern w:val="2"/>
        </w:rPr>
        <w:t xml:space="preserve"> with empty vector (pCMV vector) (</w:t>
      </w:r>
      <w:r w:rsidRPr="00733F90">
        <w:rPr>
          <w:rFonts w:ascii="Times" w:hAnsi="Times"/>
          <w:i/>
          <w:color w:val="000000" w:themeColor="text1"/>
          <w:kern w:val="2"/>
        </w:rPr>
        <w:t>p</w:t>
      </w:r>
      <w:r w:rsidRPr="00733F90">
        <w:rPr>
          <w:rFonts w:ascii="Times" w:hAnsi="Times"/>
          <w:color w:val="000000" w:themeColor="text1"/>
          <w:kern w:val="2"/>
        </w:rPr>
        <w:t xml:space="preserve"> = 0.</w:t>
      </w:r>
      <w:r>
        <w:rPr>
          <w:rFonts w:ascii="Times" w:hAnsi="Times"/>
          <w:color w:val="000000" w:themeColor="text1"/>
          <w:kern w:val="2"/>
        </w:rPr>
        <w:t>360</w:t>
      </w:r>
      <w:r w:rsidRPr="00733F90">
        <w:rPr>
          <w:rFonts w:ascii="Times" w:hAnsi="Times"/>
          <w:color w:val="000000" w:themeColor="text1"/>
          <w:kern w:val="2"/>
        </w:rPr>
        <w:t xml:space="preserve">, </w:t>
      </w:r>
      <w:r>
        <w:rPr>
          <w:rFonts w:ascii="Times" w:hAnsi="Times"/>
          <w:color w:val="000000" w:themeColor="text1"/>
          <w:kern w:val="2"/>
        </w:rPr>
        <w:t>student</w:t>
      </w:r>
      <w:r w:rsidRPr="00733F90">
        <w:rPr>
          <w:rFonts w:ascii="Times" w:hAnsi="Times"/>
          <w:color w:val="000000" w:themeColor="text1"/>
          <w:kern w:val="2"/>
        </w:rPr>
        <w:t xml:space="preserve"> </w:t>
      </w:r>
      <w:r w:rsidRPr="00733F90">
        <w:rPr>
          <w:rFonts w:ascii="Times" w:hAnsi="Times"/>
          <w:i/>
          <w:color w:val="000000" w:themeColor="text1"/>
          <w:kern w:val="2"/>
        </w:rPr>
        <w:t>t</w:t>
      </w:r>
      <w:r w:rsidRPr="00733F90">
        <w:rPr>
          <w:rFonts w:ascii="Times" w:hAnsi="Times"/>
          <w:color w:val="000000" w:themeColor="text1"/>
          <w:kern w:val="2"/>
        </w:rPr>
        <w:t xml:space="preserve">-test). B. Western blot analysis showed </w:t>
      </w:r>
      <w:r w:rsidRPr="00733F90">
        <w:rPr>
          <w:rFonts w:ascii="Times" w:eastAsia="Yu Mincho" w:hAnsi="Times" w:cs="Calibri"/>
          <w:color w:val="000000" w:themeColor="text1"/>
          <w:kern w:val="2"/>
        </w:rPr>
        <w:t>the</w:t>
      </w:r>
      <w:r w:rsidRPr="00733F90">
        <w:rPr>
          <w:rFonts w:ascii="Times" w:hAnsi="Times"/>
          <w:color w:val="000000" w:themeColor="text1"/>
          <w:kern w:val="2"/>
        </w:rPr>
        <w:t xml:space="preserve"> increased expression of NNMT protein in ES-2 </w:t>
      </w:r>
      <w:r w:rsidRPr="00733F90">
        <w:rPr>
          <w:rFonts w:ascii="Times" w:eastAsia="Yu Mincho" w:hAnsi="Times" w:cs="Calibri"/>
          <w:color w:val="000000" w:themeColor="text1"/>
          <w:kern w:val="2"/>
        </w:rPr>
        <w:t xml:space="preserve">cells </w:t>
      </w:r>
      <w:r w:rsidRPr="00733F90">
        <w:rPr>
          <w:rFonts w:ascii="Times" w:hAnsi="Times"/>
          <w:color w:val="000000" w:themeColor="text1"/>
          <w:kern w:val="2"/>
        </w:rPr>
        <w:t>in the NNMT overexpression group compared to the empty vector</w:t>
      </w:r>
      <w:r w:rsidRPr="00733F90">
        <w:rPr>
          <w:rFonts w:ascii="Times" w:eastAsia="Yu Mincho" w:hAnsi="Times" w:cs="Calibri"/>
          <w:color w:val="000000" w:themeColor="text1"/>
          <w:kern w:val="2"/>
        </w:rPr>
        <w:t>-</w:t>
      </w:r>
      <w:r w:rsidRPr="00733F90">
        <w:rPr>
          <w:rFonts w:ascii="Times" w:hAnsi="Times"/>
          <w:color w:val="000000" w:themeColor="text1"/>
          <w:kern w:val="2"/>
        </w:rPr>
        <w:t>transfected group.</w:t>
      </w:r>
    </w:p>
    <w:p w14:paraId="71EFC956" w14:textId="77777777" w:rsidR="00FC7B6B" w:rsidRDefault="00FC7B6B" w:rsidP="00FC7B6B"/>
    <w:sectPr w:rsidR="00FC7B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B6B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  <w:rsid w:val="00FC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2300A"/>
  <w15:chartTrackingRefBased/>
  <w15:docId w15:val="{6D494F8A-88D4-4B55-B61F-D94D164C6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B6B"/>
    <w:pPr>
      <w:spacing w:after="200" w:line="276" w:lineRule="auto"/>
    </w:pPr>
    <w:rPr>
      <w:rFonts w:eastAsiaTheme="minorEastAsia"/>
      <w:kern w:val="0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733</Characters>
  <Application>Microsoft Office Word</Application>
  <DocSecurity>0</DocSecurity>
  <Lines>6</Lines>
  <Paragraphs>1</Paragraphs>
  <ScaleCrop>false</ScaleCrop>
  <Company>Springer Nature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2024-04-23T06:31:00Z</dcterms:created>
  <dcterms:modified xsi:type="dcterms:W3CDTF">2024-04-23T06:31:00Z</dcterms:modified>
</cp:coreProperties>
</file>