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C87A" w14:textId="6255F9C3" w:rsidR="00D84882" w:rsidRPr="002B1954" w:rsidRDefault="7579AF4D" w:rsidP="7579AF4D">
      <w:pPr>
        <w:rPr>
          <w:rFonts w:eastAsia="Calibri" w:cs="Calibri"/>
          <w:b/>
          <w:bCs/>
        </w:rPr>
      </w:pPr>
      <w:r w:rsidRPr="002B1954">
        <w:rPr>
          <w:rFonts w:eastAsia="Calibri" w:cs="Calibri"/>
          <w:b/>
          <w:bCs/>
        </w:rPr>
        <w:t>Supplement 1</w:t>
      </w:r>
    </w:p>
    <w:p w14:paraId="67021DA7" w14:textId="54F75EB2" w:rsidR="7579AF4D" w:rsidRDefault="7579AF4D" w:rsidP="7579AF4D">
      <w:pPr>
        <w:spacing w:after="120" w:line="360" w:lineRule="auto"/>
        <w:rPr>
          <w:rFonts w:ascii="Calibri" w:eastAsia="Calibri" w:hAnsi="Calibri" w:cs="Calibri"/>
          <w:b/>
          <w:bCs/>
          <w:color w:val="000000" w:themeColor="text1"/>
        </w:rPr>
      </w:pPr>
    </w:p>
    <w:p w14:paraId="651F3812" w14:textId="77777777" w:rsidR="000B4F21" w:rsidRPr="002B1954" w:rsidRDefault="7579AF4D" w:rsidP="7579AF4D">
      <w:pPr>
        <w:spacing w:after="120" w:line="360" w:lineRule="auto"/>
        <w:rPr>
          <w:rFonts w:eastAsia="Calibri" w:cs="Calibri"/>
          <w:b/>
          <w:bCs/>
          <w:color w:val="000000" w:themeColor="text1"/>
        </w:rPr>
      </w:pPr>
      <w:r w:rsidRPr="002B1954">
        <w:rPr>
          <w:rFonts w:eastAsia="Calibri" w:cs="Calibri"/>
          <w:b/>
          <w:bCs/>
          <w:color w:val="000000" w:themeColor="text1"/>
        </w:rPr>
        <w:t>Statistical methods</w:t>
      </w:r>
    </w:p>
    <w:p w14:paraId="27652CE6" w14:textId="3B62BC0D" w:rsidR="7579AF4D" w:rsidRDefault="4A25A07E" w:rsidP="7579AF4D">
      <w:pPr>
        <w:jc w:val="both"/>
        <w:rPr>
          <w:rFonts w:ascii="Calibri" w:eastAsia="Calibri" w:hAnsi="Calibri" w:cs="Calibri"/>
          <w:color w:val="000000" w:themeColor="text1"/>
        </w:rPr>
      </w:pPr>
      <w:r w:rsidRPr="002B1954">
        <w:rPr>
          <w:rFonts w:eastAsia="Calibri" w:cs="Calibri"/>
          <w:color w:val="000000" w:themeColor="text1"/>
        </w:rPr>
        <w:t xml:space="preserve">The incidence rates of invasive breast cancer (BCI) for the Dayton study are reported as an unadjusted, un-weighted value of newly diagnosed cases. The Dayton BCI was calculated as described by equation (1), where N is the number of breast cancer cases observed in the Dayton study, and </w:t>
      </w:r>
      <w:proofErr w:type="spellStart"/>
      <w:r w:rsidRPr="002B1954">
        <w:rPr>
          <w:rFonts w:eastAsia="Calibri" w:cs="Calibri"/>
          <w:color w:val="000000" w:themeColor="text1"/>
        </w:rPr>
        <w:t>y</w:t>
      </w:r>
      <w:r w:rsidRPr="002B1954">
        <w:rPr>
          <w:rFonts w:eastAsia="Calibri" w:cs="Calibri"/>
          <w:color w:val="000000" w:themeColor="text1"/>
          <w:vertAlign w:val="subscript"/>
        </w:rPr>
        <w:t>i</w:t>
      </w:r>
      <w:proofErr w:type="spellEnd"/>
      <w:r w:rsidRPr="002B1954">
        <w:rPr>
          <w:rFonts w:eastAsia="Calibri" w:cs="Calibri"/>
          <w:color w:val="000000" w:themeColor="text1"/>
        </w:rPr>
        <w:t xml:space="preserve"> the person-time observed for age group </w:t>
      </w:r>
      <w:proofErr w:type="spellStart"/>
      <w:r w:rsidRPr="002B1954">
        <w:rPr>
          <w:rFonts w:eastAsia="Calibri" w:cs="Calibri"/>
          <w:color w:val="000000" w:themeColor="text1"/>
        </w:rPr>
        <w:t>i</w:t>
      </w:r>
      <w:proofErr w:type="spellEnd"/>
      <w:r w:rsidRPr="002B1954">
        <w:rPr>
          <w:rFonts w:eastAsia="Calibri" w:cs="Calibri"/>
          <w:color w:val="000000" w:themeColor="text1"/>
        </w:rPr>
        <w:t xml:space="preserve"> (see age group in table 1). Person-year is the period from the first implant date until the following observed event in the 'at risk' population: date of cancer registration, date of death, 240 days after the last pellet insert, or the set date of March 2023, whichever occurred first. Unlike pills and topical therapy, 240 days was chosen considering that subcutaneous implants are long acting (sustained release</w:t>
      </w:r>
      <w:proofErr w:type="gramStart"/>
      <w:r w:rsidRPr="002B1954">
        <w:rPr>
          <w:rFonts w:eastAsia="Calibri" w:cs="Calibri"/>
          <w:color w:val="000000" w:themeColor="text1"/>
        </w:rPr>
        <w:t>)</w:t>
      </w:r>
      <w:proofErr w:type="gramEnd"/>
      <w:r w:rsidRPr="002B1954">
        <w:rPr>
          <w:rFonts w:eastAsia="Calibri" w:cs="Calibri"/>
          <w:color w:val="000000" w:themeColor="text1"/>
        </w:rPr>
        <w:t xml:space="preserve"> and the incidence of breast cancer was reported for predetermined time frame of 240-days post implantation or 2.5 times the average length of clinical efficacy of 96 days </w:t>
      </w:r>
      <w:r w:rsidR="002B1954" w:rsidRPr="002B1954">
        <w:t>[1,2]</w:t>
      </w:r>
      <w:r w:rsidRPr="002B1954">
        <w:t xml:space="preserve"> </w:t>
      </w:r>
      <w:r w:rsidRPr="002B1954">
        <w:rPr>
          <w:rFonts w:eastAsia="Calibri" w:cs="Calibri"/>
          <w:color w:val="000000" w:themeColor="text1"/>
        </w:rPr>
        <w:t>The person-years (p-y) were calculated by dividing person-days by 365.25. The incidence of breast cancer was calculated per 100,000 p-y so that our results could be compared to age matched SEER breast cancer incidence rates and historical studies</w:t>
      </w:r>
      <w:r w:rsidRPr="002B1954">
        <w:rPr>
          <w:rFonts w:eastAsia="Calibri" w:cs="Calibri"/>
          <w:i/>
          <w:iCs/>
          <w:color w:val="000000" w:themeColor="text1"/>
        </w:rPr>
        <w:t>.</w:t>
      </w:r>
    </w:p>
    <w:p w14:paraId="744DB6B0" w14:textId="6B69D862" w:rsidR="7579AF4D" w:rsidRDefault="7579AF4D" w:rsidP="7579AF4D">
      <w:pPr>
        <w:jc w:val="both"/>
        <w:rPr>
          <w:rFonts w:ascii="Calibri" w:eastAsia="Calibri" w:hAnsi="Calibri" w:cs="Calibri"/>
          <w:i/>
          <w:iCs/>
          <w:color w:val="000000" w:themeColor="text1"/>
        </w:rPr>
      </w:pPr>
    </w:p>
    <w:p w14:paraId="33748E9B" w14:textId="244FEC19" w:rsidR="7579AF4D" w:rsidRDefault="00000000" w:rsidP="7579AF4D">
      <w:pPr>
        <w:pStyle w:val="ListParagraph"/>
        <w:numPr>
          <w:ilvl w:val="0"/>
          <w:numId w:val="1"/>
        </w:numPr>
        <w:spacing w:after="120" w:line="276" w:lineRule="auto"/>
        <w:jc w:val="center"/>
        <w:rPr>
          <w:rFonts w:ascii="Calibri" w:eastAsia="Calibri" w:hAnsi="Calibri" w:cs="Calibri"/>
          <w:i/>
          <w:iCs/>
          <w:color w:val="000000" w:themeColor="text1"/>
        </w:rPr>
      </w:pPr>
      <m:oMath>
        <m:sSub>
          <m:sSubPr>
            <m:ctrlPr>
              <w:rPr>
                <w:rFonts w:ascii="Cambria Math" w:hAnsi="Cambria Math"/>
              </w:rPr>
            </m:ctrlPr>
          </m:sSubPr>
          <m:e>
            <m:r>
              <w:rPr>
                <w:rFonts w:ascii="Cambria Math" w:hAnsi="Cambria Math"/>
              </w:rPr>
              <m:t>μ</m:t>
            </m:r>
          </m:e>
          <m:sub>
            <m:r>
              <w:rPr>
                <w:rFonts w:ascii="Cambria Math" w:hAnsi="Cambria Math"/>
              </w:rPr>
              <m:t>Dayton</m:t>
            </m:r>
          </m:sub>
        </m:sSub>
        <m:r>
          <w:rPr>
            <w:rFonts w:ascii="Cambria Math" w:hAnsi="Cambria Math"/>
          </w:rPr>
          <m:t> = </m:t>
        </m:r>
        <m:f>
          <m:fPr>
            <m:ctrlPr>
              <w:rPr>
                <w:rFonts w:ascii="Cambria Math" w:hAnsi="Cambria Math"/>
              </w:rPr>
            </m:ctrlPr>
          </m:fPr>
          <m:num>
            <m:r>
              <w:rPr>
                <w:rFonts w:ascii="Cambria Math" w:hAnsi="Cambria Math"/>
              </w:rPr>
              <m:t>100,000 × N</m:t>
            </m:r>
          </m:num>
          <m:den>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y</m:t>
                    </m:r>
                  </m:e>
                  <m:sub>
                    <m:r>
                      <w:rPr>
                        <w:rFonts w:ascii="Cambria Math" w:hAnsi="Cambria Math"/>
                      </w:rPr>
                      <m:t>i</m:t>
                    </m:r>
                  </m:sub>
                </m:sSub>
              </m:e>
            </m:nary>
          </m:den>
        </m:f>
      </m:oMath>
    </w:p>
    <w:p w14:paraId="643EC979" w14:textId="53C2E7D5" w:rsidR="7579AF4D" w:rsidRDefault="7579AF4D" w:rsidP="7579AF4D">
      <w:pPr>
        <w:jc w:val="both"/>
        <w:rPr>
          <w:rFonts w:ascii="Calibri" w:eastAsia="Calibri" w:hAnsi="Calibri" w:cs="Calibri"/>
        </w:rPr>
      </w:pPr>
    </w:p>
    <w:p w14:paraId="5D7F80BA" w14:textId="59AF5F71" w:rsidR="7579AF4D" w:rsidRPr="002B1954" w:rsidRDefault="7579AF4D" w:rsidP="7579AF4D">
      <w:pPr>
        <w:jc w:val="both"/>
        <w:rPr>
          <w:rFonts w:eastAsia="Calibri" w:cs="Calibri"/>
          <w:color w:val="000000" w:themeColor="text1"/>
        </w:rPr>
      </w:pPr>
      <w:r w:rsidRPr="002B1954">
        <w:rPr>
          <w:rFonts w:eastAsia="Calibri" w:cs="Calibri"/>
        </w:rPr>
        <w:t>The standard deviation of the observed Dayton incidence rate was calculated assuming the number of cancers follows a Poisson distribution so that, N is the number of</w:t>
      </w:r>
      <w:r w:rsidRPr="002B1954">
        <w:rPr>
          <w:rFonts w:eastAsia="Calibri" w:cs="Calibri"/>
          <w:color w:val="000000" w:themeColor="text1"/>
        </w:rPr>
        <w:t xml:space="preserve"> breast cancer cases</w:t>
      </w:r>
      <w:r w:rsidRPr="002B1954">
        <w:rPr>
          <w:rFonts w:eastAsia="Calibri" w:cs="Calibri"/>
        </w:rPr>
        <w:t xml:space="preserve"> and Y</w:t>
      </w:r>
      <w:r w:rsidRPr="002B1954">
        <w:rPr>
          <w:rFonts w:eastAsia="Calibri" w:cs="Calibri"/>
          <w:vertAlign w:val="subscript"/>
        </w:rPr>
        <w:t>i</w:t>
      </w:r>
      <w:r w:rsidRPr="002B1954">
        <w:rPr>
          <w:rFonts w:eastAsia="Calibri" w:cs="Calibri"/>
        </w:rPr>
        <w:t xml:space="preserve"> the </w:t>
      </w:r>
      <w:r w:rsidRPr="002B1954">
        <w:rPr>
          <w:rFonts w:eastAsia="Calibri" w:cs="Calibri"/>
          <w:color w:val="000000" w:themeColor="text1"/>
        </w:rPr>
        <w:t xml:space="preserve">person-time observed for age group </w:t>
      </w:r>
      <w:proofErr w:type="spellStart"/>
      <w:r w:rsidRPr="002B1954">
        <w:rPr>
          <w:rFonts w:eastAsia="Calibri" w:cs="Calibri"/>
          <w:color w:val="000000" w:themeColor="text1"/>
        </w:rPr>
        <w:t>i</w:t>
      </w:r>
      <w:proofErr w:type="spellEnd"/>
      <w:r w:rsidRPr="002B1954">
        <w:rPr>
          <w:rFonts w:eastAsia="Calibri" w:cs="Calibri"/>
          <w:color w:val="000000" w:themeColor="text1"/>
        </w:rPr>
        <w:t xml:space="preserve"> (Equation 2). </w:t>
      </w:r>
    </w:p>
    <w:p w14:paraId="5E33ED35" w14:textId="6EBB86FA" w:rsidR="7579AF4D" w:rsidRDefault="7579AF4D" w:rsidP="7579AF4D">
      <w:pPr>
        <w:jc w:val="both"/>
        <w:rPr>
          <w:rFonts w:ascii="Calibri" w:eastAsia="Calibri" w:hAnsi="Calibri" w:cs="Calibri"/>
          <w:color w:val="000000" w:themeColor="text1"/>
        </w:rPr>
      </w:pPr>
    </w:p>
    <w:p w14:paraId="1D6D00DA" w14:textId="699D526F" w:rsidR="7579AF4D" w:rsidRDefault="7579AF4D" w:rsidP="7579AF4D">
      <w:pPr>
        <w:jc w:val="both"/>
        <w:rPr>
          <w:vertAlign w:val="subscript"/>
        </w:rPr>
      </w:pPr>
    </w:p>
    <w:p w14:paraId="7964E4D7" w14:textId="48B05C4A" w:rsidR="7579AF4D" w:rsidRDefault="7579AF4D" w:rsidP="7579AF4D">
      <w:pPr>
        <w:jc w:val="center"/>
      </w:pPr>
      <w:r w:rsidRPr="7579AF4D">
        <w:rPr>
          <w:i/>
          <w:iCs/>
        </w:rPr>
        <w:t xml:space="preserve">(2) </w:t>
      </w:r>
      <m:oMath>
        <m:r>
          <w:rPr>
            <w:rFonts w:ascii="Cambria Math" w:hAnsi="Cambria Math"/>
          </w:rPr>
          <m:t>SD</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Dayton</m:t>
                </m:r>
              </m:sub>
            </m:sSub>
          </m:e>
        </m:d>
        <m:r>
          <w:rPr>
            <w:rFonts w:ascii="Cambria Math" w:hAnsi="Cambria Math"/>
          </w:rPr>
          <m:t> = </m:t>
        </m:r>
        <m:f>
          <m:fPr>
            <m:ctrlPr>
              <w:rPr>
                <w:rFonts w:ascii="Cambria Math" w:hAnsi="Cambria Math"/>
              </w:rPr>
            </m:ctrlPr>
          </m:fPr>
          <m:num>
            <m:r>
              <w:rPr>
                <w:rFonts w:ascii="Cambria Math" w:hAnsi="Cambria Math"/>
              </w:rPr>
              <m:t>100,000 × N</m:t>
            </m:r>
            <m:sSup>
              <m:sSupPr>
                <m:ctrlPr>
                  <w:rPr>
                    <w:rFonts w:ascii="Cambria Math" w:hAnsi="Cambria Math"/>
                  </w:rPr>
                </m:ctrlPr>
              </m:sSupPr>
              <m:e>
                <m:r>
                  <w:rPr>
                    <w:rFonts w:ascii="Cambria Math" w:hAnsi="Cambria Math"/>
                  </w:rPr>
                  <m:t> </m:t>
                </m:r>
              </m:e>
              <m:sup>
                <m:r>
                  <w:rPr>
                    <w:rFonts w:ascii="Cambria Math" w:hAnsi="Cambria Math"/>
                  </w:rPr>
                  <m:t>.5</m:t>
                </m:r>
              </m:sup>
            </m:sSup>
          </m:num>
          <m:den>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y</m:t>
                    </m:r>
                  </m:e>
                  <m:sub>
                    <m:r>
                      <w:rPr>
                        <w:rFonts w:ascii="Cambria Math" w:hAnsi="Cambria Math"/>
                      </w:rPr>
                      <m:t>i</m:t>
                    </m:r>
                  </m:sub>
                </m:sSub>
              </m:e>
            </m:nary>
          </m:den>
        </m:f>
      </m:oMath>
    </w:p>
    <w:p w14:paraId="701283AC" w14:textId="7442CD1B" w:rsidR="7579AF4D" w:rsidRDefault="7579AF4D" w:rsidP="7579AF4D">
      <w:pPr>
        <w:spacing w:after="120" w:line="276" w:lineRule="auto"/>
        <w:jc w:val="both"/>
        <w:rPr>
          <w:rFonts w:ascii="Calibri" w:eastAsia="Calibri" w:hAnsi="Calibri" w:cs="Calibri"/>
          <w:color w:val="000000" w:themeColor="text1"/>
        </w:rPr>
      </w:pPr>
    </w:p>
    <w:p w14:paraId="712ACB72" w14:textId="39B9CA8F" w:rsidR="000B4F21" w:rsidRPr="002B1954" w:rsidRDefault="4A25A07E" w:rsidP="4A25A07E">
      <w:pPr>
        <w:spacing w:after="120" w:line="276" w:lineRule="auto"/>
        <w:jc w:val="both"/>
        <w:rPr>
          <w:rFonts w:eastAsia="Calibri" w:cs="Calibri"/>
          <w:i/>
          <w:iCs/>
          <w:color w:val="000000" w:themeColor="text1"/>
          <w:vertAlign w:val="subscript"/>
        </w:rPr>
      </w:pPr>
      <w:r w:rsidRPr="002B1954">
        <w:rPr>
          <w:rFonts w:eastAsia="Calibri" w:cs="Calibri"/>
          <w:color w:val="000000" w:themeColor="text1"/>
        </w:rPr>
        <w:t>The observed breast cancer incidence rates for the Dayton study patients were compared to the expected (adjusted) SEER breast cancer incidence rates calculated from the age composition of Dayton study patients and the published SEER age-grouped breast cancer incidence rates (Table 1)</w:t>
      </w:r>
      <w:r w:rsidR="002B1954">
        <w:rPr>
          <w:rFonts w:eastAsia="Calibri" w:cs="Calibri"/>
          <w:color w:val="000000" w:themeColor="text1"/>
        </w:rPr>
        <w:t xml:space="preserve"> [3].</w:t>
      </w:r>
      <w:r w:rsidRPr="002B1954">
        <w:t xml:space="preserve"> </w:t>
      </w:r>
      <w:r w:rsidRPr="002B1954">
        <w:rPr>
          <w:rFonts w:eastAsia="Calibri" w:cs="Calibri"/>
        </w:rPr>
        <w:t>The delay-adjusted breast cancer incidence rates were collected using the SEER*</w:t>
      </w:r>
      <w:proofErr w:type="spellStart"/>
      <w:r w:rsidRPr="002B1954">
        <w:rPr>
          <w:rFonts w:eastAsia="Calibri" w:cs="Calibri"/>
        </w:rPr>
        <w:t>StatApplication</w:t>
      </w:r>
      <w:proofErr w:type="spellEnd"/>
      <w:r w:rsidRPr="002B1954">
        <w:rPr>
          <w:rFonts w:eastAsia="Calibri" w:cs="Calibri"/>
        </w:rPr>
        <w:t xml:space="preserve"> software (v. 9.0 30.0) (</w:t>
      </w:r>
      <w:hyperlink r:id="rId5">
        <w:r w:rsidRPr="002B1954">
          <w:rPr>
            <w:rStyle w:val="Hyperlink"/>
            <w:color w:val="auto"/>
          </w:rPr>
          <w:t>www.seer.cancer.gov/seerstat</w:t>
        </w:r>
      </w:hyperlink>
      <w:r w:rsidRPr="002B1954">
        <w:t xml:space="preserve">). </w:t>
      </w:r>
      <w:r w:rsidRPr="002B1954">
        <w:rPr>
          <w:rFonts w:eastAsia="Calibri" w:cs="Calibri"/>
        </w:rPr>
        <w:t>The</w:t>
      </w:r>
      <w:r w:rsidRPr="002B1954">
        <w:t xml:space="preserve"> ‘</w:t>
      </w:r>
      <w:r w:rsidRPr="002B1954">
        <w:rPr>
          <w:rFonts w:eastAsia="Calibri" w:cs="Calibri"/>
          <w:color w:val="000000" w:themeColor="text1"/>
        </w:rPr>
        <w:t>expected incidence’ (Equation 3) is a weighted sum of the SEER incidence rates (</w:t>
      </w:r>
      <w:proofErr w:type="spellStart"/>
      <w:r w:rsidRPr="002B1954">
        <w:rPr>
          <w:rFonts w:eastAsia="Calibri" w:cs="Calibri"/>
          <w:color w:val="000000" w:themeColor="text1"/>
        </w:rPr>
        <w:t>s</w:t>
      </w:r>
      <w:r w:rsidRPr="002B1954">
        <w:rPr>
          <w:rFonts w:eastAsia="Calibri" w:cs="Calibri"/>
          <w:color w:val="000000" w:themeColor="text1"/>
          <w:vertAlign w:val="subscript"/>
        </w:rPr>
        <w:t>i</w:t>
      </w:r>
      <w:proofErr w:type="spellEnd"/>
      <w:r w:rsidRPr="002B1954">
        <w:rPr>
          <w:rFonts w:eastAsia="Calibri" w:cs="Calibri"/>
          <w:color w:val="000000" w:themeColor="text1"/>
        </w:rPr>
        <w:t>) with the weights corresponding to the proportion (</w:t>
      </w:r>
      <w:proofErr w:type="gramStart"/>
      <w:r w:rsidRPr="002B1954">
        <w:rPr>
          <w:rFonts w:eastAsia="Calibri" w:cs="Calibri"/>
          <w:i/>
          <w:iCs/>
          <w:color w:val="000000" w:themeColor="text1"/>
        </w:rPr>
        <w:t>p</w:t>
      </w:r>
      <w:r w:rsidRPr="002B1954">
        <w:rPr>
          <w:rFonts w:eastAsia="Calibri" w:cs="Calibri"/>
          <w:i/>
          <w:iCs/>
          <w:color w:val="000000" w:themeColor="text1"/>
          <w:vertAlign w:val="subscript"/>
        </w:rPr>
        <w:t>i</w:t>
      </w:r>
      <w:r w:rsidRPr="002B1954">
        <w:rPr>
          <w:rFonts w:eastAsia="Calibri" w:cs="Calibri"/>
          <w:color w:val="000000" w:themeColor="text1"/>
        </w:rPr>
        <w:t xml:space="preserve"> )</w:t>
      </w:r>
      <w:proofErr w:type="gramEnd"/>
      <w:r w:rsidRPr="002B1954">
        <w:rPr>
          <w:rFonts w:eastAsia="Calibri" w:cs="Calibri"/>
          <w:color w:val="000000" w:themeColor="text1"/>
        </w:rPr>
        <w:t xml:space="preserve"> of the Dayton study patients’ person-years (p-y) in each of the SEER age groups per sum of person-year of all age groups. </w:t>
      </w:r>
    </w:p>
    <w:p w14:paraId="4B5169E1" w14:textId="77777777" w:rsidR="000B4F21" w:rsidRDefault="000B4F21">
      <w:pPr>
        <w:rPr>
          <w:color w:val="000000" w:themeColor="text1"/>
        </w:rPr>
      </w:pPr>
    </w:p>
    <w:p w14:paraId="5EFFF890" w14:textId="7989B303" w:rsidR="7579AF4D" w:rsidRDefault="7579AF4D" w:rsidP="7579AF4D">
      <w:pPr>
        <w:jc w:val="center"/>
        <w:rPr>
          <w:color w:val="000000" w:themeColor="text1"/>
        </w:rPr>
      </w:pPr>
      <w:r w:rsidRPr="7579AF4D">
        <w:rPr>
          <w:i/>
          <w:iCs/>
          <w:color w:val="000000" w:themeColor="text1"/>
        </w:rPr>
        <w:t>(3)</w:t>
      </w:r>
      <w:r w:rsidRPr="7579AF4D">
        <w:rPr>
          <w:color w:val="000000" w:themeColor="text1"/>
        </w:rPr>
        <w:t xml:space="preserve"> </w:t>
      </w:r>
      <m:oMath>
        <m:sSub>
          <m:sSubPr>
            <m:ctrlPr>
              <w:rPr>
                <w:rFonts w:ascii="Cambria Math" w:hAnsi="Cambria Math"/>
              </w:rPr>
            </m:ctrlPr>
          </m:sSubPr>
          <m:e>
            <m:r>
              <w:rPr>
                <w:rFonts w:ascii="Cambria Math" w:hAnsi="Cambria Math"/>
              </w:rPr>
              <m:t>μ</m:t>
            </m:r>
          </m:e>
          <m:sub>
            <m:r>
              <w:rPr>
                <w:rFonts w:ascii="Cambria Math" w:hAnsi="Cambria Math"/>
              </w:rPr>
              <m:t>SEER</m:t>
            </m:r>
          </m:sub>
        </m:sSub>
        <m:r>
          <w:rPr>
            <w:rFonts w:ascii="Cambria Math" w:hAnsi="Cambria Math"/>
          </w:rPr>
          <m:t> = </m:t>
        </m:r>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s</m:t>
                </m:r>
              </m:e>
              <m:sub>
                <m:r>
                  <w:rPr>
                    <w:rFonts w:ascii="Cambria Math" w:hAnsi="Cambria Math"/>
                  </w:rPr>
                  <m:t>i</m:t>
                </m:r>
              </m:sub>
            </m:sSub>
          </m:e>
        </m:nary>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i</m:t>
            </m:r>
          </m:sub>
        </m:sSub>
      </m:oMath>
    </w:p>
    <w:p w14:paraId="04C1CCF1" w14:textId="354E999B" w:rsidR="7579AF4D" w:rsidRDefault="7579AF4D" w:rsidP="7579AF4D">
      <w:pPr>
        <w:rPr>
          <w:color w:val="000000" w:themeColor="text1"/>
        </w:rPr>
      </w:pPr>
    </w:p>
    <w:p w14:paraId="1067295F" w14:textId="53DB836C" w:rsidR="7579AF4D" w:rsidRPr="002B1954" w:rsidRDefault="7579AF4D" w:rsidP="7579AF4D">
      <w:pPr>
        <w:jc w:val="both"/>
        <w:rPr>
          <w:rFonts w:eastAsia="Calibri" w:cs="Calibri"/>
          <w:i/>
          <w:iCs/>
          <w:color w:val="000000" w:themeColor="text1"/>
          <w:vertAlign w:val="subscript"/>
        </w:rPr>
      </w:pPr>
      <w:r w:rsidRPr="002B1954">
        <w:rPr>
          <w:rFonts w:eastAsia="Calibri" w:cs="Calibri"/>
          <w:color w:val="000000" w:themeColor="text1"/>
        </w:rPr>
        <w:lastRenderedPageBreak/>
        <w:t>The variance of the expected incidence rate (SEER) was estimated using weighted sum of the estimates of SEER incidence SDs (table 1) and the corresponding proportion (</w:t>
      </w:r>
      <w:proofErr w:type="gramStart"/>
      <w:r w:rsidRPr="002B1954">
        <w:rPr>
          <w:rFonts w:eastAsia="Calibri" w:cs="Calibri"/>
          <w:i/>
          <w:iCs/>
          <w:color w:val="000000" w:themeColor="text1"/>
        </w:rPr>
        <w:t>p</w:t>
      </w:r>
      <w:r w:rsidRPr="002B1954">
        <w:rPr>
          <w:rFonts w:eastAsia="Calibri" w:cs="Calibri"/>
          <w:i/>
          <w:iCs/>
          <w:color w:val="000000" w:themeColor="text1"/>
          <w:vertAlign w:val="subscript"/>
        </w:rPr>
        <w:t>i</w:t>
      </w:r>
      <w:r w:rsidRPr="002B1954">
        <w:rPr>
          <w:rFonts w:eastAsia="Calibri" w:cs="Calibri"/>
          <w:color w:val="000000" w:themeColor="text1"/>
        </w:rPr>
        <w:t xml:space="preserve"> )</w:t>
      </w:r>
      <w:proofErr w:type="gramEnd"/>
      <w:r w:rsidRPr="002B1954">
        <w:rPr>
          <w:rFonts w:eastAsia="Calibri" w:cs="Calibri"/>
          <w:color w:val="000000" w:themeColor="text1"/>
        </w:rPr>
        <w:t xml:space="preserve"> of the Dayton study patients’ person-years (p-y) in each of the SEER age groups (Equation 4)</w:t>
      </w:r>
    </w:p>
    <w:p w14:paraId="29CD5AB8" w14:textId="6524226C" w:rsidR="7579AF4D" w:rsidRDefault="7579AF4D" w:rsidP="7579AF4D">
      <w:pPr>
        <w:rPr>
          <w:color w:val="000000" w:themeColor="text1"/>
        </w:rPr>
      </w:pPr>
    </w:p>
    <w:p w14:paraId="6B157CE7" w14:textId="1A40A7C2" w:rsidR="7579AF4D" w:rsidRDefault="7579AF4D" w:rsidP="4A25A07E">
      <w:pPr>
        <w:jc w:val="center"/>
        <w:rPr>
          <w:color w:val="000000" w:themeColor="text1"/>
        </w:rPr>
      </w:pPr>
      <w:r w:rsidRPr="4A25A07E">
        <w:rPr>
          <w:i/>
          <w:iCs/>
          <w:color w:val="000000" w:themeColor="text1"/>
        </w:rPr>
        <w:t>(4)</w:t>
      </w:r>
      <w:r w:rsidRPr="7579AF4D">
        <w:rPr>
          <w:color w:val="000000" w:themeColor="text1"/>
        </w:rPr>
        <w:t xml:space="preserve"> </w:t>
      </w:r>
      <m:oMath>
        <m:r>
          <w:rPr>
            <w:rFonts w:ascii="Cambria Math" w:hAnsi="Cambria Math"/>
          </w:rPr>
          <m:t>Va</m:t>
        </m:r>
        <m:sSub>
          <m:sSubPr>
            <m:ctrlPr>
              <w:rPr>
                <w:rFonts w:ascii="Cambria Math" w:hAnsi="Cambria Math"/>
              </w:rPr>
            </m:ctrlPr>
          </m:sSubPr>
          <m:e>
            <m:r>
              <w:rPr>
                <w:rFonts w:ascii="Cambria Math" w:hAnsi="Cambria Math"/>
              </w:rPr>
              <m:t>r</m:t>
            </m:r>
          </m:e>
          <m:sub>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SEER</m:t>
                    </m:r>
                  </m:sub>
                </m:sSub>
              </m:e>
            </m:d>
          </m:sub>
        </m:sSub>
        <m:r>
          <w:rPr>
            <w:rFonts w:ascii="Cambria Math" w:hAnsi="Cambria Math"/>
          </w:rPr>
          <m:t> = </m:t>
        </m:r>
        <m:nary>
          <m:naryPr>
            <m:chr m:val="∑"/>
            <m:ctrlPr>
              <w:rPr>
                <w:rFonts w:ascii="Cambria Math" w:hAnsi="Cambria Math"/>
              </w:rPr>
            </m:ctrlPr>
          </m:naryPr>
          <m:sub>
            <m:r>
              <w:rPr>
                <w:rFonts w:ascii="Cambria Math" w:hAnsi="Cambria Math"/>
              </w:rPr>
              <m:t> </m:t>
            </m:r>
          </m:sub>
          <m:sup>
            <m:r>
              <w:rPr>
                <w:rFonts w:ascii="Cambria Math" w:hAnsi="Cambria Math"/>
              </w:rPr>
              <m:t> </m:t>
            </m:r>
          </m:sup>
          <m:e>
            <m:sSup>
              <m:sSupPr>
                <m:ctrlPr>
                  <w:rPr>
                    <w:rFonts w:ascii="Cambria Math" w:hAnsi="Cambria Math"/>
                  </w:rPr>
                </m:ctrlPr>
              </m:sSupPr>
              <m:e>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 × </m:t>
                    </m:r>
                    <m:sSub>
                      <m:sSubPr>
                        <m:ctrlPr>
                          <w:rPr>
                            <w:rFonts w:ascii="Cambria Math" w:hAnsi="Cambria Math"/>
                          </w:rPr>
                        </m:ctrlPr>
                      </m:sSubPr>
                      <m:e>
                        <m:r>
                          <w:rPr>
                            <w:rFonts w:ascii="Cambria Math" w:hAnsi="Cambria Math"/>
                          </w:rPr>
                          <m:t>p</m:t>
                        </m:r>
                      </m:e>
                      <m:sub>
                        <m:r>
                          <w:rPr>
                            <w:rFonts w:ascii="Cambria Math" w:hAnsi="Cambria Math"/>
                          </w:rPr>
                          <m:t>i</m:t>
                        </m:r>
                      </m:sub>
                    </m:sSub>
                  </m:e>
                </m:d>
              </m:e>
              <m:sup>
                <m:r>
                  <w:rPr>
                    <w:rFonts w:ascii="Cambria Math" w:hAnsi="Cambria Math"/>
                  </w:rPr>
                  <m:t>2</m:t>
                </m:r>
              </m:sup>
            </m:sSup>
          </m:e>
        </m:nary>
      </m:oMath>
    </w:p>
    <w:p w14:paraId="47C961CF" w14:textId="52291A26" w:rsidR="7579AF4D" w:rsidRDefault="7579AF4D" w:rsidP="7579AF4D">
      <w:pPr>
        <w:rPr>
          <w:color w:val="000000" w:themeColor="text1"/>
        </w:rPr>
      </w:pPr>
    </w:p>
    <w:p w14:paraId="065550CD" w14:textId="5A884CE5" w:rsidR="7579AF4D" w:rsidRPr="002B1954" w:rsidRDefault="4A25A07E" w:rsidP="7579AF4D">
      <w:pPr>
        <w:jc w:val="both"/>
        <w:rPr>
          <w:rFonts w:eastAsia="Calibri" w:cs="Calibri"/>
          <w:color w:val="000000" w:themeColor="text1"/>
        </w:rPr>
      </w:pPr>
      <w:r w:rsidRPr="002B1954">
        <w:rPr>
          <w:rFonts w:eastAsia="Calibri" w:cs="Calibri"/>
          <w:color w:val="000000" w:themeColor="text1"/>
        </w:rPr>
        <w:t xml:space="preserve">Confidence intervals of the Dayton incidence rates based on the whole sample were computed from the Poisson assumption using the R function for the Poisson exact test based on procedures in </w:t>
      </w:r>
      <w:r w:rsidR="002B1954">
        <w:rPr>
          <w:rFonts w:eastAsia="Calibri" w:cs="Calibri"/>
          <w:color w:val="000000" w:themeColor="text1"/>
        </w:rPr>
        <w:t>[4],</w:t>
      </w:r>
      <w:r w:rsidRPr="002B1954">
        <w:rPr>
          <w:rFonts w:eastAsia="Calibri" w:cs="Calibri"/>
          <w:color w:val="000000" w:themeColor="text1"/>
        </w:rPr>
        <w:t xml:space="preserve"> Chapter 6. Tests of the null hypothesis that Dayton and expected SEER rates were the same were carried out with the same procedure. </w:t>
      </w:r>
      <w:r w:rsidRPr="002B1954">
        <w:rPr>
          <w:rFonts w:eastAsia="Calibri" w:cs="Calibri"/>
        </w:rPr>
        <w:t xml:space="preserve">The significance level of 0.05 was established for all inferential statistics. </w:t>
      </w:r>
    </w:p>
    <w:p w14:paraId="446B9B09" w14:textId="02E82B45" w:rsidR="0A20B416" w:rsidRDefault="0A20B416" w:rsidP="0A20B416">
      <w:pPr>
        <w:jc w:val="both"/>
        <w:rPr>
          <w:rFonts w:ascii="Calibri" w:eastAsia="Calibri" w:hAnsi="Calibri" w:cs="Calibri"/>
          <w:color w:val="000000" w:themeColor="text1"/>
        </w:rPr>
      </w:pPr>
    </w:p>
    <w:p w14:paraId="23459AD2" w14:textId="7EC435C1" w:rsidR="7579AF4D" w:rsidRDefault="0A20B416" w:rsidP="004D0BAA">
      <w:pPr>
        <w:jc w:val="both"/>
        <w:rPr>
          <w:color w:val="000000" w:themeColor="text1"/>
        </w:rPr>
      </w:pPr>
      <w:r w:rsidRPr="002B1954">
        <w:rPr>
          <w:rFonts w:eastAsia="Calibri" w:cs="Calibri"/>
        </w:rPr>
        <w:t xml:space="preserve">A comparison of body mass index (BMI) between eligible patients with cancer diagnosis and patients without cancer. The Shapiro-Wilk normality test was applied, followed by Wilcoxon rank sum test. </w:t>
      </w:r>
      <w:r w:rsidR="4A25A07E" w:rsidRPr="4A25A07E">
        <w:rPr>
          <w:color w:val="000000" w:themeColor="text1"/>
        </w:rPr>
        <w:t xml:space="preserve">All statistics were performed in RStudio </w:t>
      </w:r>
      <w:r w:rsidR="002B1954">
        <w:rPr>
          <w:color w:val="000000" w:themeColor="text1"/>
        </w:rPr>
        <w:t xml:space="preserve">version </w:t>
      </w:r>
      <w:r w:rsidR="4A25A07E" w:rsidRPr="4A25A07E">
        <w:rPr>
          <w:color w:val="000000" w:themeColor="text1"/>
        </w:rPr>
        <w:t>1.4</w:t>
      </w:r>
      <w:r w:rsidR="002B1954">
        <w:rPr>
          <w:color w:val="000000" w:themeColor="text1"/>
          <w:vertAlign w:val="superscript"/>
        </w:rPr>
        <w:t xml:space="preserve"> </w:t>
      </w:r>
      <w:r w:rsidR="002B1954">
        <w:rPr>
          <w:color w:val="000000" w:themeColor="text1"/>
        </w:rPr>
        <w:t>[5].</w:t>
      </w:r>
    </w:p>
    <w:p w14:paraId="484F3C00" w14:textId="77777777" w:rsidR="004D0BAA" w:rsidRPr="002B1954" w:rsidRDefault="004D0BAA" w:rsidP="004D0BAA">
      <w:pPr>
        <w:jc w:val="both"/>
        <w:rPr>
          <w:color w:val="000000" w:themeColor="text1"/>
        </w:rPr>
      </w:pPr>
    </w:p>
    <w:p w14:paraId="4197A2CF" w14:textId="7D924C7E" w:rsidR="00422957" w:rsidRDefault="007E3B3F" w:rsidP="007E3B3F">
      <w:pPr>
        <w:jc w:val="both"/>
        <w:rPr>
          <w:rFonts w:eastAsia="Calibri" w:cs="Calibri"/>
          <w:color w:val="000000" w:themeColor="text1"/>
          <w:sz w:val="22"/>
          <w:szCs w:val="22"/>
        </w:rPr>
      </w:pPr>
      <w:r w:rsidRPr="007E3B3F">
        <w:rPr>
          <w:rFonts w:eastAsia="Calibri" w:cs="Calibri"/>
          <w:color w:val="000000" w:themeColor="text1"/>
          <w:sz w:val="22"/>
          <w:szCs w:val="22"/>
        </w:rPr>
        <w:t xml:space="preserve">Table 1. Breast cancer incidence rates (BCI) per 100,000 person-year and standard deviation (SD) as reported by SEER. Database name:  Incidence - SEER Research Limited-Field Data with Delay-Adjustment, 22 Registries, Malignant Only, Nov 2022 Sub (2000-2020) - Linked </w:t>
      </w:r>
      <w:proofErr w:type="gramStart"/>
      <w:r w:rsidRPr="007E3B3F">
        <w:rPr>
          <w:rFonts w:eastAsia="Calibri" w:cs="Calibri"/>
          <w:color w:val="000000" w:themeColor="text1"/>
          <w:sz w:val="22"/>
          <w:szCs w:val="22"/>
        </w:rPr>
        <w:t>To</w:t>
      </w:r>
      <w:proofErr w:type="gramEnd"/>
      <w:r w:rsidRPr="007E3B3F">
        <w:rPr>
          <w:rFonts w:eastAsia="Calibri" w:cs="Calibri"/>
          <w:color w:val="000000" w:themeColor="text1"/>
          <w:sz w:val="22"/>
          <w:szCs w:val="22"/>
        </w:rPr>
        <w:t xml:space="preserve"> County Attributes - Time Dependent (1990-2021) Income/Rurality, 1969-2021 Counties</w:t>
      </w:r>
    </w:p>
    <w:p w14:paraId="708D761B" w14:textId="77777777" w:rsidR="007E3B3F" w:rsidRPr="007E3B3F" w:rsidRDefault="007E3B3F" w:rsidP="007E3B3F">
      <w:pPr>
        <w:jc w:val="both"/>
        <w:rPr>
          <w:rFonts w:eastAsia="Calibri" w:cs="Calibri"/>
          <w:color w:val="000000" w:themeColor="text1"/>
          <w:sz w:val="22"/>
          <w:szCs w:val="22"/>
        </w:rPr>
      </w:pPr>
    </w:p>
    <w:tbl>
      <w:tblPr>
        <w:tblStyle w:val="PlainTable2"/>
        <w:tblW w:w="0" w:type="auto"/>
        <w:jc w:val="center"/>
        <w:tblLayout w:type="fixed"/>
        <w:tblLook w:val="06A0" w:firstRow="1" w:lastRow="0" w:firstColumn="1" w:lastColumn="0" w:noHBand="1" w:noVBand="1"/>
      </w:tblPr>
      <w:tblGrid>
        <w:gridCol w:w="1740"/>
        <w:gridCol w:w="2490"/>
        <w:gridCol w:w="1365"/>
      </w:tblGrid>
      <w:tr w:rsidR="7579AF4D" w:rsidRPr="002B1954" w14:paraId="6CF970E7" w14:textId="77777777" w:rsidTr="007E3B3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95" w:type="dxa"/>
            <w:gridSpan w:val="3"/>
          </w:tcPr>
          <w:p w14:paraId="4A039061" w14:textId="259D17CD" w:rsidR="7579AF4D" w:rsidRPr="002B1954" w:rsidRDefault="7579AF4D" w:rsidP="7579AF4D">
            <w:pPr>
              <w:rPr>
                <w:rFonts w:eastAsia="Calibri" w:cs="Calibri"/>
                <w:sz w:val="22"/>
                <w:szCs w:val="22"/>
              </w:rPr>
            </w:pPr>
            <w:r w:rsidRPr="002B1954">
              <w:rPr>
                <w:rFonts w:eastAsia="Calibri" w:cs="Calibri"/>
                <w:sz w:val="22"/>
                <w:szCs w:val="22"/>
              </w:rPr>
              <w:t xml:space="preserve">Incidence - SEER Research Limited-Field Data with Delay-Adjustment Nov 2022 Sub (2000-2020) </w:t>
            </w:r>
          </w:p>
        </w:tc>
      </w:tr>
      <w:tr w:rsidR="7579AF4D" w:rsidRPr="002B1954" w14:paraId="2F1F7FF6"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08EBEED9" w14:textId="3F490156" w:rsidR="7579AF4D" w:rsidRPr="002B1954" w:rsidRDefault="7579AF4D" w:rsidP="7579AF4D">
            <w:pPr>
              <w:rPr>
                <w:rFonts w:eastAsia="Calibri" w:cs="Calibri"/>
                <w:sz w:val="22"/>
                <w:szCs w:val="22"/>
              </w:rPr>
            </w:pPr>
          </w:p>
        </w:tc>
        <w:tc>
          <w:tcPr>
            <w:tcW w:w="2490" w:type="dxa"/>
          </w:tcPr>
          <w:p w14:paraId="19E8C182" w14:textId="5137F424" w:rsidR="7579AF4D" w:rsidRPr="002B1954" w:rsidRDefault="7579AF4D" w:rsidP="7579AF4D">
            <w:pPr>
              <w:cnfStyle w:val="000000000000" w:firstRow="0" w:lastRow="0" w:firstColumn="0" w:lastColumn="0" w:oddVBand="0" w:evenVBand="0" w:oddHBand="0" w:evenHBand="0" w:firstRowFirstColumn="0" w:firstRowLastColumn="0" w:lastRowFirstColumn="0" w:lastRowLastColumn="0"/>
              <w:rPr>
                <w:sz w:val="22"/>
                <w:szCs w:val="22"/>
              </w:rPr>
            </w:pPr>
            <w:r w:rsidRPr="002B1954">
              <w:rPr>
                <w:rFonts w:eastAsia="Calibri" w:cs="Calibri"/>
                <w:color w:val="000000" w:themeColor="text1"/>
                <w:sz w:val="22"/>
                <w:szCs w:val="22"/>
              </w:rPr>
              <w:t>BCI</w:t>
            </w:r>
          </w:p>
        </w:tc>
        <w:tc>
          <w:tcPr>
            <w:tcW w:w="1365" w:type="dxa"/>
          </w:tcPr>
          <w:p w14:paraId="2785F640" w14:textId="5C383F39" w:rsidR="7579AF4D" w:rsidRPr="002B1954" w:rsidRDefault="7579AF4D" w:rsidP="7579AF4D">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2B1954">
              <w:rPr>
                <w:rFonts w:eastAsia="Calibri" w:cs="Calibri"/>
                <w:color w:val="000000" w:themeColor="text1"/>
                <w:sz w:val="22"/>
                <w:szCs w:val="22"/>
              </w:rPr>
              <w:t>SD</w:t>
            </w:r>
          </w:p>
        </w:tc>
      </w:tr>
      <w:tr w:rsidR="002B1954" w:rsidRPr="002B1954" w14:paraId="1B8964CB"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738E71BD" w14:textId="73EDB724"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15-19</w:t>
            </w:r>
          </w:p>
        </w:tc>
        <w:tc>
          <w:tcPr>
            <w:tcW w:w="2490" w:type="dxa"/>
          </w:tcPr>
          <w:p w14:paraId="57A01D57" w14:textId="3C56C299"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0.163</w:t>
            </w:r>
          </w:p>
        </w:tc>
        <w:tc>
          <w:tcPr>
            <w:tcW w:w="1365" w:type="dxa"/>
          </w:tcPr>
          <w:p w14:paraId="6CF1529C" w14:textId="57FC1EA6"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0.066</w:t>
            </w:r>
          </w:p>
        </w:tc>
      </w:tr>
      <w:tr w:rsidR="002B1954" w:rsidRPr="002B1954" w14:paraId="240BDB21"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768A97E7" w14:textId="13A6C5E2"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20-24</w:t>
            </w:r>
          </w:p>
        </w:tc>
        <w:tc>
          <w:tcPr>
            <w:tcW w:w="2490" w:type="dxa"/>
          </w:tcPr>
          <w:p w14:paraId="1A39DDC3" w14:textId="70D96B18"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1.559</w:t>
            </w:r>
          </w:p>
        </w:tc>
        <w:tc>
          <w:tcPr>
            <w:tcW w:w="1365" w:type="dxa"/>
          </w:tcPr>
          <w:p w14:paraId="153AE4E4" w14:textId="2ADE38B8"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0.131</w:t>
            </w:r>
          </w:p>
        </w:tc>
      </w:tr>
      <w:tr w:rsidR="002B1954" w:rsidRPr="002B1954" w14:paraId="4B7506EA"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49316A0B" w14:textId="2FC2E495"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25-29</w:t>
            </w:r>
          </w:p>
        </w:tc>
        <w:tc>
          <w:tcPr>
            <w:tcW w:w="2490" w:type="dxa"/>
          </w:tcPr>
          <w:p w14:paraId="04A846DD" w14:textId="5A2AEE1A"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9.265</w:t>
            </w:r>
          </w:p>
        </w:tc>
        <w:tc>
          <w:tcPr>
            <w:tcW w:w="1365" w:type="dxa"/>
          </w:tcPr>
          <w:p w14:paraId="21FBF4AA" w14:textId="74DEEB37"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0.291</w:t>
            </w:r>
          </w:p>
        </w:tc>
      </w:tr>
      <w:tr w:rsidR="002B1954" w:rsidRPr="002B1954" w14:paraId="5000CF7F"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3ED9CCF0" w14:textId="583A03F6"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30-34</w:t>
            </w:r>
          </w:p>
        </w:tc>
        <w:tc>
          <w:tcPr>
            <w:tcW w:w="2490" w:type="dxa"/>
          </w:tcPr>
          <w:p w14:paraId="38EC1160" w14:textId="7CF7976B"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27.919</w:t>
            </w:r>
          </w:p>
        </w:tc>
        <w:tc>
          <w:tcPr>
            <w:tcW w:w="1365" w:type="dxa"/>
          </w:tcPr>
          <w:p w14:paraId="69001619" w14:textId="41B64627"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0.915</w:t>
            </w:r>
          </w:p>
        </w:tc>
      </w:tr>
      <w:tr w:rsidR="002B1954" w:rsidRPr="002B1954" w14:paraId="2698907C"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48D0E165" w14:textId="1D2C3590"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35-39</w:t>
            </w:r>
          </w:p>
        </w:tc>
        <w:tc>
          <w:tcPr>
            <w:tcW w:w="2490" w:type="dxa"/>
          </w:tcPr>
          <w:p w14:paraId="21886024" w14:textId="570BD07A"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61.554</w:t>
            </w:r>
          </w:p>
        </w:tc>
        <w:tc>
          <w:tcPr>
            <w:tcW w:w="1365" w:type="dxa"/>
          </w:tcPr>
          <w:p w14:paraId="7CF131C9" w14:textId="1B341CB8"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1.443</w:t>
            </w:r>
          </w:p>
        </w:tc>
      </w:tr>
      <w:tr w:rsidR="002B1954" w:rsidRPr="002B1954" w14:paraId="6BF5D73B"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65BF20D3" w14:textId="1FB8E2D8"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40-44</w:t>
            </w:r>
          </w:p>
        </w:tc>
        <w:tc>
          <w:tcPr>
            <w:tcW w:w="2490" w:type="dxa"/>
          </w:tcPr>
          <w:p w14:paraId="78FA00BB" w14:textId="56DFAE12"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126.865</w:t>
            </w:r>
          </w:p>
        </w:tc>
        <w:tc>
          <w:tcPr>
            <w:tcW w:w="1365" w:type="dxa"/>
          </w:tcPr>
          <w:p w14:paraId="63928107" w14:textId="2F1B7E47"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3.122</w:t>
            </w:r>
          </w:p>
        </w:tc>
      </w:tr>
      <w:tr w:rsidR="002B1954" w:rsidRPr="002B1954" w14:paraId="7F0E2DAE"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371C6EF1" w14:textId="0E7542A4"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45-49</w:t>
            </w:r>
          </w:p>
        </w:tc>
        <w:tc>
          <w:tcPr>
            <w:tcW w:w="2490" w:type="dxa"/>
          </w:tcPr>
          <w:p w14:paraId="19056027" w14:textId="6D3C6B44"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195.414</w:t>
            </w:r>
          </w:p>
        </w:tc>
        <w:tc>
          <w:tcPr>
            <w:tcW w:w="1365" w:type="dxa"/>
          </w:tcPr>
          <w:p w14:paraId="2E4C70FF" w14:textId="369E74A4"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4.511</w:t>
            </w:r>
          </w:p>
        </w:tc>
      </w:tr>
      <w:tr w:rsidR="002B1954" w:rsidRPr="002B1954" w14:paraId="015661B7"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4D6950C4" w14:textId="593AD9F0"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50-54</w:t>
            </w:r>
          </w:p>
        </w:tc>
        <w:tc>
          <w:tcPr>
            <w:tcW w:w="2490" w:type="dxa"/>
          </w:tcPr>
          <w:p w14:paraId="15C97649" w14:textId="14B5B0DD"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231.735</w:t>
            </w:r>
          </w:p>
        </w:tc>
        <w:tc>
          <w:tcPr>
            <w:tcW w:w="1365" w:type="dxa"/>
          </w:tcPr>
          <w:p w14:paraId="112E38A7" w14:textId="6EE53391"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7.195</w:t>
            </w:r>
          </w:p>
        </w:tc>
      </w:tr>
      <w:tr w:rsidR="002B1954" w:rsidRPr="002B1954" w14:paraId="6451912A"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3A4A403F" w14:textId="52093BAE"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55-59</w:t>
            </w:r>
          </w:p>
        </w:tc>
        <w:tc>
          <w:tcPr>
            <w:tcW w:w="2490" w:type="dxa"/>
          </w:tcPr>
          <w:p w14:paraId="1094FF9A" w14:textId="7EE4B691"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269.096</w:t>
            </w:r>
          </w:p>
        </w:tc>
        <w:tc>
          <w:tcPr>
            <w:tcW w:w="1365" w:type="dxa"/>
          </w:tcPr>
          <w:p w14:paraId="523DFC59" w14:textId="73E767C7"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6.493</w:t>
            </w:r>
          </w:p>
        </w:tc>
      </w:tr>
      <w:tr w:rsidR="002B1954" w:rsidRPr="002B1954" w14:paraId="194BE0CB"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0D106F84" w14:textId="19281BB5"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60-64</w:t>
            </w:r>
          </w:p>
        </w:tc>
        <w:tc>
          <w:tcPr>
            <w:tcW w:w="2490" w:type="dxa"/>
          </w:tcPr>
          <w:p w14:paraId="7ADF1ECA" w14:textId="63DD66F8"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346.127</w:t>
            </w:r>
          </w:p>
        </w:tc>
        <w:tc>
          <w:tcPr>
            <w:tcW w:w="1365" w:type="dxa"/>
          </w:tcPr>
          <w:p w14:paraId="68EDFDEE" w14:textId="013C94DD"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9.462</w:t>
            </w:r>
          </w:p>
        </w:tc>
      </w:tr>
      <w:tr w:rsidR="002B1954" w:rsidRPr="002B1954" w14:paraId="49FFA418"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1DBF41EA" w14:textId="6E83871C"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65-69</w:t>
            </w:r>
          </w:p>
        </w:tc>
        <w:tc>
          <w:tcPr>
            <w:tcW w:w="2490" w:type="dxa"/>
          </w:tcPr>
          <w:p w14:paraId="58A45D08" w14:textId="636EC746"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432.721</w:t>
            </w:r>
          </w:p>
        </w:tc>
        <w:tc>
          <w:tcPr>
            <w:tcW w:w="1365" w:type="dxa"/>
          </w:tcPr>
          <w:p w14:paraId="7CBD246A" w14:textId="6322689C"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10.364</w:t>
            </w:r>
          </w:p>
        </w:tc>
      </w:tr>
      <w:tr w:rsidR="002B1954" w:rsidRPr="002B1954" w14:paraId="6FBE6EC1"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226761F8" w14:textId="0091DCE4"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70-74</w:t>
            </w:r>
          </w:p>
        </w:tc>
        <w:tc>
          <w:tcPr>
            <w:tcW w:w="2490" w:type="dxa"/>
          </w:tcPr>
          <w:p w14:paraId="79E3BF76" w14:textId="40B6BC54"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467.814</w:t>
            </w:r>
          </w:p>
        </w:tc>
        <w:tc>
          <w:tcPr>
            <w:tcW w:w="1365" w:type="dxa"/>
          </w:tcPr>
          <w:p w14:paraId="09E267DE" w14:textId="2F533EE6"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14.110</w:t>
            </w:r>
          </w:p>
        </w:tc>
      </w:tr>
      <w:tr w:rsidR="002B1954" w:rsidRPr="002B1954" w14:paraId="5FA709D7"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109D7874" w14:textId="1E23C0AB"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75-79</w:t>
            </w:r>
          </w:p>
        </w:tc>
        <w:tc>
          <w:tcPr>
            <w:tcW w:w="2490" w:type="dxa"/>
          </w:tcPr>
          <w:p w14:paraId="5B1E8BD4" w14:textId="36B95B2C"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466.629</w:t>
            </w:r>
          </w:p>
        </w:tc>
        <w:tc>
          <w:tcPr>
            <w:tcW w:w="1365" w:type="dxa"/>
          </w:tcPr>
          <w:p w14:paraId="1A52E67E" w14:textId="5EC4E2C3"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9.784</w:t>
            </w:r>
          </w:p>
        </w:tc>
      </w:tr>
      <w:tr w:rsidR="002B1954" w:rsidRPr="002B1954" w14:paraId="193C9F0E"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201F82BB" w14:textId="09AF6726"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80-84</w:t>
            </w:r>
          </w:p>
        </w:tc>
        <w:tc>
          <w:tcPr>
            <w:tcW w:w="2490" w:type="dxa"/>
          </w:tcPr>
          <w:p w14:paraId="70B50254" w14:textId="05197A1A"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428.639</w:t>
            </w:r>
          </w:p>
        </w:tc>
        <w:tc>
          <w:tcPr>
            <w:tcW w:w="1365" w:type="dxa"/>
          </w:tcPr>
          <w:p w14:paraId="18DE116A" w14:textId="1A205A29"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11.151</w:t>
            </w:r>
          </w:p>
        </w:tc>
      </w:tr>
      <w:tr w:rsidR="002B1954" w:rsidRPr="002B1954" w14:paraId="3C1DE82E" w14:textId="77777777" w:rsidTr="007E3B3F">
        <w:trPr>
          <w:trHeight w:val="300"/>
          <w:jc w:val="center"/>
        </w:trPr>
        <w:tc>
          <w:tcPr>
            <w:cnfStyle w:val="001000000000" w:firstRow="0" w:lastRow="0" w:firstColumn="1" w:lastColumn="0" w:oddVBand="0" w:evenVBand="0" w:oddHBand="0" w:evenHBand="0" w:firstRowFirstColumn="0" w:firstRowLastColumn="0" w:lastRowFirstColumn="0" w:lastRowLastColumn="0"/>
            <w:tcW w:w="1740" w:type="dxa"/>
          </w:tcPr>
          <w:p w14:paraId="3969AF24" w14:textId="4EE88CC2" w:rsidR="002B1954" w:rsidRPr="002B1954" w:rsidRDefault="002B1954" w:rsidP="002B1954">
            <w:pPr>
              <w:rPr>
                <w:rFonts w:eastAsia="Calibri" w:cs="Calibri"/>
                <w:color w:val="000000" w:themeColor="text1"/>
                <w:sz w:val="22"/>
                <w:szCs w:val="22"/>
              </w:rPr>
            </w:pPr>
            <w:r w:rsidRPr="002B1954">
              <w:rPr>
                <w:rFonts w:eastAsia="Calibri" w:cs="Calibri"/>
                <w:color w:val="000000" w:themeColor="text1"/>
                <w:sz w:val="22"/>
                <w:szCs w:val="22"/>
              </w:rPr>
              <w:t>Ages 85+</w:t>
            </w:r>
          </w:p>
        </w:tc>
        <w:tc>
          <w:tcPr>
            <w:tcW w:w="2490" w:type="dxa"/>
          </w:tcPr>
          <w:p w14:paraId="36A4BC41" w14:textId="3B0E4619"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F26322">
              <w:t>343.785</w:t>
            </w:r>
          </w:p>
        </w:tc>
        <w:tc>
          <w:tcPr>
            <w:tcW w:w="1365" w:type="dxa"/>
          </w:tcPr>
          <w:p w14:paraId="4C86A06C" w14:textId="4B2C558B" w:rsidR="002B1954" w:rsidRPr="002B1954" w:rsidRDefault="002B1954" w:rsidP="002B1954">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0070266E">
              <w:t>11.887</w:t>
            </w:r>
          </w:p>
        </w:tc>
      </w:tr>
    </w:tbl>
    <w:p w14:paraId="56B6F651" w14:textId="5860F626" w:rsidR="00422957" w:rsidRDefault="00422957" w:rsidP="0A20B416">
      <w:pPr>
        <w:rPr>
          <w:rFonts w:ascii="Calibri" w:eastAsia="Calibri" w:hAnsi="Calibri" w:cs="Calibri"/>
          <w:color w:val="000000" w:themeColor="text1"/>
          <w:sz w:val="22"/>
          <w:szCs w:val="22"/>
        </w:rPr>
      </w:pPr>
    </w:p>
    <w:p w14:paraId="076D29E5" w14:textId="025D0552" w:rsidR="00422957" w:rsidRDefault="00422957" w:rsidP="7579AF4D"/>
    <w:p w14:paraId="0C1FCADA" w14:textId="0224B20D" w:rsidR="7579AF4D" w:rsidRDefault="7579AF4D" w:rsidP="7579AF4D"/>
    <w:p w14:paraId="01476C03" w14:textId="29393101" w:rsidR="7579AF4D" w:rsidRPr="007E3B3F" w:rsidRDefault="7579AF4D" w:rsidP="7579AF4D">
      <w:pPr>
        <w:spacing w:after="120" w:line="360" w:lineRule="auto"/>
        <w:rPr>
          <w:rFonts w:eastAsia="Calibri" w:cs="Calibri"/>
          <w:b/>
          <w:bCs/>
          <w:color w:val="000000" w:themeColor="text1"/>
        </w:rPr>
      </w:pPr>
      <w:r w:rsidRPr="007E3B3F">
        <w:rPr>
          <w:rFonts w:eastAsia="Calibri" w:cs="Calibri"/>
          <w:b/>
          <w:bCs/>
          <w:color w:val="000000" w:themeColor="text1"/>
        </w:rPr>
        <w:t>References</w:t>
      </w:r>
    </w:p>
    <w:p w14:paraId="7C4E5E2C" w14:textId="68620BAD" w:rsidR="7579AF4D" w:rsidRDefault="7579AF4D" w:rsidP="7579AF4D"/>
    <w:p w14:paraId="03FDD188" w14:textId="77777777" w:rsidR="007701DD" w:rsidRPr="00812764" w:rsidRDefault="007701DD" w:rsidP="007701DD">
      <w:pPr>
        <w:pStyle w:val="ListParagraph"/>
        <w:rPr>
          <w:rFonts w:eastAsia="Times New Roman" w:cs="Segoe UI"/>
          <w:kern w:val="0"/>
          <w:lang w:eastAsia="pt-BR"/>
          <w14:ligatures w14:val="none"/>
        </w:rPr>
      </w:pPr>
    </w:p>
    <w:p w14:paraId="07A17ACE" w14:textId="7EF2136D" w:rsidR="00CC5AC4" w:rsidRDefault="007701DD" w:rsidP="00CC5AC4">
      <w:pPr>
        <w:pStyle w:val="ListParagraph"/>
        <w:widowControl w:val="0"/>
        <w:numPr>
          <w:ilvl w:val="0"/>
          <w:numId w:val="6"/>
        </w:numPr>
        <w:autoSpaceDE w:val="0"/>
        <w:autoSpaceDN w:val="0"/>
        <w:adjustRightInd w:val="0"/>
        <w:spacing w:after="140" w:line="288" w:lineRule="auto"/>
        <w:rPr>
          <w:rFonts w:cs="Times New Roman"/>
          <w:kern w:val="0"/>
        </w:rPr>
      </w:pPr>
      <w:r w:rsidRPr="00812764">
        <w:rPr>
          <w:rFonts w:cs="Times New Roman"/>
          <w:kern w:val="0"/>
        </w:rPr>
        <w:t xml:space="preserve">Glaser, R. L. &amp; </w:t>
      </w:r>
      <w:proofErr w:type="spellStart"/>
      <w:r w:rsidRPr="00812764">
        <w:rPr>
          <w:rFonts w:cs="Times New Roman"/>
          <w:kern w:val="0"/>
        </w:rPr>
        <w:t>Dimitrakakis</w:t>
      </w:r>
      <w:proofErr w:type="spellEnd"/>
      <w:r w:rsidRPr="00812764">
        <w:rPr>
          <w:rFonts w:cs="Times New Roman"/>
          <w:kern w:val="0"/>
        </w:rPr>
        <w:t xml:space="preserve">, C. Reduced breast cancer incidence in women treated with subcutaneous testosterone, or testosterone with anastrozole: A prospective, observational study. </w:t>
      </w:r>
      <w:proofErr w:type="spellStart"/>
      <w:r w:rsidRPr="00812764">
        <w:rPr>
          <w:rFonts w:cs="Times New Roman"/>
          <w:iCs/>
          <w:kern w:val="0"/>
        </w:rPr>
        <w:t>Maturitas</w:t>
      </w:r>
      <w:proofErr w:type="spellEnd"/>
      <w:r w:rsidRPr="00812764">
        <w:rPr>
          <w:rFonts w:cs="Times New Roman"/>
          <w:iCs/>
          <w:kern w:val="0"/>
        </w:rPr>
        <w:t>.</w:t>
      </w:r>
      <w:r w:rsidRPr="00812764">
        <w:rPr>
          <w:rFonts w:cs="Times New Roman"/>
          <w:kern w:val="0"/>
        </w:rPr>
        <w:t xml:space="preserve"> 2013;</w:t>
      </w:r>
      <w:r w:rsidRPr="00812764">
        <w:rPr>
          <w:rFonts w:cs="Times New Roman"/>
          <w:bCs/>
          <w:kern w:val="0"/>
        </w:rPr>
        <w:t>76</w:t>
      </w:r>
      <w:r w:rsidRPr="00812764">
        <w:rPr>
          <w:rFonts w:cs="Times New Roman"/>
          <w:kern w:val="0"/>
        </w:rPr>
        <w:t>: 342–349.</w:t>
      </w:r>
    </w:p>
    <w:p w14:paraId="62AC242A" w14:textId="77777777" w:rsidR="00CC5AC4" w:rsidRPr="00CC5AC4" w:rsidRDefault="00CC5AC4" w:rsidP="00CC5AC4">
      <w:pPr>
        <w:pStyle w:val="ListParagraph"/>
        <w:widowControl w:val="0"/>
        <w:autoSpaceDE w:val="0"/>
        <w:autoSpaceDN w:val="0"/>
        <w:adjustRightInd w:val="0"/>
        <w:spacing w:after="140" w:line="288" w:lineRule="auto"/>
        <w:rPr>
          <w:rFonts w:cs="Times New Roman"/>
          <w:kern w:val="0"/>
        </w:rPr>
      </w:pPr>
    </w:p>
    <w:p w14:paraId="4BDD2654" w14:textId="130163C6" w:rsidR="002C1DA8" w:rsidRPr="002C1DA8" w:rsidRDefault="002C1DA8" w:rsidP="002C1DA8">
      <w:pPr>
        <w:pStyle w:val="ListParagraph"/>
        <w:widowControl w:val="0"/>
        <w:numPr>
          <w:ilvl w:val="0"/>
          <w:numId w:val="6"/>
        </w:numPr>
        <w:autoSpaceDE w:val="0"/>
        <w:autoSpaceDN w:val="0"/>
        <w:adjustRightInd w:val="0"/>
        <w:spacing w:after="140" w:line="288" w:lineRule="auto"/>
        <w:rPr>
          <w:rFonts w:cs="Times New Roman"/>
          <w:kern w:val="0"/>
        </w:rPr>
      </w:pPr>
      <w:r>
        <w:rPr>
          <w:rFonts w:ascii="Segoe UI" w:hAnsi="Segoe UI" w:cs="Segoe UI"/>
          <w:color w:val="333333"/>
          <w:shd w:val="clear" w:color="auto" w:fill="FFFFFF"/>
        </w:rPr>
        <w:t xml:space="preserve">Glaser, R., York, A.E. &amp; </w:t>
      </w:r>
      <w:proofErr w:type="spellStart"/>
      <w:r>
        <w:rPr>
          <w:rFonts w:ascii="Segoe UI" w:hAnsi="Segoe UI" w:cs="Segoe UI"/>
          <w:color w:val="333333"/>
          <w:shd w:val="clear" w:color="auto" w:fill="FFFFFF"/>
        </w:rPr>
        <w:t>Dimitrakakis</w:t>
      </w:r>
      <w:proofErr w:type="spellEnd"/>
      <w:r>
        <w:rPr>
          <w:rFonts w:ascii="Segoe UI" w:hAnsi="Segoe UI" w:cs="Segoe UI"/>
          <w:color w:val="333333"/>
          <w:shd w:val="clear" w:color="auto" w:fill="FFFFFF"/>
        </w:rPr>
        <w:t>, C. Incidence of invasive breast cancer in women treated with testosterone implants: a prospective 10-year cohort study.</w:t>
      </w:r>
      <w:r>
        <w:rPr>
          <w:rStyle w:val="apple-converted-space"/>
          <w:rFonts w:ascii="Segoe UI" w:hAnsi="Segoe UI" w:cs="Segoe UI"/>
          <w:color w:val="333333"/>
          <w:shd w:val="clear" w:color="auto" w:fill="FFFFFF"/>
        </w:rPr>
        <w:t> </w:t>
      </w:r>
      <w:r>
        <w:rPr>
          <w:rFonts w:ascii="Segoe UI" w:hAnsi="Segoe UI" w:cs="Segoe UI"/>
          <w:i/>
          <w:iCs/>
          <w:color w:val="333333"/>
        </w:rPr>
        <w:t>BMC Cancer</w:t>
      </w:r>
      <w:r>
        <w:rPr>
          <w:rStyle w:val="apple-converted-space"/>
          <w:rFonts w:ascii="Segoe UI" w:hAnsi="Segoe UI" w:cs="Segoe UI"/>
          <w:color w:val="333333"/>
          <w:shd w:val="clear" w:color="auto" w:fill="FFFFFF"/>
        </w:rPr>
        <w:t> </w:t>
      </w:r>
      <w:r>
        <w:rPr>
          <w:rFonts w:ascii="Segoe UI" w:hAnsi="Segoe UI" w:cs="Segoe UI"/>
          <w:b/>
          <w:bCs/>
          <w:color w:val="333333"/>
        </w:rPr>
        <w:t>19</w:t>
      </w:r>
      <w:r>
        <w:rPr>
          <w:rFonts w:ascii="Segoe UI" w:hAnsi="Segoe UI" w:cs="Segoe UI"/>
          <w:color w:val="333333"/>
          <w:shd w:val="clear" w:color="auto" w:fill="FFFFFF"/>
        </w:rPr>
        <w:t xml:space="preserve">, 1271 (2019). </w:t>
      </w:r>
      <w:hyperlink r:id="rId6" w:history="1">
        <w:r w:rsidRPr="00DF0B12">
          <w:rPr>
            <w:rStyle w:val="Hyperlink"/>
            <w:rFonts w:ascii="Segoe UI" w:hAnsi="Segoe UI" w:cs="Segoe UI"/>
            <w:shd w:val="clear" w:color="auto" w:fill="FFFFFF"/>
          </w:rPr>
          <w:t>https://doi.org/10.1186/s12885-019-6457-8</w:t>
        </w:r>
      </w:hyperlink>
      <w:r>
        <w:rPr>
          <w:rFonts w:ascii="Segoe UI" w:hAnsi="Segoe UI" w:cs="Segoe UI"/>
          <w:color w:val="333333"/>
          <w:shd w:val="clear" w:color="auto" w:fill="FFFFFF"/>
        </w:rPr>
        <w:t xml:space="preserve"> </w:t>
      </w:r>
    </w:p>
    <w:p w14:paraId="628C0DE7" w14:textId="77777777" w:rsidR="007701DD" w:rsidRPr="007701DD" w:rsidRDefault="007701DD" w:rsidP="007701DD">
      <w:pPr>
        <w:pStyle w:val="ListParagraph"/>
        <w:rPr>
          <w:rFonts w:ascii="Aptos" w:eastAsia="Times New Roman" w:hAnsi="Aptos" w:cs="Segoe UI"/>
          <w:kern w:val="0"/>
          <w:lang w:eastAsia="pt-BR"/>
          <w14:ligatures w14:val="none"/>
        </w:rPr>
      </w:pPr>
    </w:p>
    <w:p w14:paraId="56FE4375" w14:textId="77777777" w:rsidR="007701DD" w:rsidRPr="007701DD" w:rsidRDefault="007701DD" w:rsidP="007701DD">
      <w:pPr>
        <w:pStyle w:val="ListParagraph"/>
        <w:widowControl w:val="0"/>
        <w:numPr>
          <w:ilvl w:val="0"/>
          <w:numId w:val="6"/>
        </w:numPr>
        <w:autoSpaceDE w:val="0"/>
        <w:autoSpaceDN w:val="0"/>
        <w:adjustRightInd w:val="0"/>
        <w:spacing w:after="140" w:line="288" w:lineRule="auto"/>
        <w:rPr>
          <w:rFonts w:cs="Times New Roman"/>
          <w:kern w:val="0"/>
        </w:rPr>
      </w:pPr>
      <w:r w:rsidRPr="007701DD">
        <w:rPr>
          <w:rFonts w:ascii="Aptos" w:eastAsia="Times New Roman" w:hAnsi="Aptos" w:cs="Segoe UI"/>
          <w:kern w:val="0"/>
          <w:lang w:eastAsia="pt-BR"/>
          <w14:ligatures w14:val="none"/>
        </w:rPr>
        <w:t>National Program of Cancer Registries and Surveillance</w:t>
      </w:r>
      <w:r>
        <w:rPr>
          <w:rFonts w:ascii="Aptos" w:eastAsia="Times New Roman" w:hAnsi="Aptos" w:cs="Segoe UI"/>
          <w:kern w:val="0"/>
          <w:lang w:eastAsia="pt-BR"/>
          <w14:ligatures w14:val="none"/>
        </w:rPr>
        <w:t>, Epidemiology, and End Results</w:t>
      </w:r>
      <w:r w:rsidRPr="007701DD">
        <w:rPr>
          <w:rFonts w:ascii="Aptos" w:eastAsia="Times New Roman" w:hAnsi="Aptos" w:cs="Segoe UI"/>
          <w:kern w:val="0"/>
          <w:lang w:eastAsia="pt-BR"/>
          <w14:ligatures w14:val="none"/>
        </w:rPr>
        <w:t xml:space="preserve"> SEER. United States Department of Health and Human Services, Centers for Disease Control and Prevention. 2022. </w:t>
      </w:r>
      <w:hyperlink r:id="rId7" w:tgtFrame="_blank" w:history="1">
        <w:r w:rsidRPr="007701DD">
          <w:rPr>
            <w:rFonts w:ascii="Aptos" w:eastAsia="Times New Roman" w:hAnsi="Aptos" w:cs="Segoe UI"/>
            <w:color w:val="0000FF"/>
            <w:kern w:val="0"/>
            <w:u w:val="single"/>
            <w:lang w:eastAsia="pt-BR"/>
            <w14:ligatures w14:val="none"/>
          </w:rPr>
          <w:t>https://www.cdc.gov/cancer/npcr/index.htm.</w:t>
        </w:r>
      </w:hyperlink>
    </w:p>
    <w:p w14:paraId="736EB84B" w14:textId="77777777" w:rsidR="007701DD" w:rsidRPr="007701DD" w:rsidRDefault="007701DD" w:rsidP="007701DD">
      <w:pPr>
        <w:pStyle w:val="ListParagraph"/>
        <w:rPr>
          <w:rFonts w:ascii="CMR12" w:hAnsi="CMR12" w:cs="CMR12"/>
          <w:kern w:val="0"/>
          <w:lang w:val="pt-BR"/>
        </w:rPr>
      </w:pPr>
    </w:p>
    <w:p w14:paraId="538D4301" w14:textId="77777777" w:rsidR="007701DD" w:rsidRPr="007701DD" w:rsidRDefault="007701DD" w:rsidP="007701DD">
      <w:pPr>
        <w:pStyle w:val="ListParagraph"/>
        <w:widowControl w:val="0"/>
        <w:numPr>
          <w:ilvl w:val="0"/>
          <w:numId w:val="6"/>
        </w:numPr>
        <w:autoSpaceDE w:val="0"/>
        <w:autoSpaceDN w:val="0"/>
        <w:adjustRightInd w:val="0"/>
        <w:spacing w:after="140" w:line="288" w:lineRule="auto"/>
        <w:rPr>
          <w:rFonts w:cs="Times New Roman"/>
          <w:kern w:val="0"/>
        </w:rPr>
      </w:pPr>
      <w:proofErr w:type="spellStart"/>
      <w:r w:rsidRPr="007701DD">
        <w:rPr>
          <w:rFonts w:ascii="CMR12" w:hAnsi="CMR12" w:cs="CMR12"/>
          <w:kern w:val="0"/>
          <w:lang w:val="pt-BR"/>
        </w:rPr>
        <w:t>Feller</w:t>
      </w:r>
      <w:proofErr w:type="spellEnd"/>
      <w:r w:rsidRPr="007701DD">
        <w:rPr>
          <w:rFonts w:ascii="CMR12" w:hAnsi="CMR12" w:cs="CMR12"/>
          <w:kern w:val="0"/>
          <w:lang w:val="pt-BR"/>
        </w:rPr>
        <w:t xml:space="preserve"> WF. </w:t>
      </w:r>
      <w:proofErr w:type="spellStart"/>
      <w:r w:rsidRPr="007701DD">
        <w:rPr>
          <w:rFonts w:ascii="CMR12" w:hAnsi="CMR12" w:cs="CMR12"/>
          <w:kern w:val="0"/>
          <w:lang w:val="pt-BR"/>
        </w:rPr>
        <w:t>An</w:t>
      </w:r>
      <w:proofErr w:type="spellEnd"/>
      <w:r w:rsidRPr="007701DD">
        <w:rPr>
          <w:rFonts w:ascii="CMR12" w:hAnsi="CMR12" w:cs="CMR12"/>
          <w:kern w:val="0"/>
          <w:lang w:val="pt-BR"/>
        </w:rPr>
        <w:t xml:space="preserve"> </w:t>
      </w:r>
      <w:proofErr w:type="spellStart"/>
      <w:r w:rsidRPr="007701DD">
        <w:rPr>
          <w:rFonts w:ascii="CMR12" w:hAnsi="CMR12" w:cs="CMR12"/>
          <w:kern w:val="0"/>
          <w:lang w:val="pt-BR"/>
        </w:rPr>
        <w:t>Introduction</w:t>
      </w:r>
      <w:proofErr w:type="spellEnd"/>
      <w:r w:rsidRPr="007701DD">
        <w:rPr>
          <w:rFonts w:ascii="CMR12" w:hAnsi="CMR12" w:cs="CMR12"/>
          <w:kern w:val="0"/>
          <w:lang w:val="pt-BR"/>
        </w:rPr>
        <w:t xml:space="preserve"> </w:t>
      </w:r>
      <w:proofErr w:type="spellStart"/>
      <w:r w:rsidRPr="007701DD">
        <w:rPr>
          <w:rFonts w:ascii="CMR12" w:hAnsi="CMR12" w:cs="CMR12"/>
          <w:kern w:val="0"/>
          <w:lang w:val="pt-BR"/>
        </w:rPr>
        <w:t>to</w:t>
      </w:r>
      <w:proofErr w:type="spellEnd"/>
      <w:r w:rsidRPr="007701DD">
        <w:rPr>
          <w:rFonts w:ascii="CMR12" w:hAnsi="CMR12" w:cs="CMR12"/>
          <w:kern w:val="0"/>
          <w:lang w:val="pt-BR"/>
        </w:rPr>
        <w:t xml:space="preserve"> </w:t>
      </w:r>
      <w:proofErr w:type="spellStart"/>
      <w:r w:rsidRPr="007701DD">
        <w:rPr>
          <w:rFonts w:ascii="CMR12" w:hAnsi="CMR12" w:cs="CMR12"/>
          <w:kern w:val="0"/>
          <w:lang w:val="pt-BR"/>
        </w:rPr>
        <w:t>Probability</w:t>
      </w:r>
      <w:proofErr w:type="spellEnd"/>
      <w:r w:rsidRPr="007701DD">
        <w:rPr>
          <w:rFonts w:ascii="CMR12" w:hAnsi="CMR12" w:cs="CMR12"/>
          <w:kern w:val="0"/>
          <w:lang w:val="pt-BR"/>
        </w:rPr>
        <w:t xml:space="preserve"> </w:t>
      </w:r>
      <w:proofErr w:type="spellStart"/>
      <w:r w:rsidRPr="007701DD">
        <w:rPr>
          <w:rFonts w:ascii="CMR12" w:hAnsi="CMR12" w:cs="CMR12"/>
          <w:kern w:val="0"/>
          <w:lang w:val="pt-BR"/>
        </w:rPr>
        <w:t>Theory</w:t>
      </w:r>
      <w:proofErr w:type="spellEnd"/>
      <w:r w:rsidRPr="007701DD">
        <w:rPr>
          <w:rFonts w:ascii="CMR12" w:hAnsi="CMR12" w:cs="CMR12"/>
          <w:kern w:val="0"/>
          <w:lang w:val="pt-BR"/>
        </w:rPr>
        <w:t xml:space="preserve"> </w:t>
      </w:r>
      <w:proofErr w:type="spellStart"/>
      <w:r w:rsidRPr="007701DD">
        <w:rPr>
          <w:rFonts w:ascii="CMR12" w:hAnsi="CMR12" w:cs="CMR12"/>
          <w:kern w:val="0"/>
          <w:lang w:val="pt-BR"/>
        </w:rPr>
        <w:t>and</w:t>
      </w:r>
      <w:proofErr w:type="spellEnd"/>
      <w:r w:rsidRPr="007701DD">
        <w:rPr>
          <w:rFonts w:ascii="CMR12" w:hAnsi="CMR12" w:cs="CMR12"/>
          <w:kern w:val="0"/>
          <w:lang w:val="pt-BR"/>
        </w:rPr>
        <w:t xml:space="preserve"> its </w:t>
      </w:r>
      <w:proofErr w:type="spellStart"/>
      <w:r w:rsidRPr="007701DD">
        <w:rPr>
          <w:rFonts w:ascii="CMR12" w:hAnsi="CMR12" w:cs="CMR12"/>
          <w:kern w:val="0"/>
          <w:lang w:val="pt-BR"/>
        </w:rPr>
        <w:t>Applications</w:t>
      </w:r>
      <w:proofErr w:type="spellEnd"/>
      <w:r w:rsidRPr="007701DD">
        <w:rPr>
          <w:rFonts w:ascii="CMR12" w:hAnsi="CMR12" w:cs="CMR12"/>
          <w:kern w:val="0"/>
          <w:lang w:val="pt-BR"/>
        </w:rPr>
        <w:t xml:space="preserve">. vol. 1. </w:t>
      </w:r>
      <w:proofErr w:type="spellStart"/>
      <w:r w:rsidRPr="007701DD">
        <w:rPr>
          <w:rFonts w:ascii="CMR12" w:hAnsi="CMR12" w:cs="CMR12"/>
          <w:kern w:val="0"/>
          <w:lang w:val="pt-BR"/>
        </w:rPr>
        <w:t>Wiley</w:t>
      </w:r>
      <w:proofErr w:type="spellEnd"/>
      <w:r w:rsidRPr="007701DD">
        <w:rPr>
          <w:rFonts w:ascii="CMR12" w:hAnsi="CMR12" w:cs="CMR12"/>
          <w:kern w:val="0"/>
          <w:lang w:val="pt-BR"/>
        </w:rPr>
        <w:t>; 1950.</w:t>
      </w:r>
    </w:p>
    <w:p w14:paraId="6D506E81" w14:textId="77777777" w:rsidR="007701DD" w:rsidRPr="007701DD" w:rsidRDefault="007701DD" w:rsidP="007701DD">
      <w:pPr>
        <w:pStyle w:val="ListParagraph"/>
        <w:rPr>
          <w:rFonts w:ascii="Aptos" w:eastAsia="Aptos" w:hAnsi="Aptos" w:cs="Aptos"/>
        </w:rPr>
      </w:pPr>
    </w:p>
    <w:p w14:paraId="28705183" w14:textId="2A672F45" w:rsidR="007E3B3F" w:rsidRPr="007701DD" w:rsidRDefault="007E3B3F" w:rsidP="007701DD">
      <w:pPr>
        <w:pStyle w:val="ListParagraph"/>
        <w:widowControl w:val="0"/>
        <w:numPr>
          <w:ilvl w:val="0"/>
          <w:numId w:val="6"/>
        </w:numPr>
        <w:autoSpaceDE w:val="0"/>
        <w:autoSpaceDN w:val="0"/>
        <w:adjustRightInd w:val="0"/>
        <w:spacing w:after="140" w:line="288" w:lineRule="auto"/>
        <w:rPr>
          <w:rFonts w:cs="Times New Roman"/>
          <w:kern w:val="0"/>
        </w:rPr>
      </w:pPr>
      <w:r w:rsidRPr="007701DD">
        <w:rPr>
          <w:rFonts w:ascii="Aptos" w:eastAsia="Aptos" w:hAnsi="Aptos" w:cs="Aptos"/>
        </w:rPr>
        <w:t xml:space="preserve">RStudio Team. RStudio: integrated development for R. Preprint at </w:t>
      </w:r>
      <w:hyperlink r:id="rId8">
        <w:r w:rsidRPr="4A25A07E">
          <w:rPr>
            <w:rStyle w:val="Hyperlink"/>
          </w:rPr>
          <w:t>http://www.rstudio.com/</w:t>
        </w:r>
      </w:hyperlink>
      <w:r w:rsidRPr="007701DD">
        <w:rPr>
          <w:rFonts w:ascii="Aptos" w:eastAsia="Aptos" w:hAnsi="Aptos" w:cs="Aptos"/>
        </w:rPr>
        <w:t>. (2020).</w:t>
      </w:r>
    </w:p>
    <w:p w14:paraId="6CBF77FC" w14:textId="513F8844" w:rsidR="007E3B3F" w:rsidRDefault="007E3B3F" w:rsidP="7579AF4D"/>
    <w:p w14:paraId="46A5160B" w14:textId="501F9AA1" w:rsidR="7579AF4D" w:rsidRDefault="7579AF4D" w:rsidP="0A20B416">
      <w:pPr>
        <w:jc w:val="both"/>
        <w:rPr>
          <w:rFonts w:ascii="Aptos" w:eastAsia="Aptos" w:hAnsi="Aptos" w:cs="Aptos"/>
        </w:rPr>
      </w:pPr>
    </w:p>
    <w:p w14:paraId="5B6D18FD" w14:textId="5FD902AA" w:rsidR="7579AF4D" w:rsidRDefault="7579AF4D" w:rsidP="7579AF4D">
      <w:pPr>
        <w:jc w:val="center"/>
      </w:pPr>
    </w:p>
    <w:p w14:paraId="30D33DB1" w14:textId="432BEB1E" w:rsidR="00025791" w:rsidRPr="002B1954" w:rsidRDefault="003072BF" w:rsidP="00025791">
      <w:pPr>
        <w:spacing w:after="120" w:line="360" w:lineRule="auto"/>
        <w:jc w:val="both"/>
        <w:rPr>
          <w:rFonts w:eastAsia="Calibri" w:cs="Calibri"/>
          <w:color w:val="000000" w:themeColor="text1"/>
        </w:rPr>
      </w:pPr>
      <w:r w:rsidRPr="002B1954">
        <w:rPr>
          <w:rFonts w:eastAsia="Calibri" w:cs="Calibri"/>
          <w:b/>
          <w:bCs/>
          <w:color w:val="000000" w:themeColor="text1"/>
        </w:rPr>
        <w:t>Patients</w:t>
      </w:r>
      <w:r w:rsidR="00025791" w:rsidRPr="002B1954">
        <w:rPr>
          <w:rFonts w:eastAsia="Calibri" w:cs="Calibri"/>
          <w:b/>
          <w:bCs/>
          <w:color w:val="000000" w:themeColor="text1"/>
        </w:rPr>
        <w:t xml:space="preserve"> follow up</w:t>
      </w:r>
    </w:p>
    <w:p w14:paraId="32F287A4" w14:textId="77777777" w:rsidR="00025791" w:rsidRPr="002B1954" w:rsidRDefault="00025791" w:rsidP="00025791">
      <w:pPr>
        <w:jc w:val="both"/>
        <w:rPr>
          <w:rFonts w:eastAsia="Calibri" w:cs="Calibri"/>
          <w:color w:val="000000" w:themeColor="text1"/>
        </w:rPr>
      </w:pPr>
      <w:r w:rsidRPr="002B1954">
        <w:rPr>
          <w:rFonts w:eastAsia="Calibri" w:cs="Calibri"/>
          <w:color w:val="000000" w:themeColor="text1"/>
        </w:rPr>
        <w:t>As previously reported in our 5-year interim analysis [1]</w:t>
      </w:r>
    </w:p>
    <w:p w14:paraId="1D4A7E57" w14:textId="77777777" w:rsidR="00025791" w:rsidRPr="002B1954" w:rsidRDefault="00025791" w:rsidP="00025791">
      <w:pPr>
        <w:spacing w:after="120" w:line="276" w:lineRule="auto"/>
        <w:ind w:left="720"/>
        <w:rPr>
          <w:rFonts w:eastAsia="Calibri" w:cs="Calibri"/>
          <w:color w:val="000000" w:themeColor="text1"/>
        </w:rPr>
      </w:pPr>
      <w:r w:rsidRPr="002B1954">
        <w:rPr>
          <w:rFonts w:eastAsia="Calibri" w:cs="Calibri"/>
          <w:color w:val="000000" w:themeColor="text1"/>
        </w:rPr>
        <w:t>‘A custom web-based application using Microsoft Active Server Pages with a MySQL database backend system was developed to prospectively follow and track patients. Date and dose of the first T implant insertion and each subsequent insertion along with patient identifiers were entered. The computer program continuously tracks the number of person-days for patient and calculates a running sum (cumulative total) across the group. The system was programmed to identify women who had not returned for therapy within a pre-set time frame of 240 days, 2.5 times the average interval of insertion/duration of clinical efficacy of 96 days.  Weekly ‘follow-up’ phone calls were made by designated research personnel. Any participant not seen for 240 days was contacted and breast cancer status was documented.  All patients no longer receiving therapy, agreed to contact the office in the future for any subsequent diagnosis of breast cancer.’</w:t>
      </w:r>
    </w:p>
    <w:p w14:paraId="4DDD8853" w14:textId="77777777" w:rsidR="00025791" w:rsidRPr="002B1954" w:rsidRDefault="00025791" w:rsidP="00025791">
      <w:pPr>
        <w:spacing w:after="120" w:line="276" w:lineRule="auto"/>
        <w:jc w:val="both"/>
        <w:rPr>
          <w:rFonts w:eastAsia="Calibri" w:cs="Calibri"/>
          <w:color w:val="000000" w:themeColor="text1"/>
        </w:rPr>
      </w:pPr>
      <w:r w:rsidRPr="002B1954">
        <w:rPr>
          <w:rFonts w:eastAsia="Calibri" w:cs="Calibri"/>
          <w:color w:val="000000" w:themeColor="text1"/>
        </w:rPr>
        <w:lastRenderedPageBreak/>
        <w:t xml:space="preserve">Approaching study years 5, 7, 9, and 10, additional phone calls were made to patients no longer on T therapy to document breast cancer status. </w:t>
      </w:r>
    </w:p>
    <w:p w14:paraId="46C3C53F" w14:textId="77777777" w:rsidR="00025791" w:rsidRPr="002B1954" w:rsidRDefault="00025791" w:rsidP="00025791">
      <w:pPr>
        <w:spacing w:after="120" w:line="276" w:lineRule="auto"/>
        <w:jc w:val="both"/>
        <w:rPr>
          <w:rFonts w:eastAsia="Calibri" w:cs="Calibri"/>
          <w:color w:val="000000" w:themeColor="text1"/>
        </w:rPr>
      </w:pPr>
      <w:r w:rsidRPr="002B1954">
        <w:rPr>
          <w:rFonts w:eastAsia="Calibri" w:cs="Calibri"/>
          <w:color w:val="000000" w:themeColor="text1"/>
        </w:rPr>
        <w:t>All abnormal mammograms were followed until biopsy results were available or subsequent imaging demonstrated a Breast Imaging Reporting and Data System assessment of category 1 (negative) or category 2 (benign, non-cancerous). Any self-reported palpable masses were evaluated by clinical breast exam and office ultrasound (RG) followed by radiographic evaluation and biopsy if indicated. All breast cancers were verified by obtaining pathology reports from core biopsies and definitive surgical procedures.</w:t>
      </w:r>
    </w:p>
    <w:p w14:paraId="453F84B7" w14:textId="77777777" w:rsidR="00025791" w:rsidRDefault="00025791" w:rsidP="00025791"/>
    <w:sectPr w:rsidR="00025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0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MR12">
    <w:altName w:val="Calibri"/>
    <w:panose1 w:val="020B0604020202020204"/>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7AD"/>
    <w:multiLevelType w:val="hybridMultilevel"/>
    <w:tmpl w:val="5622F1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832D4C"/>
    <w:multiLevelType w:val="multilevel"/>
    <w:tmpl w:val="10D28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24F50"/>
    <w:multiLevelType w:val="hybridMultilevel"/>
    <w:tmpl w:val="F864BD30"/>
    <w:lvl w:ilvl="0" w:tplc="21CC1280">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CC4D80"/>
    <w:multiLevelType w:val="hybridMultilevel"/>
    <w:tmpl w:val="D2EE8A50"/>
    <w:lvl w:ilvl="0" w:tplc="B7220B74">
      <w:start w:val="1"/>
      <w:numFmt w:val="decimal"/>
      <w:lvlText w:val="(%1)"/>
      <w:lvlJc w:val="left"/>
      <w:pPr>
        <w:ind w:left="720" w:hanging="360"/>
      </w:pPr>
    </w:lvl>
    <w:lvl w:ilvl="1" w:tplc="E5A0DF1E">
      <w:start w:val="1"/>
      <w:numFmt w:val="lowerLetter"/>
      <w:lvlText w:val="%2."/>
      <w:lvlJc w:val="left"/>
      <w:pPr>
        <w:ind w:left="1440" w:hanging="360"/>
      </w:pPr>
    </w:lvl>
    <w:lvl w:ilvl="2" w:tplc="2AAC9296">
      <w:start w:val="1"/>
      <w:numFmt w:val="lowerRoman"/>
      <w:lvlText w:val="%3."/>
      <w:lvlJc w:val="right"/>
      <w:pPr>
        <w:ind w:left="2160" w:hanging="180"/>
      </w:pPr>
    </w:lvl>
    <w:lvl w:ilvl="3" w:tplc="F90E1534">
      <w:start w:val="1"/>
      <w:numFmt w:val="decimal"/>
      <w:lvlText w:val="%4."/>
      <w:lvlJc w:val="left"/>
      <w:pPr>
        <w:ind w:left="2880" w:hanging="360"/>
      </w:pPr>
    </w:lvl>
    <w:lvl w:ilvl="4" w:tplc="E1E0D936">
      <w:start w:val="1"/>
      <w:numFmt w:val="lowerLetter"/>
      <w:lvlText w:val="%5."/>
      <w:lvlJc w:val="left"/>
      <w:pPr>
        <w:ind w:left="3600" w:hanging="360"/>
      </w:pPr>
    </w:lvl>
    <w:lvl w:ilvl="5" w:tplc="82126B62">
      <w:start w:val="1"/>
      <w:numFmt w:val="lowerRoman"/>
      <w:lvlText w:val="%6."/>
      <w:lvlJc w:val="right"/>
      <w:pPr>
        <w:ind w:left="4320" w:hanging="180"/>
      </w:pPr>
    </w:lvl>
    <w:lvl w:ilvl="6" w:tplc="FAB233CA">
      <w:start w:val="1"/>
      <w:numFmt w:val="decimal"/>
      <w:lvlText w:val="%7."/>
      <w:lvlJc w:val="left"/>
      <w:pPr>
        <w:ind w:left="5040" w:hanging="360"/>
      </w:pPr>
    </w:lvl>
    <w:lvl w:ilvl="7" w:tplc="51406AF0">
      <w:start w:val="1"/>
      <w:numFmt w:val="lowerLetter"/>
      <w:lvlText w:val="%8."/>
      <w:lvlJc w:val="left"/>
      <w:pPr>
        <w:ind w:left="5760" w:hanging="360"/>
      </w:pPr>
    </w:lvl>
    <w:lvl w:ilvl="8" w:tplc="11E00BE4">
      <w:start w:val="1"/>
      <w:numFmt w:val="lowerRoman"/>
      <w:lvlText w:val="%9."/>
      <w:lvlJc w:val="right"/>
      <w:pPr>
        <w:ind w:left="6480" w:hanging="180"/>
      </w:pPr>
    </w:lvl>
  </w:abstractNum>
  <w:abstractNum w:abstractNumId="4" w15:restartNumberingAfterBreak="0">
    <w:nsid w:val="5FC42671"/>
    <w:multiLevelType w:val="hybridMultilevel"/>
    <w:tmpl w:val="FF24B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91895"/>
    <w:multiLevelType w:val="multilevel"/>
    <w:tmpl w:val="83E6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0223902">
    <w:abstractNumId w:val="3"/>
  </w:num>
  <w:num w:numId="2" w16cid:durableId="1446265116">
    <w:abstractNumId w:val="4"/>
  </w:num>
  <w:num w:numId="3" w16cid:durableId="1759331319">
    <w:abstractNumId w:val="2"/>
  </w:num>
  <w:num w:numId="4" w16cid:durableId="255672879">
    <w:abstractNumId w:val="1"/>
  </w:num>
  <w:num w:numId="5" w16cid:durableId="1362319180">
    <w:abstractNumId w:val="5"/>
  </w:num>
  <w:num w:numId="6" w16cid:durableId="36880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21"/>
    <w:rsid w:val="00025791"/>
    <w:rsid w:val="000B4F21"/>
    <w:rsid w:val="000F0626"/>
    <w:rsid w:val="0021060C"/>
    <w:rsid w:val="002B1954"/>
    <w:rsid w:val="002C1DA8"/>
    <w:rsid w:val="003072BF"/>
    <w:rsid w:val="00346774"/>
    <w:rsid w:val="00422957"/>
    <w:rsid w:val="004B5368"/>
    <w:rsid w:val="004D0BAA"/>
    <w:rsid w:val="007701DD"/>
    <w:rsid w:val="007E3B3F"/>
    <w:rsid w:val="00993829"/>
    <w:rsid w:val="00A533F9"/>
    <w:rsid w:val="00B6498D"/>
    <w:rsid w:val="00CC5AC4"/>
    <w:rsid w:val="00D65F41"/>
    <w:rsid w:val="00D84882"/>
    <w:rsid w:val="00FC7EDC"/>
    <w:rsid w:val="0A20B416"/>
    <w:rsid w:val="4A25A07E"/>
    <w:rsid w:val="7579A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DB4D"/>
  <w15:chartTrackingRefBased/>
  <w15:docId w15:val="{82D957C7-02D5-3342-9244-64E3403D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F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F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F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F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F21"/>
    <w:rPr>
      <w:rFonts w:eastAsiaTheme="majorEastAsia" w:cstheme="majorBidi"/>
      <w:color w:val="272727" w:themeColor="text1" w:themeTint="D8"/>
    </w:rPr>
  </w:style>
  <w:style w:type="paragraph" w:styleId="Title">
    <w:name w:val="Title"/>
    <w:basedOn w:val="Normal"/>
    <w:next w:val="Normal"/>
    <w:link w:val="TitleChar"/>
    <w:uiPriority w:val="10"/>
    <w:qFormat/>
    <w:rsid w:val="000B4F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F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F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4F21"/>
    <w:rPr>
      <w:i/>
      <w:iCs/>
      <w:color w:val="404040" w:themeColor="text1" w:themeTint="BF"/>
    </w:rPr>
  </w:style>
  <w:style w:type="paragraph" w:styleId="ListParagraph">
    <w:name w:val="List Paragraph"/>
    <w:basedOn w:val="Normal"/>
    <w:uiPriority w:val="34"/>
    <w:qFormat/>
    <w:rsid w:val="000B4F21"/>
    <w:pPr>
      <w:ind w:left="720"/>
      <w:contextualSpacing/>
    </w:pPr>
  </w:style>
  <w:style w:type="character" w:styleId="IntenseEmphasis">
    <w:name w:val="Intense Emphasis"/>
    <w:basedOn w:val="DefaultParagraphFont"/>
    <w:uiPriority w:val="21"/>
    <w:qFormat/>
    <w:rsid w:val="000B4F21"/>
    <w:rPr>
      <w:i/>
      <w:iCs/>
      <w:color w:val="0F4761" w:themeColor="accent1" w:themeShade="BF"/>
    </w:rPr>
  </w:style>
  <w:style w:type="paragraph" w:styleId="IntenseQuote">
    <w:name w:val="Intense Quote"/>
    <w:basedOn w:val="Normal"/>
    <w:next w:val="Normal"/>
    <w:link w:val="IntenseQuoteChar"/>
    <w:uiPriority w:val="30"/>
    <w:qFormat/>
    <w:rsid w:val="000B4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F21"/>
    <w:rPr>
      <w:i/>
      <w:iCs/>
      <w:color w:val="0F4761" w:themeColor="accent1" w:themeShade="BF"/>
    </w:rPr>
  </w:style>
  <w:style w:type="character" w:styleId="IntenseReference">
    <w:name w:val="Intense Reference"/>
    <w:basedOn w:val="DefaultParagraphFont"/>
    <w:uiPriority w:val="32"/>
    <w:qFormat/>
    <w:rsid w:val="000B4F21"/>
    <w:rPr>
      <w:b/>
      <w:bCs/>
      <w:smallCaps/>
      <w:color w:val="0F4761" w:themeColor="accent1" w:themeShade="BF"/>
      <w:spacing w:val="5"/>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993829"/>
    <w:rPr>
      <w:color w:val="0000FF"/>
      <w:u w:val="single"/>
    </w:rPr>
  </w:style>
  <w:style w:type="character" w:customStyle="1" w:styleId="apple-converted-space">
    <w:name w:val="apple-converted-space"/>
    <w:basedOn w:val="DefaultParagraphFont"/>
    <w:rsid w:val="00993829"/>
  </w:style>
  <w:style w:type="paragraph" w:customStyle="1" w:styleId="c-reading-companionreference-citation">
    <w:name w:val="c-reading-companion__reference-citation"/>
    <w:basedOn w:val="Normal"/>
    <w:rsid w:val="00422957"/>
    <w:pPr>
      <w:spacing w:before="100" w:beforeAutospacing="1" w:after="100" w:afterAutospacing="1"/>
    </w:pPr>
    <w:rPr>
      <w:rFonts w:ascii="Times New Roman" w:eastAsia="Times New Roman" w:hAnsi="Times New Roman" w:cs="Times New Roman"/>
      <w:kern w:val="0"/>
      <w14:ligatures w14:val="none"/>
    </w:rPr>
  </w:style>
  <w:style w:type="table" w:styleId="PlainTable2">
    <w:name w:val="Plain Table 2"/>
    <w:basedOn w:val="TableNormal"/>
    <w:uiPriority w:val="42"/>
    <w:rsid w:val="007E3B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C1D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6651">
      <w:bodyDiv w:val="1"/>
      <w:marLeft w:val="0"/>
      <w:marRight w:val="0"/>
      <w:marTop w:val="0"/>
      <w:marBottom w:val="0"/>
      <w:divBdr>
        <w:top w:val="none" w:sz="0" w:space="0" w:color="auto"/>
        <w:left w:val="none" w:sz="0" w:space="0" w:color="auto"/>
        <w:bottom w:val="none" w:sz="0" w:space="0" w:color="auto"/>
        <w:right w:val="none" w:sz="0" w:space="0" w:color="auto"/>
      </w:divBdr>
    </w:div>
    <w:div w:id="152570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tudio.com/" TargetMode="External"/><Relationship Id="rId3" Type="http://schemas.openxmlformats.org/officeDocument/2006/relationships/settings" Target="settings.xml"/><Relationship Id="rId7" Type="http://schemas.openxmlformats.org/officeDocument/2006/relationships/hyperlink" Target="https://www.cdc.gov/cancer/npcr/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86/s12885-019-6457-8" TargetMode="External"/><Relationship Id="rId5" Type="http://schemas.openxmlformats.org/officeDocument/2006/relationships/hyperlink" Target="http://www.seer.cancer.gov/seersta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d25ebf-5c7f-4e7b-b87e-4297cf4ddd37">
  <we:reference id="WA104382081" version="1.55.1.0" store="pt-BR" storeType="omex"/>
  <we:alternateReferences>
    <we:reference id="WA104382081" version="1.55.1.0" store="pt-BR" storeType="omex"/>
  </we:alternateReferences>
  <we:properties>
    <we:property name="MENDELEY_CITATIONS" value="[{&quot;citationID&quot;:&quot;MENDELEY_CITATION_b8ff31a6-e007-4ae0-9767-f2b8c3c40b9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&quot;,&quot;citationItems&quot;:[{&quot;id&quot;:&quot;f98823d1-6ed5-3af6-ba9e-efb0449c2a50&quot;,&quot;itemData&quot;:{&quot;type&quot;:&quot;article-journal&quot;,&quot;id&quot;:&quot;f98823d1-6ed5-3af6-ba9e-efb0449c2a50&quot;,&quot;title&quot;:&quot;Reduced breast cancer incidence in women treated with subcutaneous testosterone, or testosterone with anastrozole: A prospective, observational study&quot;,&quot;author&quot;:[{&quot;family&quot;:&quot;Glaser&quot;,&quot;given&quot;:&quot;Rebecca L.&quot;,&quot;parse-names&quot;:false,&quot;dropping-particle&quot;:&quot;&quot;,&quot;non-dropping-particle&quot;:&quot;&quot;},{&quot;family&quot;:&quot;Dimitrakakis&quot;,&quot;given&quot;:&quot;Constantine&quot;,&quot;parse-names&quot;:false,&quot;dropping-particle&quot;:&quot;&quot;,&quot;non-dropping-particle&quot;:&quot;&quot;}],&quot;container-title&quot;:&quot;Maturitas&quot;,&quot;container-title-short&quot;:&quot;Maturitas&quot;,&quot;accessed&quot;:{&quot;date-parts&quot;:[[2024,3,12]]},&quot;DOI&quot;:&quot;10.1016/j.maturitas.2013.08.002&quot;,&quot;ISSN&quot;:&quot;03785122&quot;,&quot;PMID&quot;:&quot;24028858&quot;,&quot;URL&quot;:&quot;http://www.maturitas.org/article/S0378512213002545/fulltext&quot;,&quot;issued&quot;:{&quot;date-parts&quot;:[[2013,12,1]]},&quot;page&quot;:&quot;342-349&quot;,&quot;abstract&quot;:&quot;Objectives There is evidence that androgens are breast protective and that testosterone therapy treats many symptoms of hormone deficiency in both pre and postmenopausal patients. However, unlike estrogen and progestins, there is a paucity of data regarding the incidence of breast cancer in women treated with testosterone therapy. This study was designed to investigate the incidence of breast cancer in women treated with subcutaneous testosterone therapy in the absence of systemic estrogen therapy. Study design This is a 5-year interim analysis of a 10-year, prospective, observational, IRB approved study investigating the incidence of breast cancer in women presenting with symptoms of hormone deficiency treated with subcutaneous testosterone (T) implants or, T combined with the aromatase inhibitor anastrozole (A), i.e., T + A implants. Breast cancer incidence was compared with that of historical controls reported in the literature, age specific Surveillance Epidemiology and End Results (SEER) incidence rates, and a representative, similar age group of our patients used as a 'control' group. The effect of adherence to T therapy was also evaluated. Results Since March 2008, 1268 pre and post menopausal women have been enrolled in the study and eligible for analysis. As of March 2013, there have been 8 cases of invasive breast cancer diagnosed in 5642 person-years of follow up for an incidence of 142 cases per 100 000 person-years, substantially less than the age-specific SEER incidence rates (293/100 000), placebo arm of Women's Health Initiative Study (300/100 000), never users of hormone therapy from the Million Women Study (325/100 000) and our control group (390/100 000). Unlike adherence to estrogen therapy, adherence to T therapy further decreased the incidence of breast cancer (73/100 000). Conclusion T and/or T + A, delivered subcutaneously as a pellet implant, reduced the incidence of breast cancer in pre and postmenopausal women. Evidence supports that breast cancer is preventable by maintaining a T to estrogen ratio in favor of T and, in particular, by the use of continuous T or, when indicated, T + A. This hormone therapy should be further investigated for the prevention and treatment of breast cancer. © 2013 Elsevier Ireland Ltd. All rights reserved.&quot;,&quot;publisher&quot;:&quot;Elsevier&quot;,&quot;issue&quot;:&quot;4&quot;,&quot;volume&quot;:&quot;76&quot;},&quot;isTemporary&quot;:false,&quot;suppress-author&quot;:false,&quot;composite&quot;:false,&quot;author-only&quot;:false}]},{&quot;citationID&quot;:&quot;MENDELEY_CITATION_78980d39-d691-421a-b762-96fc2cfcfdf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&quot;,&quot;citationItems&quot;:[{&quot;id&quot;:&quot;73fd8899-284e-3b91-b0d2-2bfd1468d876&quot;,&quot;itemData&quot;:{&quot;type&quot;:&quot;article-journal&quot;,&quot;id&quot;:&quot;73fd8899-284e-3b91-b0d2-2bfd1468d876&quot;,&quot;title&quot;:&quot;Testosterone in women—the clinical significance&quot;,&quot;author&quot;:[{&quot;family&quot;:&quot;Davis&quot;,&quot;given&quot;:&quot;Susan R.&quot;,&quot;parse-names&quot;:false,&quot;dropping-particle&quot;:&quot;&quot;,&quot;non-dropping-particle&quot;:&quot;&quot;},{&quot;family&quot;:&quot;Wahlin-Jacobsen&quot;,&quot;given&quot;:&quot;Sarah&quot;,&quot;parse-names&quot;:false,&quot;dropping-particle&quot;:&quot;&quot;,&quot;non-dropping-particle&quot;:&quot;&quot;}],&quot;container-title&quot;:&quot;The Lancet Diabetes &amp; Endocrinology&quot;,&quot;container-title-short&quot;:&quot;Lancet Diabetes Endocrinol&quot;,&quot;accessed&quot;:{&quot;date-parts&quot;:[[2024,3,10]]},&quot;DOI&quot;:&quot;10.1016/S2213-8587(15)00284-3&quot;,&quot;ISSN&quot;:&quot;2213-8587&quot;,&quot;PMID&quot;:&quot;26358173&quot;,&quot;URL&quot;:&quot;http://www.thelancet.com/article/S2213858715002843/fulltext&quot;,&quot;issued&quot;:{&quot;date-parts&quot;:[[2015,12,1]]},&quot;page&quot;:&quot;980-992&quot;,&quot;abstract&quot;:&quot;&lt;h2&gt;Summary&lt;/h2&gt;&lt;p&gt;Testosterone is an essential hormone for women, with physiological actions mediated directly or via aromatisation to oestradiol throughout the body. Despite the crucial role of testosterone and the high circulating concentrations of this hormone relative to oestradiol in women, studies of its action and the effects of testosterone deficiency and replacement in women are scarce. The primary indication for the prescription of testosterone for women is loss of sexual desire, which causes affected women substantial concern. That no formulation has been approved for this purpose has not impeded the widespread use of testosterone by women—either off-label or as compounded therapy. Observational studies indicate that testosterone has favourable cardiovascular effects measured by surrogate outcomes; however, associations between endogenous testosterone and the risk of cardiovascular disease and total mortality, particularly in older women, are yet to be established. Adverse cardiovascular effects have not been seen in studies of transdermal testosterone therapy in women. Clinical trials suggest that exogenous testosterone enhances cognitive performance and improves musculoskeletal health in postmenopausal women. Unmet needs include the availability of approved testosterone formulations for women and studies to elucidate the contribution of testosterone to cardiovascular, cognitive, and musculoskeletal health and the risk of cancer.&lt;/p&gt;&quot;,&quot;publisher&quot;:&quot;Elsevier&quot;,&quot;issue&quot;:&quot;12&quot;,&quot;volume&quot;:&quot;3&quot;},&quot;isTemporary&quot;:false,&quot;suppress-author&quot;:false,&quot;composite&quot;:false,&quot;author-only&quot;:false}]},{&quot;citationID&quot;:&quot;MENDELEY_CITATION_5e66d433-3139-4822-ab64-2ce4c9778f6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&quot;,&quot;citationItems&quot;:[{&quot;id&quot;:&quot;fecaf036-9f23-3321-b599-f7729bcfb2dd&quot;,&quot;itemData&quot;:{&quot;type&quot;:&quot;webpage&quot;,&quot;id&quot;:&quot;fecaf036-9f23-3321-b599-f7729bcfb2dd&quot;,&quot;title&quot;:&quot;National Program of Cancer Registries and Surveillance, Epidemiology, and End Results  SEER*Stat Database - United States Department of Health and Human Services, Centers for Disease Control and Prevention and National Cancer Institute. Based on the 2022 submission.&quot;,&quot;container-title&quot;:&quot;United States Department of Health and Human Services, Centers for Disease Control and Prevention&quot;,&quot;accessed&quot;:{&quot;date-parts&quot;:[[2024,3,10]]},&quot;URL&quot;:&quot;https://www.cdc.gov/cancer/npcr/index.htm&quot;,&quot;issued&quot;:{&quot;date-parts&quot;:[[2022]]},&quot;container-title-short&quot;:&quot;&quot;},&quot;isTemporary&quot;:false,&quot;suppress-author&quot;:false,&quot;composite&quot;:false,&quot;author-only&quot;:false}]},{&quot;citationID&quot;:&quot;MENDELEY_CITATION_be96498b-67a2-4bbd-a6e0-4757ad13cdef&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&quot;,&quot;citationItems&quot;:[{&quot;id&quot;:&quot;48922391-bb89-328e-bd61-615d55695469&quot;,&quot;itemData&quot;:{&quot;type&quot;:&quot;book&quot;,&quot;id&quot;:&quot;48922391-bb89-328e-bd61-615d55695469&quot;,&quot;title&quot;:&quot;An Introduction to Probability Theory and its Applications.&quot;,&quot;author&quot;:[{&quot;family&quot;:&quot;Feller WF.&quot;,&quot;given&quot;:&quot;&quot;,&quot;parse-names&quot;:false,&quot;dropping-particle&quot;:&quot;&quot;,&quot;non-dropping-particle&quot;:&quot;&quot;}],&quot;issued&quot;:{&quot;date-parts&quot;:[[1950]]},&quot;publisher&quot;:&quot;Wiley&quot;,&quot;volume&quot;:&quot;1&quot;,&quot;container-title-short&quot;:&quot;&quot;},&quot;isTemporary&quot;:false,&quot;suppress-author&quot;:false,&quot;composite&quot;:false,&quot;author-only&quot;:false}]},{&quot;citationID&quot;:&quot;MENDELEY_CITATION_cb3ad96e-bee3-4e0a-b2cd-26022597fe7a&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&quot;,&quot;citationItems&quot;:[{&quot;id&quot;:&quot;b7721633-7603-32ac-9501-cb6721d3b1bf&quot;,&quot;itemData&quot;:{&quot;type&quot;:&quot;article&quot;,&quot;id&quot;:&quot;b7721633-7603-32ac-9501-cb6721d3b1bf&quot;,&quot;title&quot;:&quot;RStudio: integrated development for R.&quot;,&quot;author&quot;:[{&quot;family&quot;:&quot;RStudio Team&quot;,&quot;given&quot;:&quot;&quot;,&quot;parse-names&quot;:false,&quot;dropping-particle&quot;:&quot;&quot;,&quot;non-dropping-particle&quot;:&quot;&quot;}],&quot;accessed&quot;:{&quot;date-parts&quot;:[[2024,3,18]]},&quot;URL&quot;:&quot;http://www.rstudio.com/.&quot;,&quot;issued&quot;:{&quot;date-parts&quot;:[[2020]]},&quot;publisher-place&quot;:&quot;Boston&quot;,&quot;publisher&quot;:&quot;RStudio PBC&quot;,&quot;container-title-short&quot;:&quot;&quot;},&quot;isTemporary&quot;:false,&quot;suppress-author&quot;:false,&quot;composite&quot;:false,&quot;author-only&quot;:false}]}]"/>
    <we:property name="MENDELEY_CITATIONS_STYLE" value="{&quot;id&quot;:&quot;https://www.zotero.org/styles/nature&quot;,&quot;title&quot;:&quot;Nature&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4</Pages>
  <Words>1036</Words>
  <Characters>5907</Characters>
  <Application>Microsoft Office Word</Application>
  <DocSecurity>0</DocSecurity>
  <Lines>49</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glaser</dc:creator>
  <cp:keywords/>
  <dc:description/>
  <cp:lastModifiedBy>rebecca glaser</cp:lastModifiedBy>
  <cp:revision>2</cp:revision>
  <dcterms:created xsi:type="dcterms:W3CDTF">2024-04-10T15:11:00Z</dcterms:created>
  <dcterms:modified xsi:type="dcterms:W3CDTF">2024-04-10T15:11:00Z</dcterms:modified>
</cp:coreProperties>
</file>