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28EA" w:rsidRPr="00D6033E" w:rsidRDefault="004A08B5" w:rsidP="005064E6">
      <w:pPr>
        <w:ind w:firstLineChars="200" w:firstLine="440"/>
        <w:jc w:val="center"/>
        <w:rPr>
          <w:rFonts w:ascii="Times New Roman" w:hAnsi="Times New Roman" w:cs="Times New Roman"/>
          <w:b/>
          <w:sz w:val="22"/>
        </w:rPr>
      </w:pPr>
      <w:r w:rsidRPr="00D6033E">
        <w:rPr>
          <w:rFonts w:ascii="Times New Roman" w:hAnsi="Times New Roman" w:cs="Times New Roman"/>
          <w:b/>
          <w:sz w:val="22"/>
        </w:rPr>
        <w:t>Consort statement</w:t>
      </w:r>
    </w:p>
    <w:p w:rsidR="009728EA" w:rsidRPr="00D6033E" w:rsidRDefault="009728EA" w:rsidP="005064E6">
      <w:pPr>
        <w:spacing w:line="480" w:lineRule="auto"/>
        <w:ind w:firstLineChars="200" w:firstLine="420"/>
        <w:rPr>
          <w:rFonts w:ascii="Times New Roman" w:hAnsi="Times New Roman" w:cs="Times New Roman"/>
        </w:rPr>
      </w:pPr>
      <w:r w:rsidRPr="00D6033E">
        <w:rPr>
          <w:rFonts w:ascii="Times New Roman" w:hAnsi="Times New Roman" w:cs="Times New Roman"/>
        </w:rPr>
        <w:t>Th</w:t>
      </w:r>
      <w:r w:rsidR="00E7665B" w:rsidRPr="00D6033E">
        <w:rPr>
          <w:rFonts w:ascii="Times New Roman" w:hAnsi="Times New Roman" w:cs="Times New Roman"/>
        </w:rPr>
        <w:t xml:space="preserve">e objectives of </w:t>
      </w:r>
      <w:r w:rsidRPr="00D6033E">
        <w:rPr>
          <w:rFonts w:ascii="Times New Roman" w:hAnsi="Times New Roman" w:cs="Times New Roman"/>
        </w:rPr>
        <w:t>study</w:t>
      </w:r>
      <w:r w:rsidR="00D6033E">
        <w:rPr>
          <w:rFonts w:ascii="Times New Roman" w:hAnsi="Times New Roman" w:cs="Times New Roman" w:hint="eastAsia"/>
        </w:rPr>
        <w:t>“</w:t>
      </w:r>
      <w:r w:rsidR="00E7665B" w:rsidRPr="00D6033E">
        <w:rPr>
          <w:rFonts w:ascii="Times New Roman" w:hAnsi="Times New Roman" w:cs="Times New Roman"/>
        </w:rPr>
        <w:t xml:space="preserve">Cultural adaptation and feasibility of trauma-focused cognitive </w:t>
      </w:r>
      <w:proofErr w:type="spellStart"/>
      <w:r w:rsidR="00E7665B" w:rsidRPr="00D6033E">
        <w:rPr>
          <w:rFonts w:ascii="Times New Roman" w:hAnsi="Times New Roman" w:cs="Times New Roman"/>
        </w:rPr>
        <w:t>behavioural</w:t>
      </w:r>
      <w:proofErr w:type="spellEnd"/>
      <w:r w:rsidR="00E7665B" w:rsidRPr="00D6033E">
        <w:rPr>
          <w:rFonts w:ascii="Times New Roman" w:hAnsi="Times New Roman" w:cs="Times New Roman"/>
        </w:rPr>
        <w:t xml:space="preserve"> therapy in China: a pilot </w:t>
      </w:r>
      <w:proofErr w:type="spellStart"/>
      <w:r w:rsidR="00E7665B" w:rsidRPr="00D6033E">
        <w:rPr>
          <w:rFonts w:ascii="Times New Roman" w:hAnsi="Times New Roman" w:cs="Times New Roman"/>
        </w:rPr>
        <w:t>randomised</w:t>
      </w:r>
      <w:proofErr w:type="spellEnd"/>
      <w:r w:rsidR="00E7665B" w:rsidRPr="00D6033E">
        <w:rPr>
          <w:rFonts w:ascii="Times New Roman" w:hAnsi="Times New Roman" w:cs="Times New Roman"/>
        </w:rPr>
        <w:t xml:space="preserve"> controlled trial</w:t>
      </w:r>
      <w:r w:rsidR="00D6033E">
        <w:rPr>
          <w:rFonts w:ascii="Times New Roman" w:hAnsi="Times New Roman" w:cs="Times New Roman" w:hint="eastAsia"/>
        </w:rPr>
        <w:t>”</w:t>
      </w:r>
      <w:r w:rsidR="00D6033E">
        <w:rPr>
          <w:rFonts w:ascii="Times New Roman" w:hAnsi="Times New Roman" w:cs="Times New Roman"/>
        </w:rPr>
        <w:t xml:space="preserve"> </w:t>
      </w:r>
      <w:r w:rsidRPr="00D6033E">
        <w:rPr>
          <w:rFonts w:ascii="Times New Roman" w:hAnsi="Times New Roman" w:cs="Times New Roman"/>
        </w:rPr>
        <w:t xml:space="preserve">were to describe the cultural adaptation process of TF-CBT and to explore the feasibility and acceptability of adapted interventions in China. </w:t>
      </w:r>
      <w:bookmarkStart w:id="0" w:name="_Hlk40976135"/>
      <w:r w:rsidRPr="00D6033E">
        <w:rPr>
          <w:rFonts w:ascii="Times New Roman" w:hAnsi="Times New Roman" w:cs="Times New Roman"/>
        </w:rPr>
        <w:t xml:space="preserve">Based on </w:t>
      </w:r>
      <w:bookmarkStart w:id="1" w:name="_Hlk40988854"/>
      <w:r w:rsidRPr="00D6033E">
        <w:rPr>
          <w:rFonts w:ascii="Times New Roman" w:hAnsi="Times New Roman" w:cs="Times New Roman"/>
        </w:rPr>
        <w:t>the Map of the Adaptation Process (MAP)</w:t>
      </w:r>
      <w:bookmarkEnd w:id="1"/>
      <w:r w:rsidRPr="00D6033E">
        <w:rPr>
          <w:rFonts w:ascii="Times New Roman" w:hAnsi="Times New Roman" w:cs="Times New Roman"/>
        </w:rPr>
        <w:t>,</w:t>
      </w:r>
      <w:bookmarkEnd w:id="0"/>
      <w:r w:rsidRPr="00D6033E">
        <w:rPr>
          <w:rFonts w:ascii="Times New Roman" w:hAnsi="Times New Roman" w:cs="Times New Roman"/>
        </w:rPr>
        <w:t xml:space="preserve"> </w:t>
      </w:r>
      <w:r w:rsidR="00D05CD3" w:rsidRPr="00D6033E">
        <w:rPr>
          <w:rFonts w:ascii="Times New Roman" w:hAnsi="Times New Roman" w:cs="Times New Roman"/>
        </w:rPr>
        <w:t xml:space="preserve">this study engaged in four stages to conduct </w:t>
      </w:r>
      <w:r w:rsidRPr="00D6033E">
        <w:rPr>
          <w:rFonts w:ascii="Times New Roman" w:hAnsi="Times New Roman" w:cs="Times New Roman"/>
        </w:rPr>
        <w:t>adaptation</w:t>
      </w:r>
      <w:r w:rsidR="00D05CD3" w:rsidRPr="00D6033E">
        <w:rPr>
          <w:rFonts w:ascii="Times New Roman" w:hAnsi="Times New Roman" w:cs="Times New Roman"/>
        </w:rPr>
        <w:t>：</w:t>
      </w:r>
      <w:r w:rsidR="00D05CD3" w:rsidRPr="00D6033E">
        <w:rPr>
          <w:rFonts w:ascii="Times New Roman" w:hAnsi="Times New Roman" w:cs="Times New Roman"/>
        </w:rPr>
        <w:t xml:space="preserve">(1) assessment; (2) selection; (3) preparation; (4) pilot. Therefore, the pilot study </w:t>
      </w:r>
      <w:r w:rsidR="00BA0A4A" w:rsidRPr="00D6033E">
        <w:rPr>
          <w:rFonts w:ascii="Times New Roman" w:hAnsi="Times New Roman" w:cs="Times New Roman"/>
        </w:rPr>
        <w:t xml:space="preserve">part </w:t>
      </w:r>
      <w:r w:rsidR="00D05CD3" w:rsidRPr="00D6033E">
        <w:rPr>
          <w:rFonts w:ascii="Times New Roman" w:hAnsi="Times New Roman" w:cs="Times New Roman"/>
        </w:rPr>
        <w:t>which describe</w:t>
      </w:r>
      <w:r w:rsidR="00BA0A4A" w:rsidRPr="00D6033E">
        <w:rPr>
          <w:rFonts w:ascii="Times New Roman" w:hAnsi="Times New Roman" w:cs="Times New Roman"/>
        </w:rPr>
        <w:t>d</w:t>
      </w:r>
      <w:r w:rsidR="00D05CD3" w:rsidRPr="00D6033E">
        <w:rPr>
          <w:rFonts w:ascii="Times New Roman" w:hAnsi="Times New Roman" w:cs="Times New Roman"/>
        </w:rPr>
        <w:t xml:space="preserve"> the process of randomized controlled </w:t>
      </w:r>
      <w:r w:rsidR="00BA0A4A" w:rsidRPr="00D6033E">
        <w:rPr>
          <w:rFonts w:ascii="Times New Roman" w:hAnsi="Times New Roman" w:cs="Times New Roman"/>
        </w:rPr>
        <w:t xml:space="preserve">trail </w:t>
      </w:r>
      <w:r w:rsidR="00D05CD3" w:rsidRPr="00D6033E">
        <w:rPr>
          <w:rFonts w:ascii="Times New Roman" w:hAnsi="Times New Roman" w:cs="Times New Roman"/>
        </w:rPr>
        <w:t>does not take up much space in this article</w:t>
      </w:r>
      <w:r w:rsidR="00BA0A4A" w:rsidRPr="00D6033E">
        <w:rPr>
          <w:rFonts w:ascii="Times New Roman" w:hAnsi="Times New Roman" w:cs="Times New Roman"/>
        </w:rPr>
        <w:t xml:space="preserve">. The more details of pilot study will be reported in the other article (in press, this </w:t>
      </w:r>
      <w:r w:rsidR="008E0CF6" w:rsidRPr="00D6033E">
        <w:rPr>
          <w:rFonts w:ascii="Times New Roman" w:hAnsi="Times New Roman" w:cs="Times New Roman"/>
        </w:rPr>
        <w:t>has been men</w:t>
      </w:r>
      <w:r w:rsidR="00BA0A4A" w:rsidRPr="00D6033E">
        <w:rPr>
          <w:rFonts w:ascii="Times New Roman" w:hAnsi="Times New Roman" w:cs="Times New Roman"/>
        </w:rPr>
        <w:t xml:space="preserve">tioned </w:t>
      </w:r>
      <w:r w:rsidR="008E0CF6" w:rsidRPr="00D6033E">
        <w:rPr>
          <w:rFonts w:ascii="Times New Roman" w:hAnsi="Times New Roman" w:cs="Times New Roman"/>
        </w:rPr>
        <w:t>in the article.</w:t>
      </w:r>
      <w:r w:rsidR="00BA0A4A" w:rsidRPr="00D6033E">
        <w:rPr>
          <w:rFonts w:ascii="Times New Roman" w:hAnsi="Times New Roman" w:cs="Times New Roman"/>
        </w:rPr>
        <w:t>)</w:t>
      </w:r>
    </w:p>
    <w:p w:rsidR="00E7665B" w:rsidRPr="00D6033E" w:rsidRDefault="008E0CF6" w:rsidP="005064E6">
      <w:pPr>
        <w:spacing w:line="480" w:lineRule="auto"/>
        <w:ind w:firstLineChars="200" w:firstLine="420"/>
        <w:rPr>
          <w:rFonts w:ascii="Times New Roman" w:hAnsi="Times New Roman" w:cs="Times New Roman"/>
        </w:rPr>
      </w:pPr>
      <w:r w:rsidRPr="00D6033E">
        <w:rPr>
          <w:rFonts w:ascii="Times New Roman" w:hAnsi="Times New Roman" w:cs="Times New Roman"/>
        </w:rPr>
        <w:t xml:space="preserve">The study adheres to CONSORT guidelines. In order to facilitate </w:t>
      </w:r>
      <w:r w:rsidR="00277B8E" w:rsidRPr="00D6033E">
        <w:rPr>
          <w:rFonts w:ascii="Times New Roman" w:hAnsi="Times New Roman" w:cs="Times New Roman"/>
        </w:rPr>
        <w:t>editorial revie</w:t>
      </w:r>
      <w:r w:rsidR="00945B9D" w:rsidRPr="00D6033E">
        <w:rPr>
          <w:rFonts w:ascii="Times New Roman" w:hAnsi="Times New Roman" w:cs="Times New Roman"/>
        </w:rPr>
        <w:t>w, some</w:t>
      </w:r>
      <w:r w:rsidRPr="00D6033E">
        <w:rPr>
          <w:rFonts w:ascii="Times New Roman" w:hAnsi="Times New Roman" w:cs="Times New Roman"/>
        </w:rPr>
        <w:t xml:space="preserve"> items mentioned in the </w:t>
      </w:r>
      <w:r w:rsidR="00277B8E" w:rsidRPr="00D6033E">
        <w:rPr>
          <w:rFonts w:ascii="Times New Roman" w:hAnsi="Times New Roman" w:cs="Times New Roman"/>
        </w:rPr>
        <w:t>consort 2010 check</w:t>
      </w:r>
      <w:r w:rsidRPr="00D6033E">
        <w:rPr>
          <w:rFonts w:ascii="Times New Roman" w:hAnsi="Times New Roman" w:cs="Times New Roman"/>
        </w:rPr>
        <w:t xml:space="preserve">list </w:t>
      </w:r>
      <w:r w:rsidR="00945B9D" w:rsidRPr="00D6033E">
        <w:rPr>
          <w:rFonts w:ascii="Times New Roman" w:hAnsi="Times New Roman" w:cs="Times New Roman"/>
        </w:rPr>
        <w:t xml:space="preserve">which did not describe in the manuscript </w:t>
      </w:r>
      <w:r w:rsidRPr="00D6033E">
        <w:rPr>
          <w:rFonts w:ascii="Times New Roman" w:hAnsi="Times New Roman" w:cs="Times New Roman"/>
        </w:rPr>
        <w:t>are appended below</w:t>
      </w:r>
      <w:r w:rsidR="00E7665B" w:rsidRPr="00D6033E">
        <w:rPr>
          <w:rFonts w:ascii="Times New Roman" w:hAnsi="Times New Roman" w:cs="Times New Roman"/>
        </w:rPr>
        <w:t>.</w:t>
      </w:r>
    </w:p>
    <w:p w:rsidR="00E7665B" w:rsidRPr="00D6033E" w:rsidRDefault="00E7665B" w:rsidP="005064E6">
      <w:pPr>
        <w:widowControl/>
        <w:ind w:firstLineChars="200" w:firstLine="420"/>
        <w:jc w:val="left"/>
        <w:rPr>
          <w:rFonts w:ascii="Times New Roman" w:hAnsi="Times New Roman" w:cs="Times New Roman"/>
        </w:rPr>
      </w:pPr>
      <w:r w:rsidRPr="00D6033E">
        <w:rPr>
          <w:rFonts w:ascii="Times New Roman" w:hAnsi="Times New Roman" w:cs="Times New Roman"/>
        </w:rPr>
        <w:br w:type="page"/>
      </w:r>
    </w:p>
    <w:p w:rsidR="00900D6F" w:rsidRPr="00D6033E" w:rsidRDefault="009B6752" w:rsidP="005064E6">
      <w:pPr>
        <w:spacing w:line="480" w:lineRule="auto"/>
        <w:ind w:firstLineChars="200" w:firstLine="420"/>
        <w:rPr>
          <w:rFonts w:ascii="Times New Roman" w:hAnsi="Times New Roman" w:cs="Times New Roman"/>
          <w:b/>
        </w:rPr>
      </w:pPr>
      <w:r w:rsidRPr="00D6033E">
        <w:rPr>
          <w:rFonts w:ascii="Times New Roman" w:hAnsi="Times New Roman" w:cs="Times New Roman"/>
          <w:b/>
        </w:rPr>
        <w:lastRenderedPageBreak/>
        <w:t>Item 7</w:t>
      </w:r>
      <w:r w:rsidR="00900D6F" w:rsidRPr="00D6033E">
        <w:rPr>
          <w:rFonts w:ascii="Times New Roman" w:hAnsi="Times New Roman" w:cs="Times New Roman"/>
          <w:b/>
        </w:rPr>
        <w:t xml:space="preserve">a: </w:t>
      </w:r>
      <w:r w:rsidRPr="00D6033E">
        <w:rPr>
          <w:rFonts w:ascii="Times New Roman" w:hAnsi="Times New Roman" w:cs="Times New Roman"/>
          <w:b/>
        </w:rPr>
        <w:t>How sample size was determined</w:t>
      </w:r>
    </w:p>
    <w:p w:rsidR="0091516C" w:rsidRPr="00D6033E" w:rsidRDefault="0091516C" w:rsidP="005064E6">
      <w:pPr>
        <w:spacing w:line="480" w:lineRule="auto"/>
        <w:ind w:firstLineChars="200" w:firstLine="420"/>
        <w:rPr>
          <w:rFonts w:ascii="Times New Roman" w:hAnsi="Times New Roman" w:cs="Times New Roman"/>
        </w:rPr>
      </w:pPr>
      <w:r w:rsidRPr="00D6033E">
        <w:rPr>
          <w:rFonts w:ascii="Times New Roman" w:hAnsi="Times New Roman" w:cs="Times New Roman"/>
        </w:rPr>
        <w:t xml:space="preserve">Based on previous studies (Stein et al., 2003), we expect the primary quantitative outcome (PTSD) to have an event rate of 36.1% (P2 = 36.1%) in the TAU group. Compared to the TAU group, the incidence of the </w:t>
      </w:r>
      <w:r w:rsidR="00F33BF6" w:rsidRPr="00D6033E">
        <w:rPr>
          <w:rFonts w:ascii="Times New Roman" w:hAnsi="Times New Roman" w:cs="Times New Roman"/>
        </w:rPr>
        <w:t xml:space="preserve">TF-CBT group </w:t>
      </w:r>
      <w:r w:rsidRPr="00D6033E">
        <w:rPr>
          <w:rFonts w:ascii="Times New Roman" w:hAnsi="Times New Roman" w:cs="Times New Roman"/>
        </w:rPr>
        <w:t xml:space="preserve">will decrease 17.9% (P1 = 18.2%, R = P1 / P2 = 0.5), test power of 0.9 (1-β), 5% significance level test. According to the RCT sample size calculation formula proposed by </w:t>
      </w:r>
      <w:r w:rsidR="00965E95">
        <w:rPr>
          <w:rFonts w:ascii="Times New Roman" w:hAnsi="Times New Roman" w:cs="Times New Roman"/>
        </w:rPr>
        <w:fldChar w:fldCharType="begin" w:fldLock="1"/>
      </w:r>
      <w:r w:rsidR="00965E95">
        <w:rPr>
          <w:rFonts w:ascii="Times New Roman" w:hAnsi="Times New Roman" w:cs="Times New Roman"/>
        </w:rPr>
        <w:instrText>ADDIN CSL_CITATION {"citationItems":[{"id":"ITEM-1","itemData":{"DOI":"10.1016/S0140-6736(05)61034-3","ISSN":"01406736","abstract":"Investigators should properly calculate sample sizes before the start of their randomised trials and adequately describe the details in their published report. In these a-priori calculations, determining the effect size to detect - eg, event rates in treatment and control groups - reflects inherently subjective clinical judgments. Furthermore, these judgments greatly affect sample size calculations. We question the branding of trials as unethical on the basis of an imprecise sample size calculation process. So-called underpowered trials might be acceptable if investigators use methodological rigor to eliminate bias, properly report to avoid misinterpretation, and always publish results to avert publication bias. Some shift of emphasis from a fixation on sample size to a focus on methodological quality would yield more trials with less bias. Unbiased trials with imprecise results trump no results at all. Clinicians and patients deserve guidance now.","author":[{"dropping-particle":"","family":"Schulz","given":"Kenneth F.","non-dropping-particle":"","parse-names":false,"suffix":""},{"dropping-particle":"","family":"Grimes","given":"David A.","non-dropping-particle":"","parse-names":false,"suffix":""}],"container-title":"Lancet","id":"ITEM-1","issue":"9467","issued":{"date-parts":[["2005"]]},"page":"1348-1353","title":"Sample size calculations in randomised trials: Mandatory and mystical","type":"article-journal","volume":"365"},"uris":["http://www.mendeley.com/documents/?uuid=e03c5db2-bc9e-4816-867c-f91f32902127"]}],"mendeley":{"formattedCitation":"(Schulz &amp; Grimes, 2005)","manualFormatting":"Schulz &amp; Grimes (2005)","plainTextFormattedCitation":"(Schulz &amp; Grimes, 2005)","previouslyFormattedCitation":"(Schulz &amp; Grimes, 2005)"},"properties":{"noteIndex":0},"schema":"https://github.com/citation-style-language/schema/raw/master/csl-citation.json"}</w:instrText>
      </w:r>
      <w:r w:rsidR="00965E95">
        <w:rPr>
          <w:rFonts w:ascii="Times New Roman" w:hAnsi="Times New Roman" w:cs="Times New Roman"/>
        </w:rPr>
        <w:fldChar w:fldCharType="separate"/>
      </w:r>
      <w:r w:rsidR="00965E95" w:rsidRPr="00965E95">
        <w:rPr>
          <w:rFonts w:ascii="Times New Roman" w:hAnsi="Times New Roman" w:cs="Times New Roman"/>
          <w:noProof/>
        </w:rPr>
        <w:t>Schu</w:t>
      </w:r>
      <w:r w:rsidR="00965E95">
        <w:rPr>
          <w:rFonts w:ascii="Times New Roman" w:hAnsi="Times New Roman" w:cs="Times New Roman"/>
          <w:noProof/>
        </w:rPr>
        <w:t>lz &amp; Grimes (</w:t>
      </w:r>
      <w:r w:rsidR="00965E95" w:rsidRPr="00965E95">
        <w:rPr>
          <w:rFonts w:ascii="Times New Roman" w:hAnsi="Times New Roman" w:cs="Times New Roman"/>
          <w:noProof/>
        </w:rPr>
        <w:t>2005)</w:t>
      </w:r>
      <w:r w:rsidR="00965E95">
        <w:rPr>
          <w:rFonts w:ascii="Times New Roman" w:hAnsi="Times New Roman" w:cs="Times New Roman"/>
        </w:rPr>
        <w:fldChar w:fldCharType="end"/>
      </w:r>
      <w:r w:rsidRPr="00D6033E">
        <w:rPr>
          <w:rFonts w:ascii="Times New Roman" w:hAnsi="Times New Roman" w:cs="Times New Roman"/>
        </w:rPr>
        <w:t>, the required sample size for each group is:</w:t>
      </w:r>
    </w:p>
    <w:p w:rsidR="0091516C" w:rsidRPr="00D6033E" w:rsidRDefault="0091516C" w:rsidP="005064E6">
      <w:pPr>
        <w:spacing w:line="360" w:lineRule="auto"/>
        <w:ind w:firstLineChars="200" w:firstLine="420"/>
        <w:rPr>
          <w:rFonts w:ascii="Times New Roman" w:hAnsi="Times New Roman" w:cs="Times New Roman"/>
          <w:color w:val="666666"/>
          <w:kern w:val="0"/>
        </w:rPr>
      </w:pPr>
      <w:bookmarkStart w:id="2" w:name="_Hlk525396322"/>
      <m:oMathPara>
        <m:oMath>
          <m:r>
            <m:rPr>
              <m:sty m:val="p"/>
            </m:rPr>
            <w:rPr>
              <w:rFonts w:ascii="Cambria Math" w:hAnsi="Cambria Math" w:cs="Times New Roman"/>
              <w:color w:val="666666"/>
              <w:kern w:val="0"/>
            </w:rPr>
            <m:t>n=</m:t>
          </m:r>
          <m:f>
            <m:fPr>
              <m:ctrlPr>
                <w:rPr>
                  <w:rFonts w:ascii="Cambria Math" w:hAnsi="Cambria Math" w:cs="Times New Roman"/>
                  <w:color w:val="666666"/>
                  <w:kern w:val="0"/>
                </w:rPr>
              </m:ctrlPr>
            </m:fPr>
            <m:num>
              <m:r>
                <m:rPr>
                  <m:sty m:val="p"/>
                </m:rPr>
                <w:rPr>
                  <w:rFonts w:ascii="Cambria Math" w:hAnsi="Cambria Math" w:cs="Times New Roman"/>
                  <w:color w:val="666666"/>
                  <w:kern w:val="0"/>
                </w:rPr>
                <m:t>10.51[</m:t>
              </m:r>
              <m:d>
                <m:dPr>
                  <m:ctrlPr>
                    <w:rPr>
                      <w:rFonts w:ascii="Cambria Math" w:hAnsi="Cambria Math" w:cs="Times New Roman"/>
                      <w:color w:val="666666"/>
                      <w:kern w:val="0"/>
                    </w:rPr>
                  </m:ctrlPr>
                </m:dPr>
                <m:e>
                  <m:r>
                    <w:rPr>
                      <w:rFonts w:ascii="Cambria Math" w:hAnsi="Cambria Math" w:cs="Times New Roman"/>
                      <w:color w:val="666666"/>
                      <w:kern w:val="0"/>
                    </w:rPr>
                    <m:t>R</m:t>
                  </m:r>
                  <m:r>
                    <m:rPr>
                      <m:sty m:val="p"/>
                    </m:rPr>
                    <w:rPr>
                      <w:rFonts w:ascii="Cambria Math" w:hAnsi="Cambria Math" w:cs="Times New Roman"/>
                      <w:color w:val="666666"/>
                      <w:kern w:val="0"/>
                    </w:rPr>
                    <m:t>+1</m:t>
                  </m:r>
                </m:e>
              </m:d>
              <m:r>
                <m:rPr>
                  <m:sty m:val="p"/>
                </m:rPr>
                <w:rPr>
                  <w:rFonts w:ascii="Cambria Math" w:hAnsi="Cambria Math" w:cs="Times New Roman"/>
                  <w:color w:val="666666"/>
                  <w:kern w:val="0"/>
                </w:rPr>
                <m:t>-</m:t>
              </m:r>
              <m:sSub>
                <m:sSubPr>
                  <m:ctrlPr>
                    <w:rPr>
                      <w:rFonts w:ascii="Cambria Math" w:hAnsi="Cambria Math" w:cs="Times New Roman"/>
                      <w:color w:val="666666"/>
                      <w:kern w:val="0"/>
                    </w:rPr>
                  </m:ctrlPr>
                </m:sSubPr>
                <m:e>
                  <m:r>
                    <w:rPr>
                      <w:rFonts w:ascii="Cambria Math" w:hAnsi="Cambria Math" w:cs="Times New Roman"/>
                      <w:color w:val="666666"/>
                      <w:kern w:val="0"/>
                    </w:rPr>
                    <m:t>P</m:t>
                  </m:r>
                </m:e>
                <m:sub>
                  <m:r>
                    <m:rPr>
                      <m:sty m:val="p"/>
                    </m:rPr>
                    <w:rPr>
                      <w:rFonts w:ascii="Cambria Math" w:hAnsi="Cambria Math" w:cs="Times New Roman"/>
                      <w:color w:val="666666"/>
                      <w:kern w:val="0"/>
                    </w:rPr>
                    <m:t>2</m:t>
                  </m:r>
                </m:sub>
              </m:sSub>
              <m:r>
                <m:rPr>
                  <m:sty m:val="p"/>
                </m:rPr>
                <w:rPr>
                  <w:rFonts w:ascii="Cambria Math" w:hAnsi="Cambria Math" w:cs="Times New Roman"/>
                  <w:color w:val="666666"/>
                  <w:kern w:val="0"/>
                </w:rPr>
                <m:t>(</m:t>
              </m:r>
              <m:sSup>
                <m:sSupPr>
                  <m:ctrlPr>
                    <w:rPr>
                      <w:rFonts w:ascii="Cambria Math" w:hAnsi="Cambria Math" w:cs="Times New Roman"/>
                      <w:color w:val="666666"/>
                      <w:kern w:val="0"/>
                    </w:rPr>
                  </m:ctrlPr>
                </m:sSupPr>
                <m:e>
                  <m:r>
                    <w:rPr>
                      <w:rFonts w:ascii="Cambria Math" w:hAnsi="Cambria Math" w:cs="Times New Roman"/>
                      <w:color w:val="666666"/>
                      <w:kern w:val="0"/>
                    </w:rPr>
                    <m:t>R</m:t>
                  </m:r>
                </m:e>
                <m:sup>
                  <m:r>
                    <m:rPr>
                      <m:sty m:val="p"/>
                    </m:rPr>
                    <w:rPr>
                      <w:rFonts w:ascii="Cambria Math" w:hAnsi="Cambria Math" w:cs="Times New Roman"/>
                      <w:color w:val="666666"/>
                      <w:kern w:val="0"/>
                    </w:rPr>
                    <m:t>2</m:t>
                  </m:r>
                </m:sup>
              </m:sSup>
              <m:r>
                <m:rPr>
                  <m:sty m:val="p"/>
                </m:rPr>
                <w:rPr>
                  <w:rFonts w:ascii="Cambria Math" w:hAnsi="Cambria Math" w:cs="Times New Roman"/>
                  <w:color w:val="666666"/>
                  <w:kern w:val="0"/>
                </w:rPr>
                <m:t>+1)]</m:t>
              </m:r>
            </m:num>
            <m:den>
              <m:sSub>
                <m:sSubPr>
                  <m:ctrlPr>
                    <w:rPr>
                      <w:rFonts w:ascii="Cambria Math" w:hAnsi="Cambria Math" w:cs="Times New Roman"/>
                      <w:color w:val="666666"/>
                      <w:kern w:val="0"/>
                    </w:rPr>
                  </m:ctrlPr>
                </m:sSubPr>
                <m:e>
                  <m:r>
                    <w:rPr>
                      <w:rFonts w:ascii="Cambria Math" w:hAnsi="Cambria Math" w:cs="Times New Roman"/>
                      <w:color w:val="666666"/>
                      <w:kern w:val="0"/>
                    </w:rPr>
                    <m:t>p</m:t>
                  </m:r>
                </m:e>
                <m:sub>
                  <m:r>
                    <m:rPr>
                      <m:sty m:val="p"/>
                    </m:rPr>
                    <w:rPr>
                      <w:rFonts w:ascii="Cambria Math" w:hAnsi="Cambria Math" w:cs="Times New Roman"/>
                      <w:color w:val="666666"/>
                      <w:kern w:val="0"/>
                    </w:rPr>
                    <m:t>2</m:t>
                  </m:r>
                </m:sub>
              </m:sSub>
              <m:sSup>
                <m:sSupPr>
                  <m:ctrlPr>
                    <w:rPr>
                      <w:rFonts w:ascii="Cambria Math" w:hAnsi="Cambria Math" w:cs="Times New Roman"/>
                      <w:color w:val="666666"/>
                      <w:kern w:val="0"/>
                    </w:rPr>
                  </m:ctrlPr>
                </m:sSupPr>
                <m:e>
                  <m:r>
                    <m:rPr>
                      <m:sty m:val="p"/>
                    </m:rPr>
                    <w:rPr>
                      <w:rFonts w:ascii="Cambria Math" w:hAnsi="Cambria Math" w:cs="Times New Roman"/>
                      <w:color w:val="666666"/>
                      <w:kern w:val="0"/>
                    </w:rPr>
                    <m:t>(1-</m:t>
                  </m:r>
                  <m:r>
                    <w:rPr>
                      <w:rFonts w:ascii="Cambria Math" w:hAnsi="Cambria Math" w:cs="Times New Roman"/>
                      <w:color w:val="666666"/>
                      <w:kern w:val="0"/>
                    </w:rPr>
                    <m:t>R</m:t>
                  </m:r>
                  <m:r>
                    <m:rPr>
                      <m:sty m:val="p"/>
                    </m:rPr>
                    <w:rPr>
                      <w:rFonts w:ascii="Cambria Math" w:hAnsi="Cambria Math" w:cs="Times New Roman"/>
                      <w:color w:val="666666"/>
                      <w:kern w:val="0"/>
                    </w:rPr>
                    <m:t>)</m:t>
                  </m:r>
                </m:e>
                <m:sup>
                  <m:r>
                    <m:rPr>
                      <m:sty m:val="p"/>
                    </m:rPr>
                    <w:rPr>
                      <w:rFonts w:ascii="Cambria Math" w:hAnsi="Cambria Math" w:cs="Times New Roman"/>
                      <w:color w:val="666666"/>
                      <w:kern w:val="0"/>
                    </w:rPr>
                    <m:t>2</m:t>
                  </m:r>
                </m:sup>
              </m:sSup>
            </m:den>
          </m:f>
          <w:bookmarkEnd w:id="2"/>
          <m:r>
            <m:rPr>
              <m:sty m:val="p"/>
            </m:rPr>
            <w:rPr>
              <w:rFonts w:ascii="Cambria Math" w:hAnsi="Cambria Math" w:cs="Times New Roman"/>
              <w:color w:val="666666"/>
              <w:kern w:val="0"/>
            </w:rPr>
            <m:t>=</m:t>
          </m:r>
          <m:f>
            <m:fPr>
              <m:ctrlPr>
                <w:rPr>
                  <w:rFonts w:ascii="Cambria Math" w:hAnsi="Cambria Math" w:cs="Times New Roman"/>
                  <w:color w:val="666666"/>
                  <w:kern w:val="0"/>
                </w:rPr>
              </m:ctrlPr>
            </m:fPr>
            <m:num>
              <m:r>
                <m:rPr>
                  <m:sty m:val="p"/>
                </m:rPr>
                <w:rPr>
                  <w:rFonts w:ascii="Cambria Math" w:hAnsi="Cambria Math" w:cs="Times New Roman"/>
                  <w:color w:val="666666"/>
                  <w:kern w:val="0"/>
                </w:rPr>
                <m:t>10.51[</m:t>
              </m:r>
              <m:d>
                <m:dPr>
                  <m:ctrlPr>
                    <w:rPr>
                      <w:rFonts w:ascii="Cambria Math" w:hAnsi="Cambria Math" w:cs="Times New Roman"/>
                      <w:color w:val="666666"/>
                      <w:kern w:val="0"/>
                    </w:rPr>
                  </m:ctrlPr>
                </m:dPr>
                <m:e>
                  <m:r>
                    <m:rPr>
                      <m:sty m:val="p"/>
                    </m:rPr>
                    <w:rPr>
                      <w:rFonts w:ascii="Cambria Math" w:hAnsi="Cambria Math" w:cs="Times New Roman"/>
                      <w:color w:val="666666"/>
                      <w:kern w:val="0"/>
                    </w:rPr>
                    <m:t>0.5+1</m:t>
                  </m:r>
                </m:e>
              </m:d>
              <m:r>
                <m:rPr>
                  <m:sty m:val="p"/>
                </m:rPr>
                <w:rPr>
                  <w:rFonts w:ascii="Cambria Math" w:hAnsi="Cambria Math" w:cs="Times New Roman"/>
                  <w:color w:val="666666"/>
                  <w:kern w:val="0"/>
                </w:rPr>
                <m:t>-36.1%(</m:t>
              </m:r>
              <m:sSup>
                <m:sSupPr>
                  <m:ctrlPr>
                    <w:rPr>
                      <w:rFonts w:ascii="Cambria Math" w:hAnsi="Cambria Math" w:cs="Times New Roman"/>
                      <w:color w:val="666666"/>
                      <w:kern w:val="0"/>
                    </w:rPr>
                  </m:ctrlPr>
                </m:sSupPr>
                <m:e>
                  <m:r>
                    <m:rPr>
                      <m:sty m:val="p"/>
                    </m:rPr>
                    <w:rPr>
                      <w:rFonts w:ascii="Cambria Math" w:hAnsi="Cambria Math" w:cs="Times New Roman"/>
                      <w:color w:val="666666"/>
                      <w:kern w:val="0"/>
                    </w:rPr>
                    <m:t>0.5</m:t>
                  </m:r>
                </m:e>
                <m:sup>
                  <m:r>
                    <m:rPr>
                      <m:sty m:val="p"/>
                    </m:rPr>
                    <w:rPr>
                      <w:rFonts w:ascii="Cambria Math" w:hAnsi="Cambria Math" w:cs="Times New Roman"/>
                      <w:color w:val="666666"/>
                      <w:kern w:val="0"/>
                    </w:rPr>
                    <m:t>2</m:t>
                  </m:r>
                </m:sup>
              </m:sSup>
              <m:r>
                <m:rPr>
                  <m:sty m:val="p"/>
                </m:rPr>
                <w:rPr>
                  <w:rFonts w:ascii="Cambria Math" w:hAnsi="Cambria Math" w:cs="Times New Roman"/>
                  <w:color w:val="666666"/>
                  <w:kern w:val="0"/>
                </w:rPr>
                <m:t>+1)]</m:t>
              </m:r>
            </m:num>
            <m:den>
              <m:r>
                <m:rPr>
                  <m:sty m:val="p"/>
                </m:rPr>
                <w:rPr>
                  <w:rFonts w:ascii="Cambria Math" w:hAnsi="Cambria Math" w:cs="Times New Roman"/>
                  <w:color w:val="666666"/>
                  <w:kern w:val="0"/>
                </w:rPr>
                <m:t>36.1%</m:t>
              </m:r>
              <m:sSup>
                <m:sSupPr>
                  <m:ctrlPr>
                    <w:rPr>
                      <w:rFonts w:ascii="Cambria Math" w:hAnsi="Cambria Math" w:cs="Times New Roman"/>
                      <w:color w:val="666666"/>
                      <w:kern w:val="0"/>
                    </w:rPr>
                  </m:ctrlPr>
                </m:sSupPr>
                <m:e>
                  <m:r>
                    <m:rPr>
                      <m:sty m:val="p"/>
                    </m:rPr>
                    <w:rPr>
                      <w:rFonts w:ascii="Cambria Math" w:hAnsi="Cambria Math" w:cs="Times New Roman"/>
                      <w:color w:val="666666"/>
                      <w:kern w:val="0"/>
                    </w:rPr>
                    <m:t>(1-0.5)</m:t>
                  </m:r>
                </m:e>
                <m:sup>
                  <m:r>
                    <m:rPr>
                      <m:sty m:val="p"/>
                    </m:rPr>
                    <w:rPr>
                      <w:rFonts w:ascii="Cambria Math" w:hAnsi="Cambria Math" w:cs="Times New Roman"/>
                      <w:color w:val="666666"/>
                      <w:kern w:val="0"/>
                    </w:rPr>
                    <m:t>2</m:t>
                  </m:r>
                </m:sup>
              </m:sSup>
            </m:den>
          </m:f>
          <m:r>
            <m:rPr>
              <m:sty m:val="p"/>
            </m:rPr>
            <w:rPr>
              <w:rFonts w:ascii="Cambria Math" w:hAnsi="Cambria Math" w:cs="Times New Roman"/>
              <w:color w:val="666666"/>
              <w:kern w:val="0"/>
            </w:rPr>
            <m:t>≈122.1</m:t>
          </m:r>
        </m:oMath>
      </m:oMathPara>
    </w:p>
    <w:p w:rsidR="0091516C" w:rsidRPr="00D6033E" w:rsidRDefault="0091516C" w:rsidP="005064E6">
      <w:pPr>
        <w:spacing w:line="480" w:lineRule="auto"/>
        <w:ind w:firstLineChars="200" w:firstLine="420"/>
        <w:rPr>
          <w:rFonts w:ascii="Times New Roman" w:hAnsi="Times New Roman" w:cs="Times New Roman"/>
        </w:rPr>
      </w:pPr>
      <w:r w:rsidRPr="00D6033E">
        <w:rPr>
          <w:rFonts w:ascii="Times New Roman" w:hAnsi="Times New Roman" w:cs="Times New Roman"/>
        </w:rPr>
        <w:t xml:space="preserve">Therefore, the total sample size required for the </w:t>
      </w:r>
      <w:r w:rsidR="00F33BF6" w:rsidRPr="00D6033E">
        <w:rPr>
          <w:rFonts w:ascii="Times New Roman" w:hAnsi="Times New Roman" w:cs="Times New Roman"/>
        </w:rPr>
        <w:t xml:space="preserve">TF-CBT group </w:t>
      </w:r>
      <w:r w:rsidRPr="00D6033E">
        <w:rPr>
          <w:rFonts w:ascii="Times New Roman" w:hAnsi="Times New Roman" w:cs="Times New Roman"/>
        </w:rPr>
        <w:t>and the TAU group</w:t>
      </w:r>
      <w:r w:rsidR="00F33BF6" w:rsidRPr="00D6033E">
        <w:rPr>
          <w:rFonts w:ascii="Times New Roman" w:hAnsi="Times New Roman" w:cs="Times New Roman"/>
        </w:rPr>
        <w:t xml:space="preserve"> </w:t>
      </w:r>
      <w:r w:rsidRPr="00D6033E">
        <w:rPr>
          <w:rFonts w:ascii="Times New Roman" w:hAnsi="Times New Roman" w:cs="Times New Roman"/>
        </w:rPr>
        <w:t xml:space="preserve">is 244. Considering that the results of the sample will be 20% missing, the total sample size of the project is 293. Since the study is a pilot study, the study plans to draw 20% of the official sample size, therefore, it is totally about 60 people, and 30 participants in the </w:t>
      </w:r>
      <w:r w:rsidR="00F33BF6" w:rsidRPr="00D6033E">
        <w:rPr>
          <w:rFonts w:ascii="Times New Roman" w:hAnsi="Times New Roman" w:cs="Times New Roman"/>
        </w:rPr>
        <w:t xml:space="preserve">TF-CBT group </w:t>
      </w:r>
      <w:r w:rsidRPr="00D6033E">
        <w:rPr>
          <w:rFonts w:ascii="Times New Roman" w:hAnsi="Times New Roman" w:cs="Times New Roman"/>
        </w:rPr>
        <w:t>and the TAU group</w:t>
      </w:r>
      <w:r w:rsidR="00F33BF6" w:rsidRPr="00D6033E">
        <w:rPr>
          <w:rFonts w:ascii="Times New Roman" w:hAnsi="Times New Roman" w:cs="Times New Roman"/>
        </w:rPr>
        <w:t xml:space="preserve"> </w:t>
      </w:r>
      <w:r w:rsidRPr="00D6033E">
        <w:rPr>
          <w:rFonts w:ascii="Times New Roman" w:hAnsi="Times New Roman" w:cs="Times New Roman"/>
        </w:rPr>
        <w:t>respectively.</w:t>
      </w:r>
    </w:p>
    <w:p w:rsidR="00F33BF6" w:rsidRPr="00D6033E" w:rsidRDefault="002A75D0" w:rsidP="005064E6">
      <w:pPr>
        <w:spacing w:line="360" w:lineRule="auto"/>
        <w:ind w:firstLineChars="200" w:firstLine="420"/>
        <w:rPr>
          <w:rFonts w:ascii="Times New Roman" w:hAnsi="Times New Roman" w:cs="Times New Roman"/>
          <w:b/>
        </w:rPr>
      </w:pPr>
      <w:r w:rsidRPr="00D6033E">
        <w:rPr>
          <w:rFonts w:ascii="Times New Roman" w:hAnsi="Times New Roman" w:cs="Times New Roman"/>
          <w:b/>
        </w:rPr>
        <w:t>Item 8b</w:t>
      </w:r>
      <w:r w:rsidR="00F40067" w:rsidRPr="00D6033E">
        <w:rPr>
          <w:rFonts w:ascii="Times New Roman" w:hAnsi="Times New Roman" w:cs="Times New Roman"/>
          <w:b/>
        </w:rPr>
        <w:t xml:space="preserve">: Type of </w:t>
      </w:r>
      <w:proofErr w:type="spellStart"/>
      <w:r w:rsidR="00F40067" w:rsidRPr="00D6033E">
        <w:rPr>
          <w:rFonts w:ascii="Times New Roman" w:hAnsi="Times New Roman" w:cs="Times New Roman"/>
          <w:b/>
        </w:rPr>
        <w:t>randomisation</w:t>
      </w:r>
      <w:proofErr w:type="spellEnd"/>
      <w:r w:rsidR="00F40067" w:rsidRPr="00D6033E">
        <w:rPr>
          <w:rFonts w:ascii="Times New Roman" w:hAnsi="Times New Roman" w:cs="Times New Roman"/>
          <w:b/>
        </w:rPr>
        <w:t>; details of any restriction (such as blocking and block size)</w:t>
      </w:r>
    </w:p>
    <w:p w:rsidR="000928ED" w:rsidRPr="00D6033E" w:rsidRDefault="000928ED" w:rsidP="005064E6">
      <w:pPr>
        <w:spacing w:line="480" w:lineRule="auto"/>
        <w:ind w:firstLineChars="200" w:firstLine="420"/>
        <w:rPr>
          <w:rFonts w:ascii="Times New Roman" w:hAnsi="Times New Roman" w:cs="Times New Roman"/>
        </w:rPr>
      </w:pPr>
      <w:r w:rsidRPr="00D6033E">
        <w:rPr>
          <w:rFonts w:ascii="Times New Roman" w:hAnsi="Times New Roman" w:cs="Times New Roman"/>
        </w:rPr>
        <w:t xml:space="preserve">Participants were </w:t>
      </w:r>
      <w:proofErr w:type="spellStart"/>
      <w:r w:rsidRPr="00D6033E">
        <w:rPr>
          <w:rFonts w:ascii="Times New Roman" w:hAnsi="Times New Roman" w:cs="Times New Roman"/>
        </w:rPr>
        <w:t>ra</w:t>
      </w:r>
      <w:r w:rsidR="00C62AD5" w:rsidRPr="00D6033E">
        <w:rPr>
          <w:rFonts w:ascii="Times New Roman" w:hAnsi="Times New Roman" w:cs="Times New Roman"/>
        </w:rPr>
        <w:t>ndomised</w:t>
      </w:r>
      <w:proofErr w:type="spellEnd"/>
      <w:r w:rsidR="00C62AD5" w:rsidRPr="00D6033E">
        <w:rPr>
          <w:rFonts w:ascii="Times New Roman" w:hAnsi="Times New Roman" w:cs="Times New Roman"/>
        </w:rPr>
        <w:t xml:space="preserve"> in block sizes of 2,4,6</w:t>
      </w:r>
      <w:r w:rsidRPr="00D6033E">
        <w:rPr>
          <w:rFonts w:ascii="Times New Roman" w:hAnsi="Times New Roman" w:cs="Times New Roman"/>
        </w:rPr>
        <w:t xml:space="preserve"> by computer-generate</w:t>
      </w:r>
      <w:r w:rsidR="00C62AD5" w:rsidRPr="00D6033E">
        <w:rPr>
          <w:rFonts w:ascii="Times New Roman" w:hAnsi="Times New Roman" w:cs="Times New Roman"/>
        </w:rPr>
        <w:t xml:space="preserve">d </w:t>
      </w:r>
      <w:proofErr w:type="spellStart"/>
      <w:r w:rsidR="00C62AD5" w:rsidRPr="00D6033E">
        <w:rPr>
          <w:rFonts w:ascii="Times New Roman" w:hAnsi="Times New Roman" w:cs="Times New Roman"/>
        </w:rPr>
        <w:t>randomisation</w:t>
      </w:r>
      <w:proofErr w:type="spellEnd"/>
      <w:r w:rsidR="00C62AD5" w:rsidRPr="00D6033E">
        <w:rPr>
          <w:rFonts w:ascii="Times New Roman" w:hAnsi="Times New Roman" w:cs="Times New Roman"/>
        </w:rPr>
        <w:t xml:space="preserve"> to the TF-CBT group or the TAU</w:t>
      </w:r>
      <w:r w:rsidRPr="00D6033E">
        <w:rPr>
          <w:rFonts w:ascii="Times New Roman" w:hAnsi="Times New Roman" w:cs="Times New Roman"/>
        </w:rPr>
        <w:t xml:space="preserve"> g</w:t>
      </w:r>
      <w:r w:rsidR="00C62AD5" w:rsidRPr="00D6033E">
        <w:rPr>
          <w:rFonts w:ascii="Times New Roman" w:hAnsi="Times New Roman" w:cs="Times New Roman"/>
        </w:rPr>
        <w:t>roup (1:1), stratified by PTSD and school.</w:t>
      </w:r>
    </w:p>
    <w:p w:rsidR="00C62AD5" w:rsidRPr="00D6033E" w:rsidRDefault="002A75D0" w:rsidP="005064E6">
      <w:pPr>
        <w:spacing w:line="480" w:lineRule="auto"/>
        <w:ind w:firstLineChars="200" w:firstLine="420"/>
        <w:rPr>
          <w:rFonts w:ascii="Times New Roman" w:hAnsi="Times New Roman" w:cs="Times New Roman"/>
          <w:b/>
        </w:rPr>
      </w:pPr>
      <w:r w:rsidRPr="00D6033E">
        <w:rPr>
          <w:rFonts w:ascii="Times New Roman" w:hAnsi="Times New Roman" w:cs="Times New Roman"/>
          <w:b/>
        </w:rPr>
        <w:t>Item 9</w:t>
      </w:r>
      <w:r w:rsidR="00C62AD5" w:rsidRPr="00D6033E">
        <w:rPr>
          <w:rFonts w:ascii="Times New Roman" w:hAnsi="Times New Roman" w:cs="Times New Roman"/>
          <w:b/>
        </w:rPr>
        <w:t>: Mechanism used to implement the random allocation sequence (such as sequentially numbered containers), describing any steps taken to conceal the sequence until interventions were assigned</w:t>
      </w:r>
    </w:p>
    <w:p w:rsidR="002A75D0" w:rsidRPr="00D6033E" w:rsidRDefault="002A75D0" w:rsidP="005064E6">
      <w:pPr>
        <w:spacing w:line="480" w:lineRule="auto"/>
        <w:ind w:firstLineChars="200" w:firstLine="420"/>
        <w:rPr>
          <w:rFonts w:ascii="Times New Roman" w:hAnsi="Times New Roman" w:cs="Times New Roman"/>
          <w:color w:val="000000"/>
          <w:szCs w:val="21"/>
        </w:rPr>
      </w:pPr>
      <w:r w:rsidRPr="00D6033E">
        <w:rPr>
          <w:rFonts w:ascii="Times New Roman" w:hAnsi="Times New Roman" w:cs="Times New Roman"/>
          <w:color w:val="000000"/>
          <w:szCs w:val="21"/>
        </w:rPr>
        <w:t xml:space="preserve">The allocation sequence was implemented </w:t>
      </w:r>
      <w:r w:rsidR="002F2859" w:rsidRPr="00D6033E">
        <w:rPr>
          <w:rFonts w:ascii="Times New Roman" w:hAnsi="Times New Roman" w:cs="Times New Roman"/>
        </w:rPr>
        <w:t>in a network-based program by an independent</w:t>
      </w:r>
      <w:r w:rsidR="00D3012B" w:rsidRPr="00D6033E">
        <w:rPr>
          <w:rFonts w:ascii="Times New Roman" w:hAnsi="Times New Roman" w:cs="Times New Roman"/>
        </w:rPr>
        <w:t xml:space="preserve"> researcher</w:t>
      </w:r>
      <w:r w:rsidR="00D3012B" w:rsidRPr="00D6033E">
        <w:rPr>
          <w:rFonts w:ascii="Times New Roman" w:hAnsi="Times New Roman" w:cs="Times New Roman"/>
        </w:rPr>
        <w:t>（</w:t>
      </w:r>
      <w:r w:rsidR="00D3012B" w:rsidRPr="00D6033E">
        <w:rPr>
          <w:rFonts w:ascii="Times New Roman" w:hAnsi="Times New Roman" w:cs="Times New Roman"/>
        </w:rPr>
        <w:t>Sealed Envelope Ltd. 2017. Create a blocked randomization list. [Online] Available from: https://www.sealedenvelope.com/simple-randomiser/v1/lists [Accessed 19 Sep 2018].</w:t>
      </w:r>
      <w:r w:rsidR="00D3012B" w:rsidRPr="00D6033E">
        <w:rPr>
          <w:rFonts w:ascii="Times New Roman" w:hAnsi="Times New Roman" w:cs="Times New Roman"/>
        </w:rPr>
        <w:t>）</w:t>
      </w:r>
      <w:r w:rsidR="00D3012B" w:rsidRPr="00D6033E">
        <w:rPr>
          <w:rFonts w:ascii="Times New Roman" w:hAnsi="Times New Roman" w:cs="Times New Roman"/>
        </w:rPr>
        <w:t xml:space="preserve">.  </w:t>
      </w:r>
    </w:p>
    <w:p w:rsidR="002A75D0" w:rsidRPr="00D6033E" w:rsidRDefault="00D3012B" w:rsidP="005064E6">
      <w:pPr>
        <w:spacing w:line="480" w:lineRule="auto"/>
        <w:ind w:firstLineChars="200" w:firstLine="420"/>
        <w:rPr>
          <w:rFonts w:ascii="Times New Roman" w:hAnsi="Times New Roman" w:cs="Times New Roman"/>
          <w:b/>
          <w:color w:val="000000"/>
          <w:szCs w:val="21"/>
        </w:rPr>
      </w:pPr>
      <w:r w:rsidRPr="00D6033E">
        <w:rPr>
          <w:rFonts w:ascii="Times New Roman" w:hAnsi="Times New Roman" w:cs="Times New Roman"/>
          <w:b/>
          <w:color w:val="000000"/>
          <w:szCs w:val="21"/>
        </w:rPr>
        <w:t xml:space="preserve">Item 10: Who generated the random allocation sequence, who enrolled participants, and </w:t>
      </w:r>
      <w:r w:rsidRPr="00D6033E">
        <w:rPr>
          <w:rFonts w:ascii="Times New Roman" w:hAnsi="Times New Roman" w:cs="Times New Roman"/>
          <w:b/>
          <w:color w:val="000000"/>
          <w:szCs w:val="21"/>
        </w:rPr>
        <w:lastRenderedPageBreak/>
        <w:t>who assigned participants to interventions</w:t>
      </w:r>
    </w:p>
    <w:p w:rsidR="00C16F5E" w:rsidRDefault="00D3012B" w:rsidP="005064E6">
      <w:pPr>
        <w:spacing w:line="480" w:lineRule="auto"/>
        <w:ind w:firstLineChars="200" w:firstLine="420"/>
        <w:rPr>
          <w:rFonts w:ascii="Times New Roman" w:hAnsi="Times New Roman" w:cs="Times New Roman"/>
        </w:rPr>
      </w:pPr>
      <w:bookmarkStart w:id="3" w:name="OLE_LINK1"/>
      <w:bookmarkStart w:id="4" w:name="OLE_LINK2"/>
      <w:r w:rsidRPr="00D6033E">
        <w:rPr>
          <w:rFonts w:ascii="Times New Roman" w:hAnsi="Times New Roman" w:cs="Times New Roman"/>
        </w:rPr>
        <w:t xml:space="preserve">An independent </w:t>
      </w:r>
      <w:bookmarkEnd w:id="3"/>
      <w:bookmarkEnd w:id="4"/>
      <w:r w:rsidR="00C16F5E" w:rsidRPr="00D6033E">
        <w:rPr>
          <w:rFonts w:ascii="Times New Roman" w:hAnsi="Times New Roman" w:cs="Times New Roman"/>
        </w:rPr>
        <w:t>res</w:t>
      </w:r>
      <w:r w:rsidR="00B560EA" w:rsidRPr="00D6033E">
        <w:rPr>
          <w:rFonts w:ascii="Times New Roman" w:hAnsi="Times New Roman" w:cs="Times New Roman"/>
        </w:rPr>
        <w:t>earcher</w:t>
      </w:r>
      <w:r w:rsidRPr="00D6033E">
        <w:rPr>
          <w:rFonts w:ascii="Times New Roman" w:hAnsi="Times New Roman" w:cs="Times New Roman"/>
        </w:rPr>
        <w:t xml:space="preserve"> </w:t>
      </w:r>
      <w:r w:rsidR="00B560EA" w:rsidRPr="00D6033E">
        <w:rPr>
          <w:rFonts w:ascii="Times New Roman" w:hAnsi="Times New Roman" w:cs="Times New Roman"/>
          <w:color w:val="000000"/>
          <w:szCs w:val="21"/>
        </w:rPr>
        <w:t>generated the random allocation sequence using the web-based program. The allocation sequence was concealed from all study personnel in sequentially numbered, opaque, sealed envelopes.</w:t>
      </w:r>
      <w:r w:rsidR="00B560EA" w:rsidRPr="00D6033E">
        <w:rPr>
          <w:rFonts w:ascii="Times New Roman" w:hAnsi="Times New Roman" w:cs="Times New Roman"/>
        </w:rPr>
        <w:t xml:space="preserve"> Another two researchers opened a sealed envelope and recorded the group list.</w:t>
      </w:r>
    </w:p>
    <w:p w:rsidR="00F72876" w:rsidRDefault="00F72876" w:rsidP="00111F4F">
      <w:pPr>
        <w:spacing w:line="480" w:lineRule="auto"/>
        <w:rPr>
          <w:rFonts w:ascii="Times New Roman" w:hAnsi="Times New Roman" w:cs="Times New Roman"/>
          <w:b/>
        </w:rPr>
      </w:pPr>
    </w:p>
    <w:p w:rsidR="00111F4F" w:rsidRPr="00F72876" w:rsidRDefault="00111F4F" w:rsidP="00111F4F">
      <w:pPr>
        <w:spacing w:line="480" w:lineRule="auto"/>
        <w:rPr>
          <w:rFonts w:ascii="Times New Roman" w:hAnsi="Times New Roman" w:cs="Times New Roman"/>
          <w:b/>
        </w:rPr>
      </w:pPr>
      <w:r w:rsidRPr="00F72876">
        <w:rPr>
          <w:rFonts w:ascii="Times New Roman" w:hAnsi="Times New Roman" w:cs="Times New Roman" w:hint="eastAsia"/>
          <w:b/>
        </w:rPr>
        <w:t>Reference</w:t>
      </w:r>
      <w:bookmarkStart w:id="5" w:name="_GoBack"/>
      <w:bookmarkEnd w:id="5"/>
    </w:p>
    <w:p w:rsidR="00CD78A6" w:rsidRPr="00F72876" w:rsidRDefault="00111F4F" w:rsidP="00F72876">
      <w:pPr>
        <w:autoSpaceDE w:val="0"/>
        <w:autoSpaceDN w:val="0"/>
        <w:adjustRightInd w:val="0"/>
        <w:spacing w:line="480" w:lineRule="auto"/>
        <w:ind w:left="480" w:hanging="480"/>
        <w:jc w:val="left"/>
        <w:rPr>
          <w:rFonts w:ascii="Times New Roman" w:hAnsi="Times New Roman" w:cs="Times New Roman"/>
          <w:noProof/>
          <w:kern w:val="0"/>
          <w:sz w:val="20"/>
          <w:szCs w:val="24"/>
        </w:rPr>
      </w:pPr>
      <w:r w:rsidRPr="00F72876">
        <w:rPr>
          <w:rFonts w:ascii="Times New Roman" w:hAnsi="Times New Roman" w:cs="Times New Roman"/>
          <w:noProof/>
          <w:kern w:val="0"/>
          <w:sz w:val="20"/>
          <w:szCs w:val="24"/>
        </w:rPr>
        <w:t>Stein, Bradley D, Jaycox, Lisa H, Kataoka, Sheryl H, Wong, Marleen, Tu, Wenli, Elliott, Marc N, &amp; Fink, Arlene. (2003). A mental health intervention for schoolchildren exposed to violence: A randomized controlled trial. Jama, 290(5), 603.</w:t>
      </w:r>
    </w:p>
    <w:p w:rsidR="00965E95" w:rsidRPr="00965E95" w:rsidRDefault="00965E95" w:rsidP="00965E95">
      <w:pPr>
        <w:autoSpaceDE w:val="0"/>
        <w:autoSpaceDN w:val="0"/>
        <w:adjustRightInd w:val="0"/>
        <w:spacing w:line="480" w:lineRule="auto"/>
        <w:ind w:left="480" w:hanging="480"/>
        <w:jc w:val="left"/>
        <w:rPr>
          <w:rFonts w:ascii="Times New Roman" w:hAnsi="Times New Roman" w:cs="Times New Roman"/>
          <w:noProof/>
          <w:sz w:val="20"/>
        </w:rPr>
      </w:pPr>
      <w:r>
        <w:rPr>
          <w:rFonts w:ascii="Times New Roman" w:hAnsi="Times New Roman" w:cs="Times New Roman"/>
        </w:rPr>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Pr="00965E95">
        <w:rPr>
          <w:rFonts w:ascii="Times New Roman" w:hAnsi="Times New Roman" w:cs="Times New Roman"/>
          <w:noProof/>
          <w:kern w:val="0"/>
          <w:sz w:val="20"/>
          <w:szCs w:val="24"/>
        </w:rPr>
        <w:t xml:space="preserve">Schulz, K. F., &amp; Grimes, D. A. (2005). Sample size calculations in randomised trials: Mandatory and mystical. </w:t>
      </w:r>
      <w:r w:rsidRPr="00965E95">
        <w:rPr>
          <w:rFonts w:ascii="Times New Roman" w:hAnsi="Times New Roman" w:cs="Times New Roman"/>
          <w:i/>
          <w:iCs/>
          <w:noProof/>
          <w:kern w:val="0"/>
          <w:sz w:val="20"/>
          <w:szCs w:val="24"/>
        </w:rPr>
        <w:t>Lancet</w:t>
      </w:r>
      <w:r w:rsidRPr="00965E95">
        <w:rPr>
          <w:rFonts w:ascii="Times New Roman" w:hAnsi="Times New Roman" w:cs="Times New Roman"/>
          <w:noProof/>
          <w:kern w:val="0"/>
          <w:sz w:val="20"/>
          <w:szCs w:val="24"/>
        </w:rPr>
        <w:t xml:space="preserve">, </w:t>
      </w:r>
      <w:r w:rsidRPr="00965E95">
        <w:rPr>
          <w:rFonts w:ascii="Times New Roman" w:hAnsi="Times New Roman" w:cs="Times New Roman"/>
          <w:i/>
          <w:iCs/>
          <w:noProof/>
          <w:kern w:val="0"/>
          <w:sz w:val="20"/>
          <w:szCs w:val="24"/>
        </w:rPr>
        <w:t>365</w:t>
      </w:r>
      <w:r w:rsidRPr="00965E95">
        <w:rPr>
          <w:rFonts w:ascii="Times New Roman" w:hAnsi="Times New Roman" w:cs="Times New Roman"/>
          <w:noProof/>
          <w:kern w:val="0"/>
          <w:sz w:val="20"/>
          <w:szCs w:val="24"/>
        </w:rPr>
        <w:t>(9467), 1348–1353. https://doi.org/10.1016/S0140-6736(05)61034-3</w:t>
      </w:r>
    </w:p>
    <w:p w:rsidR="00965E95" w:rsidRPr="00111F4F" w:rsidRDefault="00965E95" w:rsidP="00111F4F">
      <w:pPr>
        <w:spacing w:line="480" w:lineRule="auto"/>
        <w:rPr>
          <w:rFonts w:ascii="Times New Roman" w:hAnsi="Times New Roman" w:cs="Times New Roman"/>
        </w:rPr>
      </w:pPr>
      <w:r>
        <w:rPr>
          <w:rFonts w:ascii="Times New Roman" w:hAnsi="Times New Roman" w:cs="Times New Roman"/>
        </w:rPr>
        <w:fldChar w:fldCharType="end"/>
      </w:r>
    </w:p>
    <w:p w:rsidR="00C62AD5" w:rsidRPr="00D6033E" w:rsidRDefault="00C62AD5" w:rsidP="005064E6">
      <w:pPr>
        <w:spacing w:line="480" w:lineRule="auto"/>
        <w:ind w:firstLineChars="200" w:firstLine="420"/>
        <w:rPr>
          <w:rFonts w:ascii="Times New Roman" w:hAnsi="Times New Roman" w:cs="Times New Roman"/>
        </w:rPr>
      </w:pPr>
    </w:p>
    <w:p w:rsidR="00F40067" w:rsidRPr="00D6033E" w:rsidRDefault="00F40067" w:rsidP="005064E6">
      <w:pPr>
        <w:spacing w:line="360" w:lineRule="auto"/>
        <w:ind w:firstLineChars="200" w:firstLine="420"/>
        <w:rPr>
          <w:rFonts w:ascii="Times New Roman" w:hAnsi="Times New Roman" w:cs="Times New Roman"/>
        </w:rPr>
      </w:pPr>
    </w:p>
    <w:p w:rsidR="00E7665B" w:rsidRPr="00D6033E" w:rsidRDefault="00E7665B" w:rsidP="005064E6">
      <w:pPr>
        <w:spacing w:line="480" w:lineRule="auto"/>
        <w:ind w:firstLineChars="200" w:firstLine="420"/>
        <w:rPr>
          <w:rFonts w:ascii="Times New Roman" w:hAnsi="Times New Roman" w:cs="Times New Roman"/>
        </w:rPr>
      </w:pPr>
    </w:p>
    <w:p w:rsidR="00277B8E" w:rsidRPr="00D6033E" w:rsidRDefault="00277B8E" w:rsidP="005064E6">
      <w:pPr>
        <w:spacing w:line="480" w:lineRule="auto"/>
        <w:ind w:firstLineChars="200" w:firstLine="420"/>
        <w:rPr>
          <w:rFonts w:ascii="Times New Roman" w:hAnsi="Times New Roman" w:cs="Times New Roman"/>
        </w:rPr>
      </w:pPr>
    </w:p>
    <w:p w:rsidR="009728EA" w:rsidRPr="00D6033E" w:rsidRDefault="009728EA" w:rsidP="005064E6">
      <w:pPr>
        <w:ind w:firstLineChars="200" w:firstLine="420"/>
        <w:rPr>
          <w:rFonts w:ascii="Times New Roman" w:hAnsi="Times New Roman" w:cs="Times New Roman"/>
        </w:rPr>
      </w:pPr>
    </w:p>
    <w:p w:rsidR="000E6764" w:rsidRPr="00D6033E" w:rsidRDefault="000E6764" w:rsidP="005064E6">
      <w:pPr>
        <w:ind w:firstLineChars="200" w:firstLine="420"/>
        <w:rPr>
          <w:rFonts w:ascii="Times New Roman" w:hAnsi="Times New Roman" w:cs="Times New Roman"/>
        </w:rPr>
      </w:pPr>
    </w:p>
    <w:p w:rsidR="000E6764" w:rsidRPr="00D6033E" w:rsidRDefault="000E6764" w:rsidP="005064E6">
      <w:pPr>
        <w:ind w:firstLineChars="200" w:firstLine="420"/>
        <w:rPr>
          <w:rFonts w:ascii="Times New Roman" w:hAnsi="Times New Roman" w:cs="Times New Roman"/>
        </w:rPr>
      </w:pPr>
    </w:p>
    <w:p w:rsidR="000E6764" w:rsidRPr="00D6033E" w:rsidRDefault="000E6764" w:rsidP="005064E6">
      <w:pPr>
        <w:ind w:firstLineChars="200" w:firstLine="420"/>
        <w:rPr>
          <w:rFonts w:ascii="Times New Roman" w:hAnsi="Times New Roman" w:cs="Times New Roman"/>
        </w:rPr>
      </w:pPr>
    </w:p>
    <w:p w:rsidR="000E6764" w:rsidRPr="00D6033E" w:rsidRDefault="000E6764" w:rsidP="005064E6">
      <w:pPr>
        <w:ind w:firstLineChars="200" w:firstLine="420"/>
        <w:rPr>
          <w:rFonts w:ascii="Times New Roman" w:hAnsi="Times New Roman" w:cs="Times New Roman"/>
        </w:rPr>
      </w:pPr>
    </w:p>
    <w:sectPr w:rsidR="000E6764" w:rsidRPr="00D6033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05C0" w:rsidRDefault="00AF05C0" w:rsidP="004A08B5">
      <w:r>
        <w:separator/>
      </w:r>
    </w:p>
  </w:endnote>
  <w:endnote w:type="continuationSeparator" w:id="0">
    <w:p w:rsidR="00AF05C0" w:rsidRDefault="00AF05C0" w:rsidP="004A08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4792435"/>
      <w:docPartObj>
        <w:docPartGallery w:val="Page Numbers (Bottom of Page)"/>
        <w:docPartUnique/>
      </w:docPartObj>
    </w:sdtPr>
    <w:sdtEndPr/>
    <w:sdtContent>
      <w:p w:rsidR="001A6166" w:rsidRDefault="001A6166">
        <w:pPr>
          <w:pStyle w:val="a5"/>
          <w:jc w:val="center"/>
        </w:pPr>
        <w:r>
          <w:fldChar w:fldCharType="begin"/>
        </w:r>
        <w:r>
          <w:instrText>PAGE   \* MERGEFORMAT</w:instrText>
        </w:r>
        <w:r>
          <w:fldChar w:fldCharType="separate"/>
        </w:r>
        <w:r w:rsidR="00F72876" w:rsidRPr="00F72876">
          <w:rPr>
            <w:noProof/>
            <w:lang w:val="zh-CN"/>
          </w:rPr>
          <w:t>3</w:t>
        </w:r>
        <w:r>
          <w:fldChar w:fldCharType="end"/>
        </w:r>
      </w:p>
    </w:sdtContent>
  </w:sdt>
  <w:p w:rsidR="001A6166" w:rsidRDefault="001A6166">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05C0" w:rsidRDefault="00AF05C0" w:rsidP="004A08B5">
      <w:r>
        <w:separator/>
      </w:r>
    </w:p>
  </w:footnote>
  <w:footnote w:type="continuationSeparator" w:id="0">
    <w:p w:rsidR="00AF05C0" w:rsidRDefault="00AF05C0" w:rsidP="004A08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D76"/>
    <w:rsid w:val="000928ED"/>
    <w:rsid w:val="000E6764"/>
    <w:rsid w:val="00111F4F"/>
    <w:rsid w:val="001A6166"/>
    <w:rsid w:val="00277B8E"/>
    <w:rsid w:val="002A75D0"/>
    <w:rsid w:val="002F2859"/>
    <w:rsid w:val="00344F2C"/>
    <w:rsid w:val="003F5B3C"/>
    <w:rsid w:val="00454D76"/>
    <w:rsid w:val="004A08B5"/>
    <w:rsid w:val="005064E6"/>
    <w:rsid w:val="00547014"/>
    <w:rsid w:val="00644193"/>
    <w:rsid w:val="008E0CF6"/>
    <w:rsid w:val="00900D6F"/>
    <w:rsid w:val="0091516C"/>
    <w:rsid w:val="00945B9D"/>
    <w:rsid w:val="00965E95"/>
    <w:rsid w:val="009728EA"/>
    <w:rsid w:val="009876DF"/>
    <w:rsid w:val="009B6752"/>
    <w:rsid w:val="00AF05C0"/>
    <w:rsid w:val="00B47AEA"/>
    <w:rsid w:val="00B560EA"/>
    <w:rsid w:val="00BA0A4A"/>
    <w:rsid w:val="00C16F5E"/>
    <w:rsid w:val="00C62AD5"/>
    <w:rsid w:val="00CD78A6"/>
    <w:rsid w:val="00D05CD3"/>
    <w:rsid w:val="00D3012B"/>
    <w:rsid w:val="00D6033E"/>
    <w:rsid w:val="00E7665B"/>
    <w:rsid w:val="00EF6BDA"/>
    <w:rsid w:val="00F33BF6"/>
    <w:rsid w:val="00F40067"/>
    <w:rsid w:val="00F72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91B5BE"/>
  <w15:chartTrackingRefBased/>
  <w15:docId w15:val="{FC85A370-561E-4AEC-9AE3-FAF5CC0A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08B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A08B5"/>
    <w:rPr>
      <w:sz w:val="18"/>
      <w:szCs w:val="18"/>
    </w:rPr>
  </w:style>
  <w:style w:type="paragraph" w:styleId="a5">
    <w:name w:val="footer"/>
    <w:basedOn w:val="a"/>
    <w:link w:val="a6"/>
    <w:uiPriority w:val="99"/>
    <w:unhideWhenUsed/>
    <w:rsid w:val="004A08B5"/>
    <w:pPr>
      <w:tabs>
        <w:tab w:val="center" w:pos="4153"/>
        <w:tab w:val="right" w:pos="8306"/>
      </w:tabs>
      <w:snapToGrid w:val="0"/>
      <w:jc w:val="left"/>
    </w:pPr>
    <w:rPr>
      <w:sz w:val="18"/>
      <w:szCs w:val="18"/>
    </w:rPr>
  </w:style>
  <w:style w:type="character" w:customStyle="1" w:styleId="a6">
    <w:name w:val="页脚 字符"/>
    <w:basedOn w:val="a0"/>
    <w:link w:val="a5"/>
    <w:uiPriority w:val="99"/>
    <w:rsid w:val="004A08B5"/>
    <w:rPr>
      <w:sz w:val="18"/>
      <w:szCs w:val="18"/>
    </w:rPr>
  </w:style>
  <w:style w:type="character" w:styleId="a7">
    <w:name w:val="annotation reference"/>
    <w:basedOn w:val="a0"/>
    <w:uiPriority w:val="99"/>
    <w:semiHidden/>
    <w:unhideWhenUsed/>
    <w:rsid w:val="001A6166"/>
    <w:rPr>
      <w:sz w:val="21"/>
      <w:szCs w:val="21"/>
    </w:rPr>
  </w:style>
  <w:style w:type="paragraph" w:styleId="a8">
    <w:name w:val="annotation text"/>
    <w:basedOn w:val="a"/>
    <w:link w:val="a9"/>
    <w:uiPriority w:val="99"/>
    <w:semiHidden/>
    <w:unhideWhenUsed/>
    <w:rsid w:val="001A6166"/>
    <w:pPr>
      <w:jc w:val="left"/>
    </w:pPr>
  </w:style>
  <w:style w:type="character" w:customStyle="1" w:styleId="a9">
    <w:name w:val="批注文字 字符"/>
    <w:basedOn w:val="a0"/>
    <w:link w:val="a8"/>
    <w:uiPriority w:val="99"/>
    <w:semiHidden/>
    <w:rsid w:val="001A6166"/>
  </w:style>
  <w:style w:type="paragraph" w:styleId="aa">
    <w:name w:val="annotation subject"/>
    <w:basedOn w:val="a8"/>
    <w:next w:val="a8"/>
    <w:link w:val="ab"/>
    <w:uiPriority w:val="99"/>
    <w:semiHidden/>
    <w:unhideWhenUsed/>
    <w:rsid w:val="001A6166"/>
    <w:rPr>
      <w:b/>
      <w:bCs/>
    </w:rPr>
  </w:style>
  <w:style w:type="character" w:customStyle="1" w:styleId="ab">
    <w:name w:val="批注主题 字符"/>
    <w:basedOn w:val="a9"/>
    <w:link w:val="aa"/>
    <w:uiPriority w:val="99"/>
    <w:semiHidden/>
    <w:rsid w:val="001A6166"/>
    <w:rPr>
      <w:b/>
      <w:bCs/>
    </w:rPr>
  </w:style>
  <w:style w:type="paragraph" w:styleId="ac">
    <w:name w:val="Balloon Text"/>
    <w:basedOn w:val="a"/>
    <w:link w:val="ad"/>
    <w:uiPriority w:val="99"/>
    <w:semiHidden/>
    <w:unhideWhenUsed/>
    <w:rsid w:val="001A6166"/>
    <w:rPr>
      <w:sz w:val="18"/>
      <w:szCs w:val="18"/>
    </w:rPr>
  </w:style>
  <w:style w:type="character" w:customStyle="1" w:styleId="ad">
    <w:name w:val="批注框文本 字符"/>
    <w:basedOn w:val="a0"/>
    <w:link w:val="ac"/>
    <w:uiPriority w:val="99"/>
    <w:semiHidden/>
    <w:rsid w:val="001A61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B4DFCE-4F40-4C95-8E58-921081C78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3</Pages>
  <Words>834</Words>
  <Characters>4757</Characters>
  <Application>Microsoft Office Word</Application>
  <DocSecurity>0</DocSecurity>
  <Lines>39</Lines>
  <Paragraphs>11</Paragraphs>
  <ScaleCrop>false</ScaleCrop>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九九</dc:creator>
  <cp:keywords/>
  <dc:description/>
  <cp:lastModifiedBy>九九</cp:lastModifiedBy>
  <cp:revision>4</cp:revision>
  <dcterms:created xsi:type="dcterms:W3CDTF">2020-07-17T02:44:00Z</dcterms:created>
  <dcterms:modified xsi:type="dcterms:W3CDTF">2020-07-17T09:30:00Z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cf8b4133-e2d9-330b-a169-f23e274af294</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