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67B1F" w14:textId="1FB738C8" w:rsidR="007B5A2C" w:rsidRDefault="007B5A2C" w:rsidP="007B5A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42D70">
        <w:rPr>
          <w:rFonts w:ascii="Times New Roman" w:hAnsi="Times New Roman" w:cs="Times New Roman"/>
          <w:sz w:val="24"/>
          <w:szCs w:val="24"/>
        </w:rPr>
        <w:t xml:space="preserve">In this study, the effect of </w:t>
      </w:r>
      <w:r>
        <w:rPr>
          <w:rFonts w:ascii="Times New Roman" w:hAnsi="Times New Roman" w:cs="Times New Roman"/>
          <w:sz w:val="24"/>
          <w:szCs w:val="24"/>
        </w:rPr>
        <w:t>BMMSCS</w:t>
      </w:r>
      <w:r w:rsidRPr="00942D70">
        <w:rPr>
          <w:rFonts w:ascii="Times New Roman" w:hAnsi="Times New Roman" w:cs="Times New Roman"/>
          <w:sz w:val="24"/>
          <w:szCs w:val="24"/>
        </w:rPr>
        <w:t xml:space="preserve"> on lung structure</w:t>
      </w:r>
      <w:r>
        <w:rPr>
          <w:rFonts w:ascii="Times New Roman" w:hAnsi="Times New Roman" w:cs="Times New Roman"/>
          <w:sz w:val="24"/>
          <w:szCs w:val="24"/>
        </w:rPr>
        <w:t xml:space="preserve"> was observed using </w:t>
      </w:r>
      <w:r w:rsidRPr="00942D70">
        <w:rPr>
          <w:rFonts w:ascii="Times New Roman" w:hAnsi="Times New Roman" w:cs="Times New Roman"/>
          <w:sz w:val="24"/>
          <w:szCs w:val="24"/>
        </w:rPr>
        <w:t xml:space="preserve">type Ⅱ alveolar epithelial cells to explore the specific effect on lung cells. Hydrogen peroxide was used to establish an aging model of A549 cells. </w:t>
      </w:r>
      <w:r w:rsidRPr="003E615D">
        <w:rPr>
          <w:rFonts w:ascii="Times New Roman" w:hAnsi="Times New Roman" w:cs="Times New Roman"/>
          <w:sz w:val="24"/>
          <w:szCs w:val="24"/>
        </w:rPr>
        <w:t>Different concentrations of hydrogen peroxide were found to induce different degrees of aging in A549 cells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E615D">
        <w:rPr>
          <w:rFonts w:ascii="Times New Roman" w:hAnsi="Times New Roman" w:cs="Times New Roman"/>
          <w:sz w:val="24"/>
          <w:szCs w:val="24"/>
        </w:rPr>
        <w:t xml:space="preserve"> </w:t>
      </w:r>
      <w:r w:rsidRPr="00942D70">
        <w:rPr>
          <w:rFonts w:ascii="Times New Roman" w:hAnsi="Times New Roman" w:cs="Times New Roman"/>
          <w:sz w:val="24"/>
          <w:szCs w:val="24"/>
        </w:rPr>
        <w:t>Following SA-β-gal staining,</w:t>
      </w:r>
      <w:r w:rsidRPr="003E615D">
        <w:rPr>
          <w:rFonts w:ascii="Times New Roman" w:hAnsi="Times New Roman" w:cs="Times New Roman"/>
          <w:sz w:val="24"/>
          <w:szCs w:val="24"/>
        </w:rPr>
        <w:t xml:space="preserve"> we found that when the hydrogen peroxide concentration was 600μm/L and 800μm/L, the senescence rate of A549 cells was the highest. In addition, 1000μmol / L and 1200μmol / L were not considered as most of the cells were apoptotic and deformed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4E01F8" w14:textId="77777777" w:rsidR="007B5A2C" w:rsidRDefault="007B5A2C" w:rsidP="007B5A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40FF39D" wp14:editId="63019C42">
            <wp:extent cx="4541520" cy="4366005"/>
            <wp:effectExtent l="0" t="0" r="0" b="0"/>
            <wp:docPr id="25615" name="图片 25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912" cy="4373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E594B" w14:textId="530A05EE" w:rsidR="007B5A2C" w:rsidRDefault="007B5A2C" w:rsidP="007B5A2C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94793">
        <w:rPr>
          <w:rFonts w:ascii="Times New Roman" w:hAnsi="Times New Roman" w:cs="Times New Roman"/>
          <w:b/>
          <w:bCs/>
          <w:sz w:val="18"/>
          <w:szCs w:val="18"/>
        </w:rPr>
        <w:t>Fig .1 Hydrogen peroxide-induced senescence of A549 cells and β-galactosidase staining (100 ×)</w:t>
      </w:r>
    </w:p>
    <w:p w14:paraId="39A44FB0" w14:textId="77777777" w:rsidR="007B5A2C" w:rsidRPr="001E1673" w:rsidRDefault="007B5A2C" w:rsidP="007B5A2C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6D5157">
        <w:rPr>
          <w:rFonts w:ascii="Times New Roman" w:hAnsi="Times New Roman" w:cs="Times New Roman"/>
          <w:sz w:val="18"/>
          <w:szCs w:val="18"/>
        </w:rPr>
        <w:t>a, b, c, d, e, f, g are the SA‐β‐gal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6D5157">
        <w:rPr>
          <w:rFonts w:ascii="Times New Roman" w:hAnsi="Times New Roman" w:cs="Times New Roman"/>
          <w:sz w:val="18"/>
          <w:szCs w:val="18"/>
        </w:rPr>
        <w:t xml:space="preserve">staining of </w:t>
      </w:r>
      <w:r>
        <w:rPr>
          <w:rFonts w:ascii="Times New Roman" w:hAnsi="Times New Roman" w:cs="Times New Roman"/>
          <w:sz w:val="18"/>
          <w:szCs w:val="18"/>
        </w:rPr>
        <w:t>BMMSCS</w:t>
      </w:r>
      <w:r w:rsidRPr="006D5157">
        <w:rPr>
          <w:rFonts w:ascii="Times New Roman" w:hAnsi="Times New Roman" w:cs="Times New Roman"/>
          <w:sz w:val="18"/>
          <w:szCs w:val="18"/>
        </w:rPr>
        <w:t xml:space="preserve"> after 6 hours of induction at </w:t>
      </w:r>
      <w:r>
        <w:rPr>
          <w:rFonts w:ascii="Times New Roman" w:hAnsi="Times New Roman" w:cs="Times New Roman"/>
          <w:sz w:val="18"/>
          <w:szCs w:val="18"/>
        </w:rPr>
        <w:t>0</w:t>
      </w:r>
      <w:r w:rsidRPr="006D5157">
        <w:rPr>
          <w:rFonts w:ascii="Times New Roman" w:hAnsi="Times New Roman" w:cs="Times New Roman"/>
          <w:sz w:val="18"/>
          <w:szCs w:val="18"/>
        </w:rPr>
        <w:t>μmol/L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6D5157">
        <w:rPr>
          <w:rFonts w:ascii="Times New Roman" w:hAnsi="Times New Roman" w:cs="Times New Roman"/>
          <w:sz w:val="18"/>
          <w:szCs w:val="18"/>
        </w:rPr>
        <w:t>200 μmol/L, 400 μmol/L, 600 μmol/L, and 800 μmol/L</w:t>
      </w:r>
      <w:r>
        <w:rPr>
          <w:rFonts w:ascii="Times New Roman" w:hAnsi="Times New Roman" w:cs="Times New Roman"/>
          <w:sz w:val="18"/>
          <w:szCs w:val="18"/>
        </w:rPr>
        <w:t>,1000</w:t>
      </w:r>
      <w:r w:rsidRPr="006D5157">
        <w:rPr>
          <w:rFonts w:ascii="Times New Roman" w:hAnsi="Times New Roman" w:cs="Times New Roman"/>
          <w:sz w:val="18"/>
          <w:szCs w:val="18"/>
        </w:rPr>
        <w:t>μmol/L</w:t>
      </w:r>
      <w:r>
        <w:rPr>
          <w:rFonts w:ascii="Times New Roman" w:hAnsi="Times New Roman" w:cs="Times New Roman"/>
          <w:sz w:val="18"/>
          <w:szCs w:val="18"/>
        </w:rPr>
        <w:t xml:space="preserve"> and 1200</w:t>
      </w:r>
      <w:r w:rsidRPr="006D5157">
        <w:rPr>
          <w:rFonts w:ascii="Times New Roman" w:hAnsi="Times New Roman" w:cs="Times New Roman"/>
          <w:sz w:val="18"/>
          <w:szCs w:val="18"/>
        </w:rPr>
        <w:t>μmol/L hydrogen peroxide concentration, respectively</w:t>
      </w:r>
      <w:r>
        <w:rPr>
          <w:rFonts w:ascii="Times New Roman" w:hAnsi="Times New Roman" w:cs="Times New Roman"/>
          <w:sz w:val="18"/>
          <w:szCs w:val="18"/>
        </w:rPr>
        <w:t>. h is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the p</w:t>
      </w:r>
      <w:r w:rsidRPr="006D5157">
        <w:rPr>
          <w:rFonts w:ascii="Times New Roman" w:hAnsi="Times New Roman" w:cs="Times New Roman"/>
          <w:sz w:val="18"/>
          <w:szCs w:val="18"/>
        </w:rPr>
        <w:t>ercentage chart of senescent cells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94793">
        <w:rPr>
          <w:rFonts w:ascii="Times New Roman" w:hAnsi="Times New Roman" w:cs="Times New Roman" w:hint="eastAsia"/>
          <w:sz w:val="18"/>
          <w:szCs w:val="18"/>
        </w:rPr>
        <w:t>n=3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5D73E7">
        <w:t xml:space="preserve"> </w:t>
      </w:r>
      <w:r w:rsidRPr="005D73E7">
        <w:rPr>
          <w:rFonts w:ascii="Times New Roman" w:hAnsi="Times New Roman" w:cs="Times New Roman"/>
          <w:sz w:val="18"/>
          <w:szCs w:val="18"/>
        </w:rPr>
        <w:t>n is the number of repeated experiments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994793">
        <w:rPr>
          <w:rFonts w:ascii="Times New Roman" w:hAnsi="Times New Roman" w:cs="Times New Roman"/>
          <w:sz w:val="18"/>
          <w:szCs w:val="18"/>
        </w:rPr>
        <w:t>**P &lt;0.01 when compared with the 0μmol/L group</w:t>
      </w:r>
      <w:r w:rsidRPr="00994793">
        <w:rPr>
          <w:rFonts w:ascii="Times New Roman" w:hAnsi="Times New Roman" w:cs="Times New Roman" w:hint="eastAsia"/>
          <w:sz w:val="18"/>
          <w:szCs w:val="18"/>
        </w:rPr>
        <w:t>，</w:t>
      </w:r>
      <w:r w:rsidRPr="00994793">
        <w:rPr>
          <w:rFonts w:ascii="Times New Roman" w:hAnsi="Times New Roman" w:cs="Times New Roman"/>
          <w:sz w:val="18"/>
          <w:szCs w:val="18"/>
        </w:rPr>
        <w:t>****P &lt;0.001 when compared with the 0μmol/L group)</w:t>
      </w:r>
    </w:p>
    <w:p w14:paraId="6F91EAAD" w14:textId="17C76522" w:rsidR="007B5A2C" w:rsidRPr="00942D70" w:rsidRDefault="007B5A2C" w:rsidP="007B5A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42D70">
        <w:rPr>
          <w:rFonts w:ascii="Times New Roman" w:hAnsi="Times New Roman" w:cs="Times New Roman"/>
          <w:sz w:val="24"/>
          <w:szCs w:val="24"/>
        </w:rPr>
        <w:lastRenderedPageBreak/>
        <w:t>RT-PCR was used to detect the expression of P53 gene in A549 cells after induction of aging. The increase in P53 expression was most significant (P &lt;0.001, P &lt;0.0001) at 600μmol / L, 800μmol / L hydrogen peroxide concentration</w:t>
      </w:r>
      <w:r>
        <w:rPr>
          <w:rFonts w:ascii="Times New Roman" w:hAnsi="Times New Roman" w:cs="Times New Roman"/>
          <w:sz w:val="24"/>
          <w:szCs w:val="24"/>
        </w:rPr>
        <w:t xml:space="preserve"> (Fig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A).</w:t>
      </w:r>
      <w:r w:rsidRPr="00934ED5">
        <w:t xml:space="preserve"> </w:t>
      </w:r>
      <w:r w:rsidRPr="00934ED5">
        <w:rPr>
          <w:rFonts w:ascii="Times New Roman" w:hAnsi="Times New Roman" w:cs="Times New Roman"/>
          <w:sz w:val="24"/>
          <w:szCs w:val="24"/>
        </w:rPr>
        <w:t xml:space="preserve">Therefore, 600μmol/L </w:t>
      </w:r>
      <w:r>
        <w:rPr>
          <w:rFonts w:ascii="Times New Roman" w:hAnsi="Times New Roman" w:cs="Times New Roman"/>
          <w:sz w:val="24"/>
          <w:szCs w:val="24"/>
        </w:rPr>
        <w:t xml:space="preserve">was chosen </w:t>
      </w:r>
      <w:r w:rsidRPr="00934ED5">
        <w:rPr>
          <w:rFonts w:ascii="Times New Roman" w:hAnsi="Times New Roman" w:cs="Times New Roman"/>
          <w:sz w:val="24"/>
          <w:szCs w:val="24"/>
        </w:rPr>
        <w:t>as the optimal concentration to induce senescence of A549 cells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E4E396" w14:textId="6207B4AF" w:rsidR="007B5A2C" w:rsidRPr="00942D70" w:rsidRDefault="007B5A2C" w:rsidP="007B5A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42D70">
        <w:rPr>
          <w:rFonts w:ascii="Times New Roman" w:hAnsi="Times New Roman" w:cs="Times New Roman"/>
          <w:sz w:val="24"/>
          <w:szCs w:val="24"/>
        </w:rPr>
        <w:t xml:space="preserve">RT-PCR was used to further compare the expression of P53, P21, TERT, TCAB1 before and after induction of aging using hydrogen peroxide at a concentration of 600 μmol / L. At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42D70">
        <w:rPr>
          <w:rFonts w:ascii="Times New Roman" w:hAnsi="Times New Roman" w:cs="Times New Roman"/>
          <w:sz w:val="24"/>
          <w:szCs w:val="24"/>
        </w:rPr>
        <w:t>h, after induction, the changes in P53 and P21 expression were significantly increased (P &lt;0.0001, P &lt;0.001); however, TERT and TCAB1 were significantly decreased (P &lt;0.001, P &lt;0.01) 6 hours after induction</w:t>
      </w:r>
      <w:r>
        <w:rPr>
          <w:rFonts w:ascii="Times New Roman" w:hAnsi="Times New Roman" w:cs="Times New Roman"/>
          <w:sz w:val="24"/>
          <w:szCs w:val="24"/>
        </w:rPr>
        <w:t xml:space="preserve"> (Fig .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B)</w:t>
      </w:r>
      <w:r w:rsidRPr="00942D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At 24h,48h, and 72h</w:t>
      </w:r>
      <w:r w:rsidRPr="00942D70">
        <w:rPr>
          <w:rFonts w:ascii="Times New Roman" w:hAnsi="Times New Roman" w:cs="Times New Roman"/>
          <w:sz w:val="24"/>
          <w:szCs w:val="24"/>
        </w:rPr>
        <w:t xml:space="preserve"> after changing the medium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42D70">
        <w:rPr>
          <w:rFonts w:ascii="Times New Roman" w:hAnsi="Times New Roman" w:cs="Times New Roman"/>
          <w:sz w:val="24"/>
          <w:szCs w:val="24"/>
        </w:rPr>
        <w:t xml:space="preserve">TCAB1 did not show any significant change (P&gt; 0.05), while P21 was significantly increased (P &lt;0.0001). Even though the expression of P53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942D70">
        <w:rPr>
          <w:rFonts w:ascii="Times New Roman" w:hAnsi="Times New Roman" w:cs="Times New Roman"/>
          <w:sz w:val="24"/>
          <w:szCs w:val="24"/>
        </w:rPr>
        <w:t>significantly decreased after induction (P&lt;0.05), it remained higher than before induction</w:t>
      </w:r>
      <w:r>
        <w:rPr>
          <w:rFonts w:ascii="Times New Roman" w:hAnsi="Times New Roman" w:cs="Times New Roman"/>
          <w:sz w:val="24"/>
          <w:szCs w:val="24"/>
        </w:rPr>
        <w:t xml:space="preserve"> (Fig .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C).</w:t>
      </w:r>
    </w:p>
    <w:p w14:paraId="26FBCB55" w14:textId="77777777" w:rsidR="007B5A2C" w:rsidRDefault="007B5A2C" w:rsidP="007B5A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FD48217" wp14:editId="268F9EB3">
            <wp:extent cx="5274310" cy="274510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44D8E" w14:textId="64A1750E" w:rsidR="007B5A2C" w:rsidRPr="00DE6A20" w:rsidRDefault="007B5A2C" w:rsidP="007B5A2C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DE6A20">
        <w:rPr>
          <w:rFonts w:ascii="Times New Roman" w:hAnsi="Times New Roman" w:cs="Times New Roman"/>
          <w:b/>
          <w:bCs/>
          <w:sz w:val="18"/>
          <w:szCs w:val="18"/>
        </w:rPr>
        <w:t>Fig .</w:t>
      </w:r>
      <w:r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DE6A20">
        <w:rPr>
          <w:rFonts w:ascii="Times New Roman" w:hAnsi="Times New Roman" w:cs="Times New Roman"/>
          <w:b/>
          <w:bCs/>
          <w:sz w:val="18"/>
          <w:szCs w:val="18"/>
        </w:rPr>
        <w:t xml:space="preserve"> Identification of A549 Aging Model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a</w:t>
      </w:r>
      <w:r w:rsidRPr="00DE6A20">
        <w:rPr>
          <w:rFonts w:ascii="Times New Roman" w:hAnsi="Times New Roman" w:cs="Times New Roman"/>
          <w:sz w:val="18"/>
          <w:szCs w:val="18"/>
        </w:rPr>
        <w:t>. qPCR P53 expression After induction</w:t>
      </w:r>
      <w:r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 w:hint="eastAsia"/>
          <w:sz w:val="18"/>
          <w:szCs w:val="18"/>
        </w:rPr>
        <w:t>n=3</w:t>
      </w:r>
      <w:r>
        <w:rPr>
          <w:rFonts w:ascii="Times New Roman" w:hAnsi="Times New Roman" w:cs="Times New Roman" w:hint="eastAsia"/>
          <w:sz w:val="18"/>
          <w:szCs w:val="18"/>
        </w:rPr>
        <w:t>，</w:t>
      </w:r>
      <w:r w:rsidRPr="005D73E7">
        <w:rPr>
          <w:rFonts w:ascii="Times New Roman" w:hAnsi="Times New Roman" w:cs="Times New Roman"/>
          <w:sz w:val="18"/>
          <w:szCs w:val="18"/>
        </w:rPr>
        <w:t>n is the number of repeated experiments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DE6A20">
        <w:rPr>
          <w:rFonts w:ascii="Times New Roman" w:hAnsi="Times New Roman" w:cs="Times New Roman"/>
          <w:sz w:val="18"/>
          <w:szCs w:val="18"/>
        </w:rPr>
        <w:t>&amp;P&lt;0.01, #P&gt;0.05, **P&lt;0.01 when compared with the 0μmol/L group, *** P&lt;0.001 when compared with the 0μmol/L group, ****P&lt;0.0001 when compared with the 0μmol/L group</w:t>
      </w:r>
      <w:r>
        <w:rPr>
          <w:rFonts w:ascii="Times New Roman" w:hAnsi="Times New Roman" w:cs="Times New Roman"/>
          <w:sz w:val="18"/>
          <w:szCs w:val="18"/>
        </w:rPr>
        <w:t xml:space="preserve">) </w:t>
      </w:r>
      <w:r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DE6A20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1B4AEF">
        <w:rPr>
          <w:rFonts w:ascii="Times New Roman" w:hAnsi="Times New Roman" w:cs="Times New Roman"/>
          <w:sz w:val="24"/>
          <w:szCs w:val="24"/>
        </w:rPr>
        <w:t xml:space="preserve"> </w:t>
      </w:r>
      <w:r w:rsidRPr="00DE6A20">
        <w:rPr>
          <w:rFonts w:ascii="Times New Roman" w:hAnsi="Times New Roman" w:cs="Times New Roman"/>
          <w:sz w:val="18"/>
          <w:szCs w:val="18"/>
        </w:rPr>
        <w:t>qPCR validation confirm</w:t>
      </w:r>
      <w:r>
        <w:rPr>
          <w:rFonts w:ascii="Times New Roman" w:hAnsi="Times New Roman" w:cs="Times New Roman"/>
          <w:sz w:val="18"/>
          <w:szCs w:val="18"/>
        </w:rPr>
        <w:t>ing</w:t>
      </w:r>
      <w:r w:rsidRPr="00DE6A20">
        <w:rPr>
          <w:rFonts w:ascii="Times New Roman" w:hAnsi="Times New Roman" w:cs="Times New Roman"/>
          <w:sz w:val="18"/>
          <w:szCs w:val="18"/>
        </w:rPr>
        <w:t xml:space="preserve"> the aging characteristics of A549 cells aging model</w:t>
      </w:r>
      <w:r>
        <w:rPr>
          <w:rFonts w:ascii="Times New Roman" w:hAnsi="Times New Roman" w:cs="Times New Roman"/>
          <w:sz w:val="18"/>
          <w:szCs w:val="18"/>
        </w:rPr>
        <w:t xml:space="preserve"> (</w:t>
      </w:r>
      <w:r>
        <w:rPr>
          <w:rFonts w:ascii="Times New Roman" w:hAnsi="Times New Roman" w:cs="Times New Roman" w:hint="eastAsia"/>
          <w:sz w:val="18"/>
          <w:szCs w:val="18"/>
        </w:rPr>
        <w:t>n=3</w:t>
      </w:r>
      <w:r>
        <w:rPr>
          <w:rFonts w:ascii="Times New Roman" w:hAnsi="Times New Roman" w:cs="Times New Roman" w:hint="eastAsia"/>
          <w:sz w:val="18"/>
          <w:szCs w:val="18"/>
        </w:rPr>
        <w:t>，</w:t>
      </w:r>
      <w:r w:rsidRPr="005D73E7">
        <w:rPr>
          <w:rFonts w:ascii="Times New Roman" w:hAnsi="Times New Roman" w:cs="Times New Roman"/>
          <w:sz w:val="18"/>
          <w:szCs w:val="18"/>
        </w:rPr>
        <w:t>n is the number of repeated experiments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DE6A20">
        <w:rPr>
          <w:rFonts w:ascii="Times New Roman" w:hAnsi="Times New Roman" w:cs="Times New Roman"/>
          <w:sz w:val="18"/>
          <w:szCs w:val="18"/>
        </w:rPr>
        <w:t>**P&lt;0.01 when compared with the 0μmol/L group, ***P&lt;0.001 when compared with the 0μmol/L group, **** P&lt;0.01 when compared with the 0μmol/L group</w:t>
      </w:r>
      <w:r>
        <w:rPr>
          <w:rFonts w:ascii="Times New Roman" w:hAnsi="Times New Roman" w:cs="Times New Roman"/>
          <w:sz w:val="18"/>
          <w:szCs w:val="18"/>
        </w:rPr>
        <w:t xml:space="preserve">) </w:t>
      </w:r>
      <w:r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DE6A20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1B4AEF">
        <w:rPr>
          <w:rFonts w:ascii="Times New Roman" w:hAnsi="Times New Roman" w:cs="Times New Roman"/>
          <w:sz w:val="24"/>
          <w:szCs w:val="24"/>
        </w:rPr>
        <w:t xml:space="preserve"> </w:t>
      </w:r>
      <w:r w:rsidRPr="00DE6A20">
        <w:rPr>
          <w:rFonts w:ascii="Times New Roman" w:hAnsi="Times New Roman" w:cs="Times New Roman"/>
          <w:sz w:val="18"/>
          <w:szCs w:val="18"/>
        </w:rPr>
        <w:t>qPCR validation confirm</w:t>
      </w:r>
      <w:r>
        <w:rPr>
          <w:rFonts w:ascii="Times New Roman" w:hAnsi="Times New Roman" w:cs="Times New Roman"/>
          <w:sz w:val="18"/>
          <w:szCs w:val="18"/>
        </w:rPr>
        <w:t>ing</w:t>
      </w:r>
      <w:r w:rsidRPr="00DE6A20">
        <w:rPr>
          <w:rFonts w:ascii="Times New Roman" w:hAnsi="Times New Roman" w:cs="Times New Roman"/>
          <w:sz w:val="18"/>
          <w:szCs w:val="18"/>
        </w:rPr>
        <w:t xml:space="preserve"> the aging stability of the A549 cells </w:t>
      </w:r>
      <w:r w:rsidRPr="00DE6A20">
        <w:rPr>
          <w:rFonts w:ascii="Times New Roman" w:hAnsi="Times New Roman" w:cs="Times New Roman"/>
          <w:sz w:val="18"/>
          <w:szCs w:val="18"/>
        </w:rPr>
        <w:lastRenderedPageBreak/>
        <w:t>aging model</w:t>
      </w:r>
      <w:r>
        <w:rPr>
          <w:rFonts w:ascii="Times New Roman" w:hAnsi="Times New Roman" w:cs="Times New Roman"/>
          <w:sz w:val="18"/>
          <w:szCs w:val="18"/>
        </w:rPr>
        <w:t xml:space="preserve"> (</w:t>
      </w:r>
      <w:r>
        <w:rPr>
          <w:rFonts w:ascii="Times New Roman" w:hAnsi="Times New Roman" w:cs="Times New Roman" w:hint="eastAsia"/>
          <w:sz w:val="18"/>
          <w:szCs w:val="18"/>
        </w:rPr>
        <w:t>n=3</w:t>
      </w:r>
      <w:r>
        <w:rPr>
          <w:rFonts w:ascii="Times New Roman" w:hAnsi="Times New Roman" w:cs="Times New Roman" w:hint="eastAsia"/>
          <w:sz w:val="18"/>
          <w:szCs w:val="18"/>
        </w:rPr>
        <w:t>，</w:t>
      </w:r>
      <w:r w:rsidRPr="005D73E7">
        <w:rPr>
          <w:rFonts w:ascii="Times New Roman" w:hAnsi="Times New Roman" w:cs="Times New Roman"/>
          <w:sz w:val="18"/>
          <w:szCs w:val="18"/>
        </w:rPr>
        <w:t>n is the number of repeated experiments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DE6A20">
        <w:rPr>
          <w:rFonts w:ascii="Times New Roman" w:hAnsi="Times New Roman" w:cs="Times New Roman"/>
          <w:sz w:val="18"/>
          <w:szCs w:val="18"/>
        </w:rPr>
        <w:t>*P&lt;0.05 when compared with the 0h group</w:t>
      </w:r>
      <w:r>
        <w:rPr>
          <w:rFonts w:ascii="Times New Roman" w:hAnsi="Times New Roman" w:cs="Times New Roman"/>
          <w:sz w:val="18"/>
          <w:szCs w:val="18"/>
        </w:rPr>
        <w:t>)</w:t>
      </w:r>
    </w:p>
    <w:p w14:paraId="72FAE781" w14:textId="77777777" w:rsidR="006438D0" w:rsidRPr="007B5A2C" w:rsidRDefault="00FF0937"/>
    <w:sectPr w:rsidR="006438D0" w:rsidRPr="007B5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495822" w14:textId="77777777" w:rsidR="00FF0937" w:rsidRDefault="00FF0937" w:rsidP="007B5A2C">
      <w:pPr>
        <w:spacing w:after="0" w:line="240" w:lineRule="auto"/>
      </w:pPr>
      <w:r>
        <w:separator/>
      </w:r>
    </w:p>
  </w:endnote>
  <w:endnote w:type="continuationSeparator" w:id="0">
    <w:p w14:paraId="60E2D033" w14:textId="77777777" w:rsidR="00FF0937" w:rsidRDefault="00FF0937" w:rsidP="007B5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7CC5BB" w14:textId="77777777" w:rsidR="00FF0937" w:rsidRDefault="00FF0937" w:rsidP="007B5A2C">
      <w:pPr>
        <w:spacing w:after="0" w:line="240" w:lineRule="auto"/>
      </w:pPr>
      <w:r>
        <w:separator/>
      </w:r>
    </w:p>
  </w:footnote>
  <w:footnote w:type="continuationSeparator" w:id="0">
    <w:p w14:paraId="565786B1" w14:textId="77777777" w:rsidR="00FF0937" w:rsidRDefault="00FF0937" w:rsidP="007B5A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EB1"/>
    <w:rsid w:val="00541D0A"/>
    <w:rsid w:val="00605D25"/>
    <w:rsid w:val="007B5A2C"/>
    <w:rsid w:val="00901EB1"/>
    <w:rsid w:val="00FF0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9246E9"/>
  <w15:chartTrackingRefBased/>
  <w15:docId w15:val="{28389CD3-B760-46E2-882B-833C8CB15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5A2C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5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5A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5A2C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5A2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B5A2C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B5A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427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yukun yang</dc:creator>
  <cp:keywords/>
  <dc:description/>
  <cp:lastModifiedBy>yukun yang</cp:lastModifiedBy>
  <cp:revision>2</cp:revision>
  <dcterms:created xsi:type="dcterms:W3CDTF">2020-11-04T13:00:00Z</dcterms:created>
  <dcterms:modified xsi:type="dcterms:W3CDTF">2020-11-04T13:01:00Z</dcterms:modified>
</cp:coreProperties>
</file>