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90D75" w:rsidRDefault="00890D75" w:rsidP="00890D75">
      <w:pPr>
        <w:autoSpaceDE w:val="0"/>
        <w:autoSpaceDN w:val="0"/>
        <w:adjustRightInd w:val="0"/>
        <w:spacing w:after="0" w:line="360" w:lineRule="auto"/>
        <w:jc w:val="both"/>
        <w:rPr>
          <w:rFonts w:ascii="Cambria" w:hAnsi="Cambria"/>
          <w:sz w:val="24"/>
          <w:lang w:val="en-GB"/>
        </w:rPr>
      </w:pPr>
      <w:r w:rsidRPr="00A66F55">
        <w:rPr>
          <w:rFonts w:ascii="Cambria" w:hAnsi="Cambria"/>
          <w:sz w:val="24"/>
          <w:lang w:val="en-GB"/>
        </w:rPr>
        <w:t>Supplementary Materials</w:t>
      </w:r>
    </w:p>
    <w:p w:rsidR="00A66F55" w:rsidRPr="00A66F55" w:rsidRDefault="00A66F55" w:rsidP="00890D75">
      <w:pPr>
        <w:autoSpaceDE w:val="0"/>
        <w:autoSpaceDN w:val="0"/>
        <w:adjustRightInd w:val="0"/>
        <w:spacing w:after="0" w:line="360" w:lineRule="auto"/>
        <w:jc w:val="both"/>
        <w:rPr>
          <w:rFonts w:ascii="Cambria" w:hAnsi="Cambria"/>
          <w:sz w:val="24"/>
          <w:lang w:val="en-GB"/>
        </w:rPr>
      </w:pPr>
    </w:p>
    <w:p w:rsidR="00890D75" w:rsidRDefault="00890D75" w:rsidP="00890D75">
      <w:pPr>
        <w:autoSpaceDE w:val="0"/>
        <w:autoSpaceDN w:val="0"/>
        <w:adjustRightInd w:val="0"/>
        <w:spacing w:line="360" w:lineRule="auto"/>
        <w:jc w:val="both"/>
        <w:rPr>
          <w:rFonts w:ascii="Cambria" w:hAnsi="Cambria"/>
          <w:lang w:val="en-GB"/>
        </w:rPr>
      </w:pPr>
      <w:r w:rsidRPr="00A66F55">
        <w:rPr>
          <w:rFonts w:ascii="Cambria" w:hAnsi="Cambria"/>
          <w:sz w:val="24"/>
          <w:lang w:val="en-GB"/>
        </w:rPr>
        <w:t xml:space="preserve">Figure 1.  Immunofluorescence analyses of human remaining cells at 30 days post-surgery. Rat defect </w:t>
      </w:r>
      <w:proofErr w:type="spellStart"/>
      <w:r w:rsidRPr="00A66F55">
        <w:rPr>
          <w:rFonts w:ascii="Cambria" w:hAnsi="Cambria"/>
          <w:sz w:val="24"/>
          <w:lang w:val="en-GB"/>
        </w:rPr>
        <w:t>defect</w:t>
      </w:r>
      <w:proofErr w:type="spellEnd"/>
      <w:r w:rsidRPr="00A66F55">
        <w:rPr>
          <w:rFonts w:ascii="Cambria" w:hAnsi="Cambria"/>
          <w:sz w:val="24"/>
          <w:lang w:val="en-GB"/>
        </w:rPr>
        <w:t xml:space="preserve"> (left side) where only </w:t>
      </w:r>
      <w:proofErr w:type="spellStart"/>
      <w:r w:rsidRPr="00A66F55">
        <w:rPr>
          <w:rFonts w:ascii="Cambria" w:hAnsi="Cambria"/>
          <w:sz w:val="24"/>
          <w:lang w:val="en-GB"/>
        </w:rPr>
        <w:t>CellCeram</w:t>
      </w:r>
      <w:r w:rsidRPr="00A66F55">
        <w:rPr>
          <w:rFonts w:ascii="Cambria" w:hAnsi="Cambria"/>
          <w:sz w:val="24"/>
          <w:vertAlign w:val="superscript"/>
          <w:lang w:val="en-GB"/>
        </w:rPr>
        <w:t>TM</w:t>
      </w:r>
      <w:proofErr w:type="spellEnd"/>
      <w:r w:rsidRPr="00A66F55">
        <w:rPr>
          <w:rFonts w:ascii="Cambria" w:hAnsi="Cambria"/>
          <w:sz w:val="24"/>
          <w:lang w:val="en-GB"/>
        </w:rPr>
        <w:t xml:space="preserve"> (A), showed only rat cells (green </w:t>
      </w:r>
      <w:proofErr w:type="spellStart"/>
      <w:r w:rsidRPr="00A66F55">
        <w:rPr>
          <w:rFonts w:ascii="Cambria" w:hAnsi="Cambria"/>
          <w:sz w:val="24"/>
          <w:lang w:val="en-GB"/>
        </w:rPr>
        <w:t>arrowin</w:t>
      </w:r>
      <w:proofErr w:type="spellEnd"/>
      <w:r w:rsidRPr="00A66F55">
        <w:rPr>
          <w:rFonts w:ascii="Cambria" w:hAnsi="Cambria"/>
          <w:sz w:val="24"/>
          <w:lang w:val="en-GB"/>
        </w:rPr>
        <w:t xml:space="preserve"> blue DAPI). In the Rat defect (right side) seeded with LVPMDSC associated with </w:t>
      </w:r>
      <w:proofErr w:type="spellStart"/>
      <w:r w:rsidRPr="00A66F55">
        <w:rPr>
          <w:rFonts w:ascii="Cambria" w:hAnsi="Cambria"/>
          <w:sz w:val="24"/>
          <w:lang w:val="en-GB"/>
        </w:rPr>
        <w:t>CellCeram</w:t>
      </w:r>
      <w:r w:rsidRPr="00A66F55">
        <w:rPr>
          <w:rFonts w:ascii="Cambria" w:hAnsi="Cambria"/>
          <w:sz w:val="24"/>
          <w:vertAlign w:val="superscript"/>
          <w:lang w:val="en-GB"/>
        </w:rPr>
        <w:t>TM</w:t>
      </w:r>
      <w:proofErr w:type="spellEnd"/>
      <w:r w:rsidRPr="00A66F55">
        <w:rPr>
          <w:rFonts w:ascii="Cambria" w:hAnsi="Cambria"/>
          <w:sz w:val="24"/>
          <w:vertAlign w:val="superscript"/>
          <w:lang w:val="en-GB"/>
        </w:rPr>
        <w:t xml:space="preserve"> </w:t>
      </w:r>
      <w:r w:rsidRPr="00A66F55">
        <w:rPr>
          <w:rFonts w:ascii="Cambria" w:hAnsi="Cambria"/>
          <w:sz w:val="24"/>
          <w:lang w:val="en-GB"/>
        </w:rPr>
        <w:t>(B), we observe rat cells (in blue DAPI) and human remaining cells (human DNA - red fluorescent staining) in the inflammatory infiltrate regions (yellow arrow); Bone neoformation (white arrow) and only rat cells (green arrow – in blue DAPI). Scale bars:100</w:t>
      </w:r>
      <w:r w:rsidRPr="00A66F55">
        <w:rPr>
          <w:rFonts w:ascii="Cambria" w:hAnsi="Cambria"/>
          <w:lang w:val="en-GB"/>
        </w:rPr>
        <w:t xml:space="preserve"> µm.</w:t>
      </w:r>
      <w:r>
        <w:rPr>
          <w:rFonts w:ascii="Cambria" w:hAnsi="Cambria"/>
          <w:lang w:val="en-GB"/>
        </w:rPr>
        <w:t xml:space="preserve"> </w:t>
      </w:r>
    </w:p>
    <w:p w:rsidR="00A66F55" w:rsidRDefault="00A66F55" w:rsidP="00890D75">
      <w:pPr>
        <w:autoSpaceDE w:val="0"/>
        <w:autoSpaceDN w:val="0"/>
        <w:adjustRightInd w:val="0"/>
        <w:spacing w:line="360" w:lineRule="auto"/>
        <w:jc w:val="both"/>
        <w:rPr>
          <w:rFonts w:ascii="Cambria" w:hAnsi="Cambria"/>
          <w:sz w:val="24"/>
        </w:rPr>
      </w:pPr>
      <w:r>
        <w:rPr>
          <w:rFonts w:ascii="Cambria" w:hAnsi="Cambria"/>
          <w:noProof/>
          <w:sz w:val="24"/>
          <w:lang w:val="pt-BR" w:eastAsia="pt-BR"/>
        </w:rPr>
        <w:drawing>
          <wp:inline distT="0" distB="0" distL="0" distR="0">
            <wp:extent cx="5400040" cy="2815590"/>
            <wp:effectExtent l="0" t="0" r="0" b="381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figure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0040" cy="2815590"/>
                    </a:xfrm>
                    <a:prstGeom prst="rect">
                      <a:avLst/>
                    </a:prstGeom>
                  </pic:spPr>
                </pic:pic>
              </a:graphicData>
            </a:graphic>
          </wp:inline>
        </w:drawing>
      </w:r>
    </w:p>
    <w:p w:rsidR="00A66F55" w:rsidRDefault="00A66F55" w:rsidP="00890D75">
      <w:pPr>
        <w:autoSpaceDE w:val="0"/>
        <w:autoSpaceDN w:val="0"/>
        <w:adjustRightInd w:val="0"/>
        <w:spacing w:line="360" w:lineRule="auto"/>
        <w:jc w:val="both"/>
        <w:rPr>
          <w:rFonts w:ascii="Cambria" w:hAnsi="Cambria"/>
          <w:sz w:val="24"/>
        </w:rPr>
      </w:pPr>
    </w:p>
    <w:p w:rsidR="00A66F55" w:rsidRPr="00A66F55" w:rsidRDefault="00A66F55" w:rsidP="00A66F55">
      <w:pPr>
        <w:autoSpaceDE w:val="0"/>
        <w:autoSpaceDN w:val="0"/>
        <w:adjustRightInd w:val="0"/>
        <w:spacing w:line="360" w:lineRule="auto"/>
        <w:jc w:val="both"/>
        <w:rPr>
          <w:rFonts w:ascii="Cambria" w:hAnsi="Cambria"/>
          <w:sz w:val="24"/>
        </w:rPr>
      </w:pPr>
      <w:r>
        <w:rPr>
          <w:rFonts w:ascii="Cambria" w:hAnsi="Cambria"/>
          <w:sz w:val="24"/>
        </w:rPr>
        <w:t xml:space="preserve">Figure2. </w:t>
      </w:r>
      <w:r w:rsidRPr="00A66F55">
        <w:rPr>
          <w:rFonts w:ascii="Cambria" w:hAnsi="Cambria"/>
          <w:sz w:val="24"/>
        </w:rPr>
        <w:t xml:space="preserve">The proliferation assay of two patients that have both muscle (orbicular </w:t>
      </w:r>
      <w:proofErr w:type="spellStart"/>
      <w:r w:rsidRPr="00A66F55">
        <w:rPr>
          <w:rFonts w:ascii="Cambria" w:hAnsi="Cambria"/>
          <w:sz w:val="24"/>
        </w:rPr>
        <w:t>oris</w:t>
      </w:r>
      <w:proofErr w:type="spellEnd"/>
      <w:r w:rsidRPr="00A66F55">
        <w:rPr>
          <w:rFonts w:ascii="Cambria" w:hAnsi="Cambria"/>
          <w:sz w:val="24"/>
        </w:rPr>
        <w:t xml:space="preserve"> and </w:t>
      </w:r>
      <w:proofErr w:type="spellStart"/>
      <w:r w:rsidRPr="00A66F55">
        <w:rPr>
          <w:rFonts w:ascii="Cambria" w:hAnsi="Cambria"/>
          <w:sz w:val="24"/>
        </w:rPr>
        <w:t>levator</w:t>
      </w:r>
      <w:proofErr w:type="spellEnd"/>
      <w:r w:rsidRPr="00A66F55">
        <w:rPr>
          <w:rFonts w:ascii="Cambria" w:hAnsi="Cambria"/>
          <w:sz w:val="24"/>
        </w:rPr>
        <w:t xml:space="preserve"> </w:t>
      </w:r>
      <w:proofErr w:type="spellStart"/>
      <w:r w:rsidRPr="00A66F55">
        <w:rPr>
          <w:rFonts w:ascii="Cambria" w:hAnsi="Cambria"/>
          <w:sz w:val="24"/>
        </w:rPr>
        <w:t>veli</w:t>
      </w:r>
      <w:proofErr w:type="spellEnd"/>
      <w:r w:rsidRPr="00A66F55">
        <w:rPr>
          <w:rFonts w:ascii="Cambria" w:hAnsi="Cambria"/>
          <w:sz w:val="24"/>
        </w:rPr>
        <w:t xml:space="preserve"> palatine muscle) to compare the proliferation potential of LVPMDSC with OOMDSC (orbicular </w:t>
      </w:r>
      <w:proofErr w:type="spellStart"/>
      <w:r w:rsidRPr="00A66F55">
        <w:rPr>
          <w:rFonts w:ascii="Cambria" w:hAnsi="Cambria"/>
          <w:sz w:val="24"/>
        </w:rPr>
        <w:t>oris</w:t>
      </w:r>
      <w:proofErr w:type="spellEnd"/>
      <w:r w:rsidRPr="00A66F55">
        <w:rPr>
          <w:rFonts w:ascii="Cambria" w:hAnsi="Cambria"/>
          <w:sz w:val="24"/>
        </w:rPr>
        <w:t xml:space="preserve"> muscle derived stem cells). We obtained the OOMDSC from cleft lip and palate patients during the Cheiloplasty and we obtained the LVPMDSC from the same patients during the palatoplasty surgery. The proliferation results </w:t>
      </w:r>
      <w:r w:rsidR="001A070F" w:rsidRPr="00A66F55">
        <w:rPr>
          <w:rFonts w:ascii="Cambria" w:hAnsi="Cambria"/>
          <w:sz w:val="24"/>
        </w:rPr>
        <w:t>were</w:t>
      </w:r>
      <w:r w:rsidRPr="00A66F55">
        <w:rPr>
          <w:rFonts w:ascii="Cambria" w:hAnsi="Cambria"/>
          <w:sz w:val="24"/>
        </w:rPr>
        <w:t xml:space="preserve"> very similar</w:t>
      </w:r>
      <w:r>
        <w:rPr>
          <w:rFonts w:ascii="Cambria" w:hAnsi="Cambria"/>
          <w:sz w:val="24"/>
        </w:rPr>
        <w:t xml:space="preserve"> (Person’ s test correlation: Patient </w:t>
      </w:r>
      <w:r w:rsidR="001A070F">
        <w:rPr>
          <w:rFonts w:ascii="Cambria" w:hAnsi="Cambria"/>
          <w:sz w:val="24"/>
        </w:rPr>
        <w:t>1 = 0,9 Patient 2= 0,8).</w:t>
      </w:r>
    </w:p>
    <w:p w:rsidR="00A66F55" w:rsidRPr="002A59A2" w:rsidRDefault="00A66F55" w:rsidP="00A66F55">
      <w:pPr>
        <w:pStyle w:val="Pr-formataoHTML"/>
        <w:shd w:val="clear" w:color="auto" w:fill="F8F9FA"/>
        <w:spacing w:line="360" w:lineRule="auto"/>
        <w:jc w:val="both"/>
        <w:rPr>
          <w:rFonts w:ascii="Cambria" w:hAnsi="Cambria"/>
          <w:color w:val="222222"/>
          <w:sz w:val="24"/>
          <w:szCs w:val="24"/>
          <w:lang w:val="en-US"/>
        </w:rPr>
      </w:pPr>
      <w:r w:rsidRPr="002A59A2">
        <w:rPr>
          <w:rFonts w:ascii="Cambria" w:hAnsi="Cambria"/>
          <w:color w:val="222222"/>
          <w:sz w:val="24"/>
          <w:szCs w:val="24"/>
          <w:lang w:val="en"/>
        </w:rPr>
        <w:t xml:space="preserve">   </w:t>
      </w:r>
    </w:p>
    <w:p w:rsidR="00A66F55" w:rsidRPr="002A59A2" w:rsidRDefault="00A66F55" w:rsidP="00A66F55">
      <w:pPr>
        <w:spacing w:line="360" w:lineRule="auto"/>
        <w:contextualSpacing/>
        <w:jc w:val="both"/>
        <w:rPr>
          <w:rFonts w:ascii="Cambria" w:eastAsia="Times New Roman" w:hAnsi="Cambria"/>
          <w:b/>
          <w:bCs/>
          <w:color w:val="FF0000"/>
          <w:sz w:val="24"/>
        </w:rPr>
      </w:pPr>
      <w:r w:rsidRPr="002A59A2">
        <w:rPr>
          <w:rFonts w:ascii="Cambria" w:hAnsi="Cambria"/>
          <w:noProof/>
          <w:sz w:val="24"/>
          <w:lang w:val="pt-BR" w:eastAsia="pt-BR"/>
        </w:rPr>
        <w:lastRenderedPageBreak/>
        <w:drawing>
          <wp:inline distT="0" distB="0" distL="0" distR="0" wp14:anchorId="5BEA84C7" wp14:editId="4EF4B962">
            <wp:extent cx="5943600" cy="2464435"/>
            <wp:effectExtent l="0" t="0" r="12700" b="12065"/>
            <wp:docPr id="3" name="Gráfico 3">
              <a:extLst xmlns:a="http://schemas.openxmlformats.org/drawingml/2006/main">
                <a:ext uri="{FF2B5EF4-FFF2-40B4-BE49-F238E27FC236}">
                  <a16:creationId xmlns:a16="http://schemas.microsoft.com/office/drawing/2014/main" id="{C1CAC37E-F59B-1442-A136-4FDEAC1A22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A66F55" w:rsidRPr="002A59A2" w:rsidRDefault="00A66F55" w:rsidP="00A66F55">
      <w:pPr>
        <w:spacing w:line="360" w:lineRule="auto"/>
        <w:contextualSpacing/>
        <w:jc w:val="both"/>
        <w:rPr>
          <w:rFonts w:ascii="Cambria" w:eastAsia="Times New Roman" w:hAnsi="Cambria"/>
          <w:color w:val="000000"/>
          <w:sz w:val="24"/>
        </w:rPr>
      </w:pPr>
      <w:r w:rsidRPr="002A59A2">
        <w:rPr>
          <w:rFonts w:ascii="Cambria" w:hAnsi="Cambria"/>
          <w:noProof/>
          <w:sz w:val="24"/>
          <w:lang w:val="pt-BR" w:eastAsia="pt-BR"/>
        </w:rPr>
        <w:drawing>
          <wp:inline distT="0" distB="0" distL="0" distR="0" wp14:anchorId="1D78BE71" wp14:editId="3C2EC6B9">
            <wp:extent cx="5943600" cy="2122805"/>
            <wp:effectExtent l="0" t="0" r="12700" b="10795"/>
            <wp:docPr id="2" name="Gráfico 2">
              <a:extLst xmlns:a="http://schemas.openxmlformats.org/drawingml/2006/main">
                <a:ext uri="{FF2B5EF4-FFF2-40B4-BE49-F238E27FC236}">
                  <a16:creationId xmlns:a16="http://schemas.microsoft.com/office/drawing/2014/main" id="{43B740B3-BCDB-4546-8B27-B14B0320AFE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A66F55" w:rsidRPr="002A59A2" w:rsidRDefault="00A66F55" w:rsidP="00A66F55">
      <w:pPr>
        <w:spacing w:line="360" w:lineRule="auto"/>
        <w:contextualSpacing/>
        <w:jc w:val="both"/>
        <w:rPr>
          <w:rFonts w:ascii="Cambria" w:eastAsia="Times New Roman" w:hAnsi="Cambria"/>
          <w:b/>
          <w:bCs/>
          <w:color w:val="000000"/>
          <w:sz w:val="24"/>
        </w:rPr>
      </w:pPr>
    </w:p>
    <w:p w:rsidR="00A66F55" w:rsidRPr="00833CB9" w:rsidRDefault="00A66F55" w:rsidP="00890D75">
      <w:pPr>
        <w:autoSpaceDE w:val="0"/>
        <w:autoSpaceDN w:val="0"/>
        <w:adjustRightInd w:val="0"/>
        <w:spacing w:line="360" w:lineRule="auto"/>
        <w:jc w:val="both"/>
        <w:rPr>
          <w:rFonts w:ascii="Cambria" w:hAnsi="Cambria"/>
          <w:sz w:val="24"/>
        </w:rPr>
      </w:pPr>
    </w:p>
    <w:p w:rsidR="00A821B1" w:rsidRDefault="00A821B1"/>
    <w:sectPr w:rsidR="00A821B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D75"/>
    <w:rsid w:val="001A070F"/>
    <w:rsid w:val="00890D75"/>
    <w:rsid w:val="00A66F55"/>
    <w:rsid w:val="00A821B1"/>
    <w:rsid w:val="00FA545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6C0F82-56CA-47CC-91DC-1D2BE8583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D75"/>
    <w:pPr>
      <w:spacing w:after="200" w:line="276" w:lineRule="auto"/>
    </w:pPr>
    <w:rPr>
      <w:rFonts w:ascii="Calibri" w:eastAsia="Calibri" w:hAnsi="Calibri" w:cs="Times New Roman"/>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rsid w:val="00A66F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pt-BR" w:eastAsia="pt-BR"/>
    </w:rPr>
  </w:style>
  <w:style w:type="character" w:customStyle="1" w:styleId="Pr-formataoHTMLChar">
    <w:name w:val="Pré-formatação HTML Char"/>
    <w:basedOn w:val="Fontepargpadro"/>
    <w:link w:val="Pr-formataoHTML"/>
    <w:uiPriority w:val="99"/>
    <w:semiHidden/>
    <w:rsid w:val="00A66F55"/>
    <w:rPr>
      <w:rFonts w:ascii="Courier New" w:eastAsia="Times New Roman" w:hAnsi="Courier New" w:cs="Courier New"/>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image" Target="media/image1.tiff"/></Relationships>
</file>

<file path=word/charts/_rels/chart1.xml.rels><?xml version="1.0" encoding="UTF-8" standalone="yes"?>
<Relationships xmlns="http://schemas.openxmlformats.org/package/2006/relationships"><Relationship Id="rId1" Type="http://schemas.openxmlformats.org/officeDocument/2006/relationships/oleObject" Target="file:////Users\danielafrancobueno\Downloads\Curva%20de%20proliferacao_LVP.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sers\danielafrancobueno\Downloads\Curva%20de%20proliferacao_LVP.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Calibri"/>
                <a:ea typeface="Calibri"/>
                <a:cs typeface="Calibri"/>
              </a:defRPr>
            </a:pPr>
            <a:r>
              <a:rPr lang="pt-BR"/>
              <a:t>PROLIFERATION TEST</a:t>
            </a:r>
          </a:p>
        </c:rich>
      </c:tx>
      <c:overlay val="0"/>
    </c:title>
    <c:autoTitleDeleted val="0"/>
    <c:plotArea>
      <c:layout/>
      <c:lineChart>
        <c:grouping val="standard"/>
        <c:varyColors val="0"/>
        <c:ser>
          <c:idx val="0"/>
          <c:order val="0"/>
          <c:tx>
            <c:strRef>
              <c:f>GRAFICOS!$C$4</c:f>
              <c:strCache>
                <c:ptCount val="1"/>
                <c:pt idx="0">
                  <c:v>Pacient 1 OOM</c:v>
                </c:pt>
              </c:strCache>
            </c:strRef>
          </c:tx>
          <c:cat>
            <c:strRef>
              <c:f>GRAFICOS!$B$5:$B$15</c:f>
              <c:strCache>
                <c:ptCount val="8"/>
                <c:pt idx="0">
                  <c:v>DAY 0</c:v>
                </c:pt>
                <c:pt idx="1">
                  <c:v>DAY 1</c:v>
                </c:pt>
                <c:pt idx="2">
                  <c:v>DAY 2</c:v>
                </c:pt>
                <c:pt idx="3">
                  <c:v>DAY 3</c:v>
                </c:pt>
                <c:pt idx="4">
                  <c:v>DAY 4</c:v>
                </c:pt>
                <c:pt idx="5">
                  <c:v>DAY 5</c:v>
                </c:pt>
                <c:pt idx="6">
                  <c:v>DAY 6</c:v>
                </c:pt>
                <c:pt idx="7">
                  <c:v>DAY 10</c:v>
                </c:pt>
              </c:strCache>
            </c:strRef>
          </c:cat>
          <c:val>
            <c:numRef>
              <c:f>GRAFICOS!$C$5:$C$15</c:f>
              <c:numCache>
                <c:formatCode>General</c:formatCode>
                <c:ptCount val="8"/>
                <c:pt idx="0">
                  <c:v>4504</c:v>
                </c:pt>
                <c:pt idx="1">
                  <c:v>14544</c:v>
                </c:pt>
                <c:pt idx="2">
                  <c:v>4409.7777777777774</c:v>
                </c:pt>
                <c:pt idx="3">
                  <c:v>51344</c:v>
                </c:pt>
                <c:pt idx="4">
                  <c:v>99684.444444444438</c:v>
                </c:pt>
                <c:pt idx="5">
                  <c:v>75359.333333333328</c:v>
                </c:pt>
                <c:pt idx="6">
                  <c:v>116253.77777777777</c:v>
                </c:pt>
                <c:pt idx="7">
                  <c:v>62852.000000000007</c:v>
                </c:pt>
              </c:numCache>
            </c:numRef>
          </c:val>
          <c:smooth val="0"/>
          <c:extLst>
            <c:ext xmlns:c16="http://schemas.microsoft.com/office/drawing/2014/chart" uri="{C3380CC4-5D6E-409C-BE32-E72D297353CC}">
              <c16:uniqueId val="{00000000-E706-424D-81F8-2C3A80F8D610}"/>
            </c:ext>
          </c:extLst>
        </c:ser>
        <c:ser>
          <c:idx val="1"/>
          <c:order val="1"/>
          <c:tx>
            <c:strRef>
              <c:f>GRAFICOS!$D$4</c:f>
              <c:strCache>
                <c:ptCount val="1"/>
                <c:pt idx="0">
                  <c:v>Pacient 1 LVPM</c:v>
                </c:pt>
              </c:strCache>
            </c:strRef>
          </c:tx>
          <c:cat>
            <c:strRef>
              <c:f>GRAFICOS!$B$5:$B$15</c:f>
              <c:strCache>
                <c:ptCount val="8"/>
                <c:pt idx="0">
                  <c:v>DAY 0</c:v>
                </c:pt>
                <c:pt idx="1">
                  <c:v>DAY 1</c:v>
                </c:pt>
                <c:pt idx="2">
                  <c:v>DAY 2</c:v>
                </c:pt>
                <c:pt idx="3">
                  <c:v>DAY 3</c:v>
                </c:pt>
                <c:pt idx="4">
                  <c:v>DAY 4</c:v>
                </c:pt>
                <c:pt idx="5">
                  <c:v>DAY 5</c:v>
                </c:pt>
                <c:pt idx="6">
                  <c:v>DAY 6</c:v>
                </c:pt>
                <c:pt idx="7">
                  <c:v>DAY 10</c:v>
                </c:pt>
              </c:strCache>
            </c:strRef>
          </c:cat>
          <c:val>
            <c:numRef>
              <c:f>GRAFICOS!$D$5:$D$15</c:f>
              <c:numCache>
                <c:formatCode>General</c:formatCode>
                <c:ptCount val="8"/>
                <c:pt idx="0">
                  <c:v>3394.6666666666661</c:v>
                </c:pt>
                <c:pt idx="1">
                  <c:v>11902.222222222219</c:v>
                </c:pt>
                <c:pt idx="2">
                  <c:v>1715.1111111111113</c:v>
                </c:pt>
                <c:pt idx="3">
                  <c:v>26747.555555555551</c:v>
                </c:pt>
                <c:pt idx="4">
                  <c:v>45933.333333333336</c:v>
                </c:pt>
                <c:pt idx="5">
                  <c:v>31660.888888888891</c:v>
                </c:pt>
                <c:pt idx="6">
                  <c:v>72948.444444444453</c:v>
                </c:pt>
                <c:pt idx="7">
                  <c:v>70710.666666666672</c:v>
                </c:pt>
              </c:numCache>
            </c:numRef>
          </c:val>
          <c:smooth val="0"/>
          <c:extLst>
            <c:ext xmlns:c16="http://schemas.microsoft.com/office/drawing/2014/chart" uri="{C3380CC4-5D6E-409C-BE32-E72D297353CC}">
              <c16:uniqueId val="{00000001-E706-424D-81F8-2C3A80F8D610}"/>
            </c:ext>
          </c:extLst>
        </c:ser>
        <c:dLbls>
          <c:showLegendKey val="0"/>
          <c:showVal val="0"/>
          <c:showCatName val="0"/>
          <c:showSerName val="0"/>
          <c:showPercent val="0"/>
          <c:showBubbleSize val="0"/>
        </c:dLbls>
        <c:marker val="1"/>
        <c:smooth val="0"/>
        <c:axId val="105654400"/>
        <c:axId val="1"/>
      </c:lineChart>
      <c:catAx>
        <c:axId val="105654400"/>
        <c:scaling>
          <c:orientation val="minMax"/>
        </c:scaling>
        <c:delete val="0"/>
        <c:axPos val="b"/>
        <c:numFmt formatCode="General" sourceLinked="1"/>
        <c:majorTickMark val="none"/>
        <c:minorTickMark val="none"/>
        <c:tickLblPos val="nextTo"/>
        <c:txPr>
          <a:bodyPr rot="0" vert="horz"/>
          <a:lstStyle/>
          <a:p>
            <a:pPr>
              <a:defRPr sz="1000" b="0" i="0" u="none" strike="noStrike" baseline="0">
                <a:solidFill>
                  <a:srgbClr val="000000"/>
                </a:solidFill>
                <a:latin typeface="Calibri"/>
                <a:ea typeface="Calibri"/>
                <a:cs typeface="Calibri"/>
              </a:defRPr>
            </a:pPr>
            <a:endParaRPr lang="pt-BR"/>
          </a:p>
        </c:txPr>
        <c:crossAx val="1"/>
        <c:crosses val="autoZero"/>
        <c:auto val="1"/>
        <c:lblAlgn val="ctr"/>
        <c:lblOffset val="100"/>
        <c:noMultiLvlLbl val="0"/>
      </c:catAx>
      <c:valAx>
        <c:axId val="1"/>
        <c:scaling>
          <c:orientation val="minMax"/>
        </c:scaling>
        <c:delete val="0"/>
        <c:axPos val="l"/>
        <c:majorGridlines/>
        <c:numFmt formatCode="General" sourceLinked="1"/>
        <c:majorTickMark val="none"/>
        <c:minorTickMark val="none"/>
        <c:tickLblPos val="nextTo"/>
        <c:spPr>
          <a:ln w="9525">
            <a:noFill/>
          </a:ln>
        </c:spPr>
        <c:txPr>
          <a:bodyPr rot="0" vert="horz"/>
          <a:lstStyle/>
          <a:p>
            <a:pPr>
              <a:defRPr sz="1000" b="0" i="0" u="none" strike="noStrike" baseline="0">
                <a:solidFill>
                  <a:srgbClr val="000000"/>
                </a:solidFill>
                <a:latin typeface="Calibri"/>
                <a:ea typeface="Calibri"/>
                <a:cs typeface="Calibri"/>
              </a:defRPr>
            </a:pPr>
            <a:endParaRPr lang="pt-BR"/>
          </a:p>
        </c:txPr>
        <c:crossAx val="105654400"/>
        <c:crosses val="autoZero"/>
        <c:crossBetween val="between"/>
      </c:valAx>
    </c:plotArea>
    <c:legend>
      <c:legendPos val="b"/>
      <c:overlay val="0"/>
      <c:txPr>
        <a:bodyPr/>
        <a:lstStyle/>
        <a:p>
          <a:pPr>
            <a:defRPr sz="920" b="0" i="0" u="none" strike="noStrike" baseline="0">
              <a:solidFill>
                <a:srgbClr val="000000"/>
              </a:solidFill>
              <a:latin typeface="Calibri"/>
              <a:ea typeface="Calibri"/>
              <a:cs typeface="Calibri"/>
            </a:defRPr>
          </a:pPr>
          <a:endParaRPr lang="pt-BR"/>
        </a:p>
      </c:txPr>
    </c:legend>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pt-B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Calibri"/>
                <a:ea typeface="Calibri"/>
                <a:cs typeface="Calibri"/>
              </a:defRPr>
            </a:pPr>
            <a:r>
              <a:rPr lang="pt-BR"/>
              <a:t>PROLIFERATION TEST</a:t>
            </a:r>
          </a:p>
        </c:rich>
      </c:tx>
      <c:overlay val="0"/>
    </c:title>
    <c:autoTitleDeleted val="0"/>
    <c:plotArea>
      <c:layout/>
      <c:lineChart>
        <c:grouping val="standard"/>
        <c:varyColors val="0"/>
        <c:ser>
          <c:idx val="0"/>
          <c:order val="0"/>
          <c:tx>
            <c:strRef>
              <c:f>GRAFICOS!$E$4</c:f>
              <c:strCache>
                <c:ptCount val="1"/>
                <c:pt idx="0">
                  <c:v>Pacient 2 OOM</c:v>
                </c:pt>
              </c:strCache>
            </c:strRef>
          </c:tx>
          <c:cat>
            <c:strRef>
              <c:f>GRAFICOS!$B$5:$B$15</c:f>
              <c:strCache>
                <c:ptCount val="8"/>
                <c:pt idx="0">
                  <c:v>DAY 0</c:v>
                </c:pt>
                <c:pt idx="1">
                  <c:v>DAY 1</c:v>
                </c:pt>
                <c:pt idx="2">
                  <c:v>DAY 2</c:v>
                </c:pt>
                <c:pt idx="3">
                  <c:v>DAY 3</c:v>
                </c:pt>
                <c:pt idx="4">
                  <c:v>DAY 4</c:v>
                </c:pt>
                <c:pt idx="5">
                  <c:v>DAY 5</c:v>
                </c:pt>
                <c:pt idx="6">
                  <c:v>DAY 6</c:v>
                </c:pt>
                <c:pt idx="7">
                  <c:v>DAY 10</c:v>
                </c:pt>
              </c:strCache>
            </c:strRef>
          </c:cat>
          <c:val>
            <c:numRef>
              <c:f>GRAFICOS!$E$5:$E$15</c:f>
              <c:numCache>
                <c:formatCode>General</c:formatCode>
                <c:ptCount val="8"/>
                <c:pt idx="0">
                  <c:v>1014.6666666666666</c:v>
                </c:pt>
                <c:pt idx="1">
                  <c:v>5879.1111111111122</c:v>
                </c:pt>
                <c:pt idx="2">
                  <c:v>1722.6666666666667</c:v>
                </c:pt>
                <c:pt idx="3">
                  <c:v>14575.111111111111</c:v>
                </c:pt>
                <c:pt idx="4">
                  <c:v>53225.777777777781</c:v>
                </c:pt>
                <c:pt idx="5">
                  <c:v>93514.666666666672</c:v>
                </c:pt>
                <c:pt idx="6">
                  <c:v>8660</c:v>
                </c:pt>
                <c:pt idx="7">
                  <c:v>61373.777777777774</c:v>
                </c:pt>
              </c:numCache>
            </c:numRef>
          </c:val>
          <c:smooth val="0"/>
          <c:extLst>
            <c:ext xmlns:c16="http://schemas.microsoft.com/office/drawing/2014/chart" uri="{C3380CC4-5D6E-409C-BE32-E72D297353CC}">
              <c16:uniqueId val="{00000000-83C4-4E85-910E-4331A302B5CA}"/>
            </c:ext>
          </c:extLst>
        </c:ser>
        <c:ser>
          <c:idx val="1"/>
          <c:order val="1"/>
          <c:tx>
            <c:strRef>
              <c:f>GRAFICOS!$F$4</c:f>
              <c:strCache>
                <c:ptCount val="1"/>
                <c:pt idx="0">
                  <c:v>Pacient 2 LVPM</c:v>
                </c:pt>
              </c:strCache>
            </c:strRef>
          </c:tx>
          <c:cat>
            <c:strRef>
              <c:f>GRAFICOS!$B$5:$B$15</c:f>
              <c:strCache>
                <c:ptCount val="8"/>
                <c:pt idx="0">
                  <c:v>DAY 0</c:v>
                </c:pt>
                <c:pt idx="1">
                  <c:v>DAY 1</c:v>
                </c:pt>
                <c:pt idx="2">
                  <c:v>DAY 2</c:v>
                </c:pt>
                <c:pt idx="3">
                  <c:v>DAY 3</c:v>
                </c:pt>
                <c:pt idx="4">
                  <c:v>DAY 4</c:v>
                </c:pt>
                <c:pt idx="5">
                  <c:v>DAY 5</c:v>
                </c:pt>
                <c:pt idx="6">
                  <c:v>DAY 6</c:v>
                </c:pt>
                <c:pt idx="7">
                  <c:v>DAY 10</c:v>
                </c:pt>
              </c:strCache>
            </c:strRef>
          </c:cat>
          <c:val>
            <c:numRef>
              <c:f>GRAFICOS!$F$5:$F$15</c:f>
              <c:numCache>
                <c:formatCode>General</c:formatCode>
                <c:ptCount val="8"/>
                <c:pt idx="0">
                  <c:v>1343.1111111111111</c:v>
                </c:pt>
                <c:pt idx="1">
                  <c:v>2983.5555555555552</c:v>
                </c:pt>
                <c:pt idx="2">
                  <c:v>812</c:v>
                </c:pt>
                <c:pt idx="3">
                  <c:v>8598.2222222222208</c:v>
                </c:pt>
                <c:pt idx="4">
                  <c:v>36084</c:v>
                </c:pt>
                <c:pt idx="5">
                  <c:v>54766</c:v>
                </c:pt>
                <c:pt idx="6">
                  <c:v>48876.888888888883</c:v>
                </c:pt>
                <c:pt idx="7">
                  <c:v>61809.333333333336</c:v>
                </c:pt>
              </c:numCache>
            </c:numRef>
          </c:val>
          <c:smooth val="0"/>
          <c:extLst>
            <c:ext xmlns:c16="http://schemas.microsoft.com/office/drawing/2014/chart" uri="{C3380CC4-5D6E-409C-BE32-E72D297353CC}">
              <c16:uniqueId val="{00000001-83C4-4E85-910E-4331A302B5CA}"/>
            </c:ext>
          </c:extLst>
        </c:ser>
        <c:dLbls>
          <c:showLegendKey val="0"/>
          <c:showVal val="0"/>
          <c:showCatName val="0"/>
          <c:showSerName val="0"/>
          <c:showPercent val="0"/>
          <c:showBubbleSize val="0"/>
        </c:dLbls>
        <c:marker val="1"/>
        <c:smooth val="0"/>
        <c:axId val="105753008"/>
        <c:axId val="1"/>
      </c:lineChart>
      <c:catAx>
        <c:axId val="105753008"/>
        <c:scaling>
          <c:orientation val="minMax"/>
        </c:scaling>
        <c:delete val="0"/>
        <c:axPos val="b"/>
        <c:numFmt formatCode="General" sourceLinked="1"/>
        <c:majorTickMark val="none"/>
        <c:minorTickMark val="none"/>
        <c:tickLblPos val="nextTo"/>
        <c:txPr>
          <a:bodyPr rot="0" vert="horz"/>
          <a:lstStyle/>
          <a:p>
            <a:pPr>
              <a:defRPr sz="1000" b="0" i="0" u="none" strike="noStrike" baseline="0">
                <a:solidFill>
                  <a:srgbClr val="000000"/>
                </a:solidFill>
                <a:latin typeface="Calibri"/>
                <a:ea typeface="Calibri"/>
                <a:cs typeface="Calibri"/>
              </a:defRPr>
            </a:pPr>
            <a:endParaRPr lang="pt-BR"/>
          </a:p>
        </c:txPr>
        <c:crossAx val="1"/>
        <c:crosses val="autoZero"/>
        <c:auto val="1"/>
        <c:lblAlgn val="ctr"/>
        <c:lblOffset val="100"/>
        <c:noMultiLvlLbl val="0"/>
      </c:catAx>
      <c:valAx>
        <c:axId val="1"/>
        <c:scaling>
          <c:orientation val="minMax"/>
        </c:scaling>
        <c:delete val="0"/>
        <c:axPos val="l"/>
        <c:majorGridlines/>
        <c:numFmt formatCode="General" sourceLinked="1"/>
        <c:majorTickMark val="none"/>
        <c:minorTickMark val="none"/>
        <c:tickLblPos val="nextTo"/>
        <c:spPr>
          <a:ln w="9525">
            <a:noFill/>
          </a:ln>
        </c:spPr>
        <c:txPr>
          <a:bodyPr rot="0" vert="horz"/>
          <a:lstStyle/>
          <a:p>
            <a:pPr>
              <a:defRPr sz="1000" b="0" i="0" u="none" strike="noStrike" baseline="0">
                <a:solidFill>
                  <a:srgbClr val="000000"/>
                </a:solidFill>
                <a:latin typeface="Calibri"/>
                <a:ea typeface="Calibri"/>
                <a:cs typeface="Calibri"/>
              </a:defRPr>
            </a:pPr>
            <a:endParaRPr lang="pt-BR"/>
          </a:p>
        </c:txPr>
        <c:crossAx val="105753008"/>
        <c:crosses val="autoZero"/>
        <c:crossBetween val="between"/>
      </c:valAx>
    </c:plotArea>
    <c:legend>
      <c:legendPos val="b"/>
      <c:overlay val="0"/>
      <c:txPr>
        <a:bodyPr/>
        <a:lstStyle/>
        <a:p>
          <a:pPr>
            <a:defRPr sz="920" b="0" i="0" u="none" strike="noStrike" baseline="0">
              <a:solidFill>
                <a:srgbClr val="000000"/>
              </a:solidFill>
              <a:latin typeface="Calibri"/>
              <a:ea typeface="Calibri"/>
              <a:cs typeface="Calibri"/>
            </a:defRPr>
          </a:pPr>
          <a:endParaRPr lang="pt-BR"/>
        </a:p>
      </c:txPr>
    </c:legend>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pt-BR"/>
    </a:p>
  </c:txPr>
  <c:externalData r:id="rId1">
    <c:autoUpdate val="0"/>
  </c:externalData>
</c:chartSpac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167</Words>
  <Characters>908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ccgpinheiro</dc:creator>
  <cp:keywords/>
  <dc:description/>
  <cp:lastModifiedBy>Daniela Bueno</cp:lastModifiedBy>
  <cp:revision>2</cp:revision>
  <dcterms:created xsi:type="dcterms:W3CDTF">2020-09-03T18:38:00Z</dcterms:created>
  <dcterms:modified xsi:type="dcterms:W3CDTF">2020-09-03T18:38:00Z</dcterms:modified>
</cp:coreProperties>
</file>