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F7C13E" w14:textId="77777777" w:rsidR="008D5EC3" w:rsidRPr="009E1F32" w:rsidRDefault="008D5EC3" w:rsidP="008D5EC3">
      <w:pPr>
        <w:spacing w:beforeLines="50" w:before="156"/>
        <w:rPr>
          <w:rFonts w:ascii="Times New Roman" w:hAnsi="Times New Roman" w:cs="Times New Roman"/>
          <w:b/>
          <w:bCs/>
        </w:rPr>
      </w:pPr>
      <w:bookmarkStart w:id="0" w:name="aa"/>
      <w:r w:rsidRPr="009E1F32">
        <w:rPr>
          <w:rFonts w:ascii="Times New Roman" w:hAnsi="Times New Roman" w:cs="Times New Roman" w:hint="eastAsia"/>
          <w:b/>
          <w:bCs/>
        </w:rPr>
        <w:t>A</w:t>
      </w:r>
      <w:r w:rsidRPr="009E1F32">
        <w:rPr>
          <w:rFonts w:ascii="Times New Roman" w:hAnsi="Times New Roman" w:cs="Times New Roman"/>
          <w:b/>
          <w:bCs/>
        </w:rPr>
        <w:t>ppendix</w:t>
      </w:r>
      <w:r w:rsidRPr="009E1F32">
        <w:rPr>
          <w:rFonts w:ascii="Times New Roman" w:hAnsi="Times New Roman" w:cs="Times New Roman" w:hint="eastAsia"/>
          <w:b/>
          <w:bCs/>
        </w:rPr>
        <w:t xml:space="preserve"> A</w:t>
      </w:r>
    </w:p>
    <w:bookmarkEnd w:id="0"/>
    <w:p w14:paraId="07BD2FAF" w14:textId="77777777" w:rsidR="008D5EC3" w:rsidRPr="007F42B6" w:rsidRDefault="008D5EC3" w:rsidP="008D5EC3">
      <w:pPr>
        <w:spacing w:beforeLines="50" w:before="156"/>
        <w:jc w:val="center"/>
        <w:rPr>
          <w:rFonts w:ascii="Times New Roman" w:hAnsi="Times New Roman" w:cs="Times New Roman"/>
          <w:sz w:val="20"/>
          <w:szCs w:val="20"/>
        </w:rPr>
      </w:pPr>
      <w:r w:rsidRPr="007F42B6">
        <w:rPr>
          <w:rFonts w:ascii="Times New Roman" w:hAnsi="Times New Roman" w:cs="Times New Roman"/>
          <w:sz w:val="20"/>
          <w:szCs w:val="20"/>
        </w:rPr>
        <w:t>The</w:t>
      </w:r>
      <w:r w:rsidRPr="007F42B6">
        <w:rPr>
          <w:sz w:val="16"/>
          <w:szCs w:val="18"/>
        </w:rPr>
        <w:t xml:space="preserve"> </w:t>
      </w:r>
      <w:r w:rsidRPr="007F42B6">
        <w:rPr>
          <w:rFonts w:ascii="Times New Roman" w:hAnsi="Times New Roman" w:cs="Times New Roman"/>
          <w:sz w:val="20"/>
          <w:szCs w:val="20"/>
        </w:rPr>
        <w:t>21 thermal power enterprises in China, their territorial ownership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7F42B6">
        <w:rPr>
          <w:rFonts w:ascii="Times New Roman" w:hAnsi="Times New Roman" w:cs="Times New Roman"/>
          <w:sz w:val="20"/>
          <w:szCs w:val="20"/>
        </w:rPr>
        <w:t xml:space="preserve"> and total GDP in 2022*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9"/>
        <w:gridCol w:w="5939"/>
        <w:gridCol w:w="1468"/>
      </w:tblGrid>
      <w:tr w:rsidR="008D5EC3" w:rsidRPr="007F42B6" w14:paraId="0CFF6B6A" w14:textId="77777777" w:rsidTr="00793C51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DAFCF9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7F42B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Region</w:t>
            </w:r>
          </w:p>
        </w:tc>
        <w:tc>
          <w:tcPr>
            <w:tcW w:w="5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7E9B3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7F42B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Company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3D3AA4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7F42B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GDP of the region in 2022 (10</w:t>
            </w:r>
            <w:r w:rsidRPr="007F42B6">
              <w:rPr>
                <w:rFonts w:ascii="Times New Roman" w:hAnsi="Times New Roman" w:cs="Times New Roman" w:hint="eastAsia"/>
                <w:b/>
                <w:bCs/>
                <w:sz w:val="15"/>
                <w:szCs w:val="15"/>
                <w:vertAlign w:val="superscript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 xml:space="preserve"> </w:t>
            </w:r>
            <w:r w:rsidRPr="007F42B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yuan)</w:t>
            </w:r>
          </w:p>
        </w:tc>
      </w:tr>
      <w:tr w:rsidR="008D5EC3" w:rsidRPr="007F42B6" w14:paraId="4A89B70B" w14:textId="77777777" w:rsidTr="00793C51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DC88013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7F42B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East China</w:t>
            </w:r>
          </w:p>
          <w:p w14:paraId="4FE62614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8)</w:t>
            </w:r>
          </w:p>
        </w:tc>
        <w:tc>
          <w:tcPr>
            <w:tcW w:w="5939" w:type="dxa"/>
            <w:tcBorders>
              <w:top w:val="single" w:sz="4" w:space="0" w:color="auto"/>
            </w:tcBorders>
            <w:vAlign w:val="center"/>
          </w:tcPr>
          <w:p w14:paraId="4B4FAA8D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Shenergy</w:t>
            </w:r>
            <w:proofErr w:type="spellEnd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 Company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SNCL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proofErr w:type="spellStart"/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W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intime</w:t>
            </w:r>
            <w:proofErr w:type="spellEnd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 Energy</w:t>
            </w:r>
            <w:r w:rsidRPr="007F42B6">
              <w:rPr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Company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(WTEC)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GD Power Development</w:t>
            </w:r>
            <w:r w:rsidRPr="007F42B6">
              <w:rPr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Company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(GPDC)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S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hanghai Electric Power</w:t>
            </w:r>
            <w:r w:rsidRPr="007F42B6">
              <w:rPr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Company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(SEPC)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proofErr w:type="spellStart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Zheneng</w:t>
            </w:r>
            <w:proofErr w:type="spellEnd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 Electric Power</w:t>
            </w:r>
            <w:r w:rsidRPr="007F42B6">
              <w:rPr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Company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(ZEPC)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proofErr w:type="spellStart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Huadian</w:t>
            </w:r>
            <w:proofErr w:type="spellEnd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 Power International Corporation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HDPC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proofErr w:type="spellStart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Huaneng</w:t>
            </w:r>
            <w:proofErr w:type="spellEnd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 Power International</w:t>
            </w:r>
            <w:r w:rsidRPr="007F42B6">
              <w:rPr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Company (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HNPC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A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nhui </w:t>
            </w:r>
            <w:proofErr w:type="spellStart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Wenergy</w:t>
            </w:r>
            <w:proofErr w:type="spellEnd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 Company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AHWC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468" w:type="dxa"/>
            <w:tcBorders>
              <w:top w:val="single" w:sz="4" w:space="0" w:color="auto"/>
            </w:tcBorders>
            <w:vAlign w:val="center"/>
          </w:tcPr>
          <w:p w14:paraId="4A4EC288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377,724</w:t>
            </w:r>
          </w:p>
        </w:tc>
      </w:tr>
      <w:tr w:rsidR="008D5EC3" w:rsidRPr="007F42B6" w14:paraId="795B4A15" w14:textId="77777777" w:rsidTr="00793C51">
        <w:tc>
          <w:tcPr>
            <w:tcW w:w="0" w:type="auto"/>
            <w:vAlign w:val="center"/>
          </w:tcPr>
          <w:p w14:paraId="20400075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7F42B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South China</w:t>
            </w:r>
          </w:p>
          <w:p w14:paraId="525E4BB7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6)</w:t>
            </w:r>
          </w:p>
        </w:tc>
        <w:tc>
          <w:tcPr>
            <w:tcW w:w="5939" w:type="dxa"/>
            <w:vAlign w:val="center"/>
          </w:tcPr>
          <w:p w14:paraId="068B82B3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Baolihua</w:t>
            </w:r>
            <w:proofErr w:type="spellEnd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 New Energy</w:t>
            </w:r>
            <w:r w:rsidRPr="007F42B6">
              <w:rPr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Company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(BNEC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Shenzhen Nanshan Power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Company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(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SNPC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proofErr w:type="spellStart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Hengyun</w:t>
            </w:r>
            <w:proofErr w:type="spellEnd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 Enterprises Holdings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(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HEHL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Shenzhen Energy Group</w:t>
            </w:r>
            <w:r w:rsidRPr="007F42B6">
              <w:rPr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Company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(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SEGC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Guangzhou Development Group Incorporated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(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GDGI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Guangdong Electric Power Development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(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GEPC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468" w:type="dxa"/>
            <w:vAlign w:val="center"/>
          </w:tcPr>
          <w:p w14:paraId="3121D0FD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215,348</w:t>
            </w:r>
          </w:p>
        </w:tc>
      </w:tr>
      <w:tr w:rsidR="008D5EC3" w:rsidRPr="007F42B6" w14:paraId="7CAE1719" w14:textId="77777777" w:rsidTr="00793C51">
        <w:tc>
          <w:tcPr>
            <w:tcW w:w="0" w:type="auto"/>
            <w:vAlign w:val="center"/>
          </w:tcPr>
          <w:p w14:paraId="3E35EF1B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7F42B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North China</w:t>
            </w:r>
          </w:p>
          <w:p w14:paraId="3622B2CE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5)</w:t>
            </w:r>
          </w:p>
        </w:tc>
        <w:tc>
          <w:tcPr>
            <w:tcW w:w="5939" w:type="dxa"/>
            <w:vAlign w:val="center"/>
          </w:tcPr>
          <w:p w14:paraId="6C325410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Jingneng</w:t>
            </w:r>
            <w:proofErr w:type="spellEnd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 Power</w:t>
            </w:r>
            <w:r w:rsidRPr="007F42B6">
              <w:rPr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Company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(JNPC)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proofErr w:type="spellStart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Jointo</w:t>
            </w:r>
            <w:proofErr w:type="spellEnd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 Energy Investment</w:t>
            </w:r>
            <w:r w:rsidRPr="007F42B6">
              <w:rPr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Company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(JEIC)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Top Energy Company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(TECL)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proofErr w:type="spellStart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Jinneng</w:t>
            </w:r>
            <w:proofErr w:type="spellEnd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 Holding Shanxi Electric Power</w:t>
            </w:r>
            <w:r w:rsidRPr="007F42B6">
              <w:rPr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Company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(JKPC)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proofErr w:type="spellStart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Datang</w:t>
            </w:r>
            <w:proofErr w:type="spellEnd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 Power</w:t>
            </w:r>
            <w:r w:rsidRPr="007F42B6">
              <w:rPr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Company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(DTPC)</w:t>
            </w:r>
          </w:p>
        </w:tc>
        <w:tc>
          <w:tcPr>
            <w:tcW w:w="1468" w:type="dxa"/>
            <w:vAlign w:val="center"/>
          </w:tcPr>
          <w:p w14:paraId="61CFD1BC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149,094</w:t>
            </w:r>
          </w:p>
        </w:tc>
      </w:tr>
      <w:tr w:rsidR="008D5EC3" w:rsidRPr="007F42B6" w14:paraId="7413DF5E" w14:textId="77777777" w:rsidTr="00793C51">
        <w:tc>
          <w:tcPr>
            <w:tcW w:w="0" w:type="auto"/>
            <w:vAlign w:val="center"/>
          </w:tcPr>
          <w:p w14:paraId="3DB91950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7F42B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Central China</w:t>
            </w:r>
          </w:p>
          <w:p w14:paraId="010CD607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1)</w:t>
            </w:r>
          </w:p>
        </w:tc>
        <w:tc>
          <w:tcPr>
            <w:tcW w:w="5939" w:type="dxa"/>
            <w:vAlign w:val="center"/>
          </w:tcPr>
          <w:p w14:paraId="647B745A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Changyuan</w:t>
            </w:r>
            <w:proofErr w:type="spellEnd"/>
            <w:r w:rsidRPr="007F42B6">
              <w:rPr>
                <w:rFonts w:ascii="Times New Roman" w:hAnsi="Times New Roman" w:cs="Times New Roman"/>
                <w:sz w:val="15"/>
                <w:szCs w:val="15"/>
              </w:rPr>
              <w:t xml:space="preserve"> Electric Power</w:t>
            </w:r>
            <w:r w:rsidRPr="007F42B6">
              <w:rPr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Company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(</w:t>
            </w: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CEPC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1468" w:type="dxa"/>
            <w:vAlign w:val="center"/>
          </w:tcPr>
          <w:p w14:paraId="6F2B882B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195,825</w:t>
            </w:r>
          </w:p>
        </w:tc>
      </w:tr>
      <w:tr w:rsidR="008D5EC3" w:rsidRPr="007F42B6" w14:paraId="7F9A1010" w14:textId="77777777" w:rsidTr="00793C51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96CFBD4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7F42B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Northwest China</w:t>
            </w:r>
          </w:p>
          <w:p w14:paraId="2505D666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1)</w:t>
            </w:r>
          </w:p>
        </w:tc>
        <w:tc>
          <w:tcPr>
            <w:tcW w:w="5939" w:type="dxa"/>
            <w:tcBorders>
              <w:bottom w:val="single" w:sz="4" w:space="0" w:color="auto"/>
            </w:tcBorders>
            <w:vAlign w:val="center"/>
          </w:tcPr>
          <w:p w14:paraId="6BFECD7C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de-DE"/>
              </w:rPr>
            </w:pPr>
            <w:r w:rsidRPr="007F42B6">
              <w:rPr>
                <w:rFonts w:ascii="Times New Roman" w:hAnsi="Times New Roman" w:cs="Times New Roman"/>
                <w:sz w:val="15"/>
                <w:szCs w:val="15"/>
                <w:lang w:val="de-DE"/>
              </w:rPr>
              <w:t>Tianfu Energy</w:t>
            </w:r>
            <w:r w:rsidRPr="007F42B6">
              <w:rPr>
                <w:sz w:val="15"/>
                <w:szCs w:val="15"/>
              </w:rPr>
              <w:t xml:space="preserve"> </w:t>
            </w:r>
            <w:r w:rsidRPr="007F42B6">
              <w:rPr>
                <w:rFonts w:ascii="Times New Roman" w:hAnsi="Times New Roman" w:cs="Times New Roman"/>
                <w:sz w:val="15"/>
                <w:szCs w:val="15"/>
                <w:lang w:val="de-DE"/>
              </w:rPr>
              <w:t>Company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  <w:lang w:val="de-DE"/>
              </w:rPr>
              <w:t>(</w:t>
            </w:r>
            <w:r w:rsidRPr="007F42B6">
              <w:rPr>
                <w:rFonts w:ascii="Times New Roman" w:hAnsi="Times New Roman" w:cs="Times New Roman"/>
                <w:sz w:val="15"/>
                <w:szCs w:val="15"/>
                <w:lang w:val="de-DE"/>
              </w:rPr>
              <w:t>TFEC</w:t>
            </w:r>
            <w:r w:rsidRPr="007F42B6">
              <w:rPr>
                <w:rFonts w:ascii="Times New Roman" w:hAnsi="Times New Roman" w:cs="Times New Roman" w:hint="eastAsia"/>
                <w:sz w:val="15"/>
                <w:szCs w:val="15"/>
                <w:lang w:val="de-DE"/>
              </w:rPr>
              <w:t>)</w:t>
            </w:r>
          </w:p>
        </w:tc>
        <w:tc>
          <w:tcPr>
            <w:tcW w:w="1468" w:type="dxa"/>
            <w:tcBorders>
              <w:bottom w:val="single" w:sz="4" w:space="0" w:color="auto"/>
            </w:tcBorders>
            <w:vAlign w:val="center"/>
          </w:tcPr>
          <w:p w14:paraId="291E045C" w14:textId="77777777" w:rsidR="008D5EC3" w:rsidRPr="007F42B6" w:rsidRDefault="008D5EC3" w:rsidP="00793C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F42B6">
              <w:rPr>
                <w:rFonts w:ascii="Times New Roman" w:hAnsi="Times New Roman" w:cs="Times New Roman"/>
                <w:sz w:val="15"/>
                <w:szCs w:val="15"/>
              </w:rPr>
              <w:t>70,396</w:t>
            </w:r>
          </w:p>
        </w:tc>
      </w:tr>
    </w:tbl>
    <w:p w14:paraId="5467436D" w14:textId="77777777" w:rsidR="008D5EC3" w:rsidRPr="00DE39D1" w:rsidRDefault="008D5EC3" w:rsidP="008D5EC3">
      <w:pPr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 w:rsidRPr="00DE39D1">
        <w:rPr>
          <w:rFonts w:ascii="Times New Roman" w:hAnsi="Times New Roman" w:cs="Times New Roman"/>
          <w:sz w:val="18"/>
          <w:szCs w:val="18"/>
          <w:shd w:val="clear" w:color="auto" w:fill="FFFFFF"/>
        </w:rPr>
        <w:t>*</w:t>
      </w:r>
      <w:r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DE39D1">
        <w:rPr>
          <w:rFonts w:ascii="Times New Roman" w:hAnsi="Times New Roman" w:cs="Times New Roman"/>
          <w:sz w:val="18"/>
          <w:szCs w:val="18"/>
          <w:shd w:val="clear" w:color="auto" w:fill="FFFFFF"/>
        </w:rPr>
        <w:t>The province with the highest power generation as indicated in the 2022 annual report of each enterprise shall be its jurisdiction.</w:t>
      </w:r>
    </w:p>
    <w:p w14:paraId="18929221" w14:textId="77777777" w:rsidR="008D5EC3" w:rsidRPr="007F42B6" w:rsidRDefault="008D5EC3" w:rsidP="008D5EC3">
      <w:pPr>
        <w:rPr>
          <w:rFonts w:ascii="Times New Roman" w:hAnsi="Times New Roman" w:cs="Times New Roman"/>
        </w:rPr>
      </w:pPr>
    </w:p>
    <w:p w14:paraId="3F5EA023" w14:textId="77777777" w:rsidR="00311C4E" w:rsidRPr="008D5EC3" w:rsidRDefault="00311C4E"/>
    <w:sectPr w:rsidR="00311C4E" w:rsidRPr="008D5EC3" w:rsidSect="00A00A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CFBFFD" w14:textId="77777777" w:rsidR="00A00AA0" w:rsidRDefault="00A00AA0" w:rsidP="008D5EC3">
      <w:r>
        <w:separator/>
      </w:r>
    </w:p>
  </w:endnote>
  <w:endnote w:type="continuationSeparator" w:id="0">
    <w:p w14:paraId="47161299" w14:textId="77777777" w:rsidR="00A00AA0" w:rsidRDefault="00A00AA0" w:rsidP="008D5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7BD7D2" w14:textId="77777777" w:rsidR="00A00AA0" w:rsidRDefault="00A00AA0" w:rsidP="008D5EC3">
      <w:r>
        <w:separator/>
      </w:r>
    </w:p>
  </w:footnote>
  <w:footnote w:type="continuationSeparator" w:id="0">
    <w:p w14:paraId="3DE6B5CE" w14:textId="77777777" w:rsidR="00A00AA0" w:rsidRDefault="00A00AA0" w:rsidP="008D5E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C4E"/>
    <w:rsid w:val="00311C4E"/>
    <w:rsid w:val="008D5EC3"/>
    <w:rsid w:val="00A00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4F09CEC-70ED-430D-9309-7DBE02AB9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5EC3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5E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8D5E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5EC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8D5EC3"/>
    <w:rPr>
      <w:sz w:val="18"/>
      <w:szCs w:val="18"/>
    </w:rPr>
  </w:style>
  <w:style w:type="table" w:styleId="a7">
    <w:name w:val="Table Grid"/>
    <w:basedOn w:val="a1"/>
    <w:uiPriority w:val="59"/>
    <w:rsid w:val="008D5EC3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Fangrong Ren</dc:creator>
  <cp:keywords/>
  <dc:description/>
  <cp:lastModifiedBy>Fangrong Ren</cp:lastModifiedBy>
  <cp:revision>2</cp:revision>
  <dcterms:created xsi:type="dcterms:W3CDTF">2024-04-16T12:49:00Z</dcterms:created>
  <dcterms:modified xsi:type="dcterms:W3CDTF">2024-04-16T12:51:00Z</dcterms:modified>
</cp:coreProperties>
</file>