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240" w:line="48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Supplementary Material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A ratiometric </w:t>
      </w:r>
      <w:r>
        <w:rPr>
          <w:rFonts w:hint="eastAsia" w:ascii="Times New Roman" w:hAnsi="Times New Roman" w:cs="Times New Roman"/>
          <w:b/>
          <w:sz w:val="28"/>
        </w:rPr>
        <w:t xml:space="preserve">fluorescence </w:t>
      </w:r>
      <w:r>
        <w:rPr>
          <w:rFonts w:ascii="Times New Roman" w:hAnsi="Times New Roman" w:cs="Times New Roman"/>
          <w:b/>
          <w:sz w:val="28"/>
        </w:rPr>
        <w:t xml:space="preserve">probe based on silver nanoclusters and </w:t>
      </w:r>
      <w:r>
        <w:rPr>
          <w:rFonts w:hint="eastAsia" w:ascii="Times New Roman" w:hAnsi="Times New Roman" w:cs="Times New Roman"/>
          <w:b/>
          <w:sz w:val="28"/>
        </w:rPr>
        <w:t xml:space="preserve">CdSe/ZnS </w:t>
      </w:r>
      <w:r>
        <w:rPr>
          <w:rFonts w:ascii="Times New Roman" w:hAnsi="Times New Roman" w:cs="Times New Roman"/>
          <w:b/>
          <w:sz w:val="28"/>
        </w:rPr>
        <w:t>quantum dots for</w:t>
      </w:r>
      <w:r>
        <w:rPr>
          <w:rFonts w:hint="eastAsia" w:ascii="Times New Roman" w:hAnsi="Times New Roman" w:cs="Times New Roman"/>
          <w:b/>
          <w:sz w:val="28"/>
        </w:rPr>
        <w:t xml:space="preserve"> the detection of hydrogen peroxide by </w:t>
      </w:r>
      <w:bookmarkStart w:id="0" w:name="OLE_LINK31"/>
      <w:r>
        <w:rPr>
          <w:rFonts w:hint="eastAsia" w:ascii="Times New Roman" w:hAnsi="Times New Roman" w:cs="Times New Roman"/>
          <w:b/>
          <w:sz w:val="28"/>
        </w:rPr>
        <w:t>aggregation and etching</w:t>
      </w:r>
      <w:bookmarkEnd w:id="0"/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Yuanyuan Zhang</w:t>
      </w:r>
      <w:r>
        <w:rPr>
          <w:rFonts w:hint="eastAsia" w:ascii="Times New Roman" w:hAnsi="Times New Roman" w:cs="Times New Roman"/>
          <w:bCs/>
          <w:sz w:val="24"/>
          <w:szCs w:val="24"/>
          <w:vertAlign w:val="superscript"/>
        </w:rPr>
        <w:t>#</w:t>
      </w:r>
      <w:r>
        <w:rPr>
          <w:rFonts w:hint="eastAsia" w:ascii="Times New Roman" w:hAnsi="Times New Roman" w:cs="Times New Roman"/>
          <w:bCs/>
          <w:sz w:val="24"/>
          <w:szCs w:val="24"/>
        </w:rPr>
        <w:t>, Xin Zhang</w:t>
      </w:r>
      <w:r>
        <w:rPr>
          <w:rFonts w:hint="eastAsia" w:ascii="Times New Roman" w:hAnsi="Times New Roman" w:cs="Times New Roman"/>
          <w:bCs/>
          <w:sz w:val="24"/>
          <w:szCs w:val="24"/>
          <w:vertAlign w:val="superscript"/>
        </w:rPr>
        <w:t>#</w:t>
      </w:r>
      <w:r>
        <w:rPr>
          <w:rFonts w:hint="eastAsia" w:ascii="Times New Roman" w:hAnsi="Times New Roman" w:cs="Times New Roman"/>
          <w:bCs/>
          <w:sz w:val="24"/>
          <w:szCs w:val="24"/>
        </w:rPr>
        <w:t>, Hedan Xu</w:t>
      </w:r>
      <w:r>
        <w:rPr>
          <w:rFonts w:hint="eastAsia" w:ascii="Times New Roman" w:hAnsi="Times New Roman" w:cs="Times New Roman"/>
          <w:bCs/>
          <w:sz w:val="24"/>
          <w:szCs w:val="24"/>
          <w:vertAlign w:val="superscript"/>
        </w:rPr>
        <w:t>#</w:t>
      </w:r>
      <w:r>
        <w:rPr>
          <w:rFonts w:hint="eastAsia" w:ascii="Times New Roman" w:hAnsi="Times New Roman" w:cs="Times New Roman"/>
          <w:bCs/>
          <w:sz w:val="24"/>
          <w:szCs w:val="24"/>
        </w:rPr>
        <w:t>,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>Sitian Zhao,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>Zirui Yang, Zijie Pi,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>Xiaoling Yang, Xiaoling Liao*</w:t>
      </w:r>
    </w:p>
    <w:p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i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i/>
          <w:kern w:val="0"/>
          <w:sz w:val="24"/>
          <w:szCs w:val="20"/>
          <w:lang w:eastAsia="en-US"/>
        </w:rPr>
        <w:t>Chongqing Engineering Laboratory of Nano/Micro Biomedical Detection, Chongqing Key Laboratory of Nano/Micro Composite Materials and Devices, Chongqing University of Science and Technology, No. 20 East road, University town, Chongqing 401331, P. R. China</w:t>
      </w:r>
    </w:p>
    <w:p>
      <w:pPr>
        <w:widowControl/>
        <w:spacing w:after="200" w:line="480" w:lineRule="auto"/>
        <w:rPr>
          <w:rFonts w:ascii="Times New Roman" w:hAnsi="Times New Roman" w:eastAsia="宋体" w:cs="Times New Roman"/>
          <w:kern w:val="0"/>
          <w:sz w:val="24"/>
          <w:szCs w:val="20"/>
        </w:rPr>
      </w:pPr>
      <w:bookmarkStart w:id="3" w:name="_GoBack"/>
      <w:bookmarkEnd w:id="3"/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>
      <w:pPr>
        <w:spacing w:line="276" w:lineRule="auto"/>
        <w:jc w:val="center"/>
      </w:pPr>
    </w:p>
    <w:p>
      <w:pPr>
        <w:spacing w:line="276" w:lineRule="auto"/>
        <w:jc w:val="center"/>
      </w:pPr>
    </w:p>
    <w:p>
      <w:pPr>
        <w:spacing w:line="276" w:lineRule="auto"/>
        <w:jc w:val="center"/>
      </w:pPr>
    </w:p>
    <w:p>
      <w:pPr>
        <w:spacing w:line="276" w:lineRule="auto"/>
        <w:jc w:val="center"/>
      </w:pPr>
      <w:r>
        <w:drawing>
          <wp:inline distT="0" distB="0" distL="114300" distR="114300">
            <wp:extent cx="3918585" cy="3003550"/>
            <wp:effectExtent l="0" t="0" r="5715" b="635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spacing w:line="480" w:lineRule="auto"/>
        <w:ind w:firstLine="0" w:firstLineChars="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Fig.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mission spectra of AgNCs</w:t>
      </w:r>
      <w:r>
        <w:rPr>
          <w:rFonts w:hint="eastAsia"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QDs at </w:t>
      </w:r>
      <w:r>
        <w:rPr>
          <w:rFonts w:hint="eastAsia"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volume ratios of CdSe/ZnS QDs </w:t>
      </w:r>
      <w:r>
        <w:rPr>
          <w:rFonts w:hint="eastAsia"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AgNCs</w:t>
      </w:r>
      <w:r>
        <w:rPr>
          <w:rFonts w:hint="eastAsia" w:ascii="Times New Roman" w:hAnsi="Times New Roman"/>
          <w:sz w:val="24"/>
          <w:szCs w:val="24"/>
        </w:rPr>
        <w:t xml:space="preserve"> is </w:t>
      </w:r>
      <w:r>
        <w:rPr>
          <w:rFonts w:ascii="Times New Roman" w:hAnsi="Times New Roman"/>
          <w:sz w:val="24"/>
          <w:szCs w:val="24"/>
        </w:rPr>
        <w:t>1:3, 1:2.5, 1:2, 1:1.5, to 1:1</w:t>
      </w:r>
      <w:r>
        <w:rPr>
          <w:rFonts w:hint="eastAsia" w:ascii="Times New Roman" w:hAnsi="Times New Roman"/>
          <w:sz w:val="24"/>
          <w:szCs w:val="24"/>
        </w:rPr>
        <w:t>.</w:t>
      </w:r>
    </w:p>
    <w:p>
      <w:pPr>
        <w:pStyle w:val="1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 w:firstLine="0" w:firstLineChars="0"/>
        <w:jc w:val="center"/>
        <w:rPr>
          <w:rFonts w:ascii="Times New Roman" w:hAnsi="Times New Roman"/>
          <w:color w:val="0000FF"/>
          <w:sz w:val="24"/>
        </w:rPr>
      </w:pPr>
    </w:p>
    <w:p>
      <w:pPr>
        <w:pStyle w:val="1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 w:firstLine="0" w:firstLineChars="0"/>
        <w:jc w:val="center"/>
        <w:rPr>
          <w:rFonts w:ascii="Times New Roman" w:hAnsi="Times New Roman"/>
          <w:color w:val="0000FF"/>
          <w:sz w:val="24"/>
        </w:rPr>
      </w:pPr>
      <w:r>
        <w:object>
          <v:shape id="_x0000_i1025" o:spt="75" type="#_x0000_t75" style="height:231.35pt;width:326.5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Origin50.Graph" ShapeID="_x0000_i1025" DrawAspect="Content" ObjectID="_1468075725" r:id="rId5">
            <o:LockedField>false</o:LockedField>
          </o:OLEObject>
        </w:objec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hd w:val="clear" w:color="auto" w:fill="FFFFFF"/>
        </w:rPr>
        <w:t>Fig. S2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The stability of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 aqueous solution stored at low temperature (about 4 °C) for about </w:t>
      </w:r>
      <w:r>
        <w:rPr>
          <w:rFonts w:ascii="Times New Roman" w:hAnsi="Times New Roman"/>
          <w:sz w:val="24"/>
          <w:shd w:val="clear" w:color="auto" w:fill="FFFFFF"/>
        </w:rPr>
        <w:t>50 days.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4"/>
          <w:shd w:val="clear" w:color="auto" w:fill="FFFFFF"/>
        </w:rPr>
      </w:pPr>
    </w:p>
    <w:p>
      <w:pPr>
        <w:spacing w:after="78" w:afterLines="25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drawing>
          <wp:inline distT="0" distB="0" distL="114300" distR="114300">
            <wp:extent cx="5448300" cy="2797810"/>
            <wp:effectExtent l="0" t="0" r="0" b="2540"/>
            <wp:docPr id="2" name="图片 2" descr="Layo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yout1"/>
                    <pic:cNvPicPr>
                      <a:picLocks noChangeAspect="1"/>
                    </pic:cNvPicPr>
                  </pic:nvPicPr>
                  <pic:blipFill>
                    <a:blip r:embed="rId7"/>
                    <a:srcRect l="5760" r="11339" b="3933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4"/>
          <w:shd w:val="clear" w:color="auto" w:fill="FFFFFF"/>
        </w:rPr>
        <w:t>Fig. S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3</w:t>
      </w:r>
      <w:r>
        <w:rPr>
          <w:rFonts w:hint="eastAsia"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sz w:val="24"/>
          <w:shd w:val="clear" w:color="auto" w:fill="FFFFFF"/>
        </w:rPr>
        <w:t xml:space="preserve">XPS survey spectrum of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</w:t>
      </w:r>
      <w:r>
        <w:rPr>
          <w:rFonts w:hint="eastAsia" w:ascii="Times New Roman" w:hAnsi="Times New Roman" w:cs="Times New Roman"/>
          <w:sz w:val="24"/>
          <w:shd w:val="clear" w:color="auto" w:fill="FFFFFF"/>
        </w:rPr>
        <w:t xml:space="preserve"> (A) and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 +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hint="eastAsia" w:ascii="Times New Roman" w:hAnsi="Times New Roman" w:cs="Times New Roman"/>
          <w:sz w:val="24"/>
          <w:shd w:val="clear" w:color="auto" w:fill="FFFFFF"/>
        </w:rPr>
        <w:t xml:space="preserve"> (B).</w:t>
      </w:r>
    </w:p>
    <w:p>
      <w:pPr>
        <w:spacing w:line="480" w:lineRule="auto"/>
        <w:jc w:val="center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575175" cy="3502660"/>
            <wp:effectExtent l="0" t="0" r="6350" b="254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R</w:t>
      </w:r>
      <w:r>
        <w:rPr>
          <w:rFonts w:ascii="Times New Roman" w:hAnsi="Times New Roman" w:eastAsia="宋体" w:cs="Times New Roman"/>
          <w:sz w:val="24"/>
          <w:szCs w:val="24"/>
        </w:rPr>
        <w:t xml:space="preserve">esponse of AgNCs-QDs to different concentrations of </w:t>
      </w:r>
      <w:r>
        <w:rPr>
          <w:rFonts w:hint="eastAsia" w:ascii="Times New Roman" w:hAnsi="Times New Roman" w:eastAsia="宋体" w:cs="Times New Roman"/>
          <w:sz w:val="24"/>
          <w:szCs w:val="24"/>
        </w:rPr>
        <w:t>Ag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+</w:t>
      </w:r>
    </w:p>
    <w:p>
      <w:pPr>
        <w:adjustRightInd w:val="0"/>
        <w:snapToGrid w:val="0"/>
        <w:spacing w:line="360" w:lineRule="auto"/>
        <w:jc w:val="center"/>
        <w:rPr>
          <w:color w:val="0000FF"/>
          <w:sz w:val="24"/>
        </w:rPr>
      </w:pPr>
      <w:r>
        <w:rPr>
          <w:color w:val="0000FF"/>
          <w:sz w:val="24"/>
        </w:rPr>
        <w:object>
          <v:shape id="_x0000_i1026" o:spt="75" type="#_x0000_t75" style="height:271.95pt;width:384.5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Origin50.Graph" ShapeID="_x0000_i1026" DrawAspect="Content" ObjectID="_1468075726" r:id="rId9">
            <o:LockedField>false</o:LockedField>
          </o:OLEObject>
        </w:objec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>Fig. S5</w:t>
      </w:r>
      <w:r>
        <w:rPr>
          <w:rFonts w:ascii="Times New Roman" w:hAnsi="Times New Roman" w:cs="Times New Roman"/>
          <w:kern w:val="0"/>
          <w:sz w:val="24"/>
        </w:rPr>
        <w:t xml:space="preserve"> Fluorescence decay as a function of time of </w:t>
      </w:r>
      <w:bookmarkStart w:id="1" w:name="OLE_LINK1"/>
      <w:bookmarkStart w:id="2" w:name="OLE_LINK2"/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</w:t>
      </w:r>
      <w:bookmarkEnd w:id="1"/>
      <w:bookmarkEnd w:id="2"/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 +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</w:rPr>
        <w:t xml:space="preserve">. (The concentration of 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</w:rPr>
        <w:t xml:space="preserve"> was 1.50 mM).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NewRoman" w:cs="Times New Roman"/>
          <w:b/>
          <w:kern w:val="0"/>
          <w:sz w:val="24"/>
        </w:rPr>
        <w:t>Table S1</w:t>
      </w:r>
      <w:r>
        <w:rPr>
          <w:rFonts w:ascii="Times New Roman" w:hAnsi="Times New Roman" w:eastAsia="TimesNew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fluorescence lifetimes of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 xml:space="preserve">-QDs and </w:t>
      </w:r>
      <w:r>
        <w:rPr>
          <w:rFonts w:hint="eastAsia" w:ascii="Times New Roman" w:hAnsi="Times New Roman" w:cs="Times New Roman"/>
          <w:kern w:val="0"/>
          <w:sz w:val="24"/>
        </w:rPr>
        <w:t>AgNCs</w:t>
      </w:r>
      <w:r>
        <w:rPr>
          <w:rFonts w:ascii="Times New Roman" w:hAnsi="Times New Roman" w:cs="Times New Roman"/>
          <w:sz w:val="24"/>
        </w:rPr>
        <w:t>-QDs +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134"/>
        <w:gridCol w:w="2096"/>
        <w:gridCol w:w="173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Sample</w:t>
            </w:r>
          </w:p>
        </w:tc>
        <w:tc>
          <w:tcPr>
            <w:tcW w:w="213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τ</w:t>
            </w:r>
            <w:r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kern w:val="0"/>
                <w:sz w:val="24"/>
              </w:rPr>
              <w:t>B</w:t>
            </w:r>
            <w:r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1</w:t>
            </w:r>
          </w:p>
        </w:tc>
        <w:tc>
          <w:tcPr>
            <w:tcW w:w="209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τ</w:t>
            </w:r>
            <w:r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kern w:val="0"/>
                <w:sz w:val="24"/>
              </w:rPr>
              <w:t>B</w:t>
            </w:r>
            <w:r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</w:p>
        </w:tc>
        <w:tc>
          <w:tcPr>
            <w:tcW w:w="173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Lifetime (ns)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AgNCs</w:t>
            </w:r>
            <w:r>
              <w:rPr>
                <w:rFonts w:ascii="Times New Roman" w:hAnsi="Times New Roman" w:cs="Times New Roman"/>
                <w:sz w:val="24"/>
              </w:rPr>
              <w:t>-QDs</w:t>
            </w:r>
          </w:p>
        </w:tc>
        <w:tc>
          <w:tcPr>
            <w:tcW w:w="2134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" w:cs="Times New Roman"/>
                <w:kern w:val="0"/>
                <w:sz w:val="24"/>
              </w:rPr>
              <w:t>0.8234, 36.75%</w:t>
            </w:r>
          </w:p>
        </w:tc>
        <w:tc>
          <w:tcPr>
            <w:tcW w:w="2096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3.9988, 63.25%</w:t>
            </w:r>
          </w:p>
        </w:tc>
        <w:tc>
          <w:tcPr>
            <w:tcW w:w="1739" w:type="dxa"/>
            <w:tcBorders>
              <w:top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2.83 ± 0.07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AgNCs</w:t>
            </w:r>
            <w:r>
              <w:rPr>
                <w:rFonts w:ascii="Times New Roman" w:hAnsi="Times New Roman" w:cs="Times New Roman"/>
                <w:sz w:val="24"/>
              </w:rPr>
              <w:t>-QDs + H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2134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TimesNew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0.9469, 34.86%</w:t>
            </w:r>
          </w:p>
        </w:tc>
        <w:tc>
          <w:tcPr>
            <w:tcW w:w="209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4.3552, 65.14%</w:t>
            </w:r>
          </w:p>
        </w:tc>
        <w:tc>
          <w:tcPr>
            <w:tcW w:w="173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3.17 ± 0.07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/>
          <w:kern w:val="0"/>
          <w:sz w:val="24"/>
        </w:rPr>
        <w:t>B</w:t>
      </w:r>
      <w:r>
        <w:rPr>
          <w:rFonts w:ascii="Times New Roman" w:hAnsi="Times New Roman" w:cs="Times New Roman"/>
          <w:kern w:val="0"/>
          <w:sz w:val="24"/>
          <w:vertAlign w:val="subscript"/>
        </w:rPr>
        <w:t>1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>
        <w:rPr>
          <w:rFonts w:ascii="Times New Roman" w:hAnsi="Times New Roman" w:cs="Times New Roman"/>
          <w:i/>
          <w:kern w:val="0"/>
          <w:sz w:val="24"/>
        </w:rPr>
        <w:t>B</w:t>
      </w:r>
      <w:r>
        <w:rPr>
          <w:rFonts w:ascii="Times New Roman" w:hAnsi="Times New Roman" w:cs="Times New Roman"/>
          <w:kern w:val="0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</w:rPr>
        <w:t xml:space="preserve"> are the relative amplitude of τ</w:t>
      </w:r>
      <w:r>
        <w:rPr>
          <w:rFonts w:ascii="Times New Roman" w:hAnsi="Times New Roman" w:cs="Times New Roman"/>
          <w:kern w:val="0"/>
          <w:sz w:val="24"/>
          <w:vertAlign w:val="subscript"/>
        </w:rPr>
        <w:t>1</w:t>
      </w:r>
      <w:r>
        <w:rPr>
          <w:rFonts w:ascii="Times New Roman" w:hAnsi="Times New Roman" w:cs="Times New Roman"/>
          <w:kern w:val="0"/>
          <w:sz w:val="24"/>
        </w:rPr>
        <w:t>, τ</w:t>
      </w:r>
      <w:r>
        <w:rPr>
          <w:rFonts w:ascii="Times New Roman" w:hAnsi="Times New Roman" w:cs="Times New Roman"/>
          <w:kern w:val="0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</w:rPr>
        <w:t>.</w:t>
      </w:r>
    </w:p>
    <w:p>
      <w:pPr>
        <w:spacing w:line="480" w:lineRule="auto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imesNewRoman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AB7E18"/>
    <w:rsid w:val="000362E7"/>
    <w:rsid w:val="0009099B"/>
    <w:rsid w:val="00095CC4"/>
    <w:rsid w:val="000A2F72"/>
    <w:rsid w:val="000A3F37"/>
    <w:rsid w:val="000A637F"/>
    <w:rsid w:val="000D288D"/>
    <w:rsid w:val="000F4B98"/>
    <w:rsid w:val="00104787"/>
    <w:rsid w:val="00130C56"/>
    <w:rsid w:val="00142BD4"/>
    <w:rsid w:val="00171EB7"/>
    <w:rsid w:val="00184F9E"/>
    <w:rsid w:val="00186FD5"/>
    <w:rsid w:val="001B1FA2"/>
    <w:rsid w:val="001B7410"/>
    <w:rsid w:val="0020627B"/>
    <w:rsid w:val="002070BA"/>
    <w:rsid w:val="0024077E"/>
    <w:rsid w:val="002B1637"/>
    <w:rsid w:val="002E48A8"/>
    <w:rsid w:val="002F2AF2"/>
    <w:rsid w:val="00316174"/>
    <w:rsid w:val="00316884"/>
    <w:rsid w:val="00334099"/>
    <w:rsid w:val="003764E9"/>
    <w:rsid w:val="003B7442"/>
    <w:rsid w:val="003D48DB"/>
    <w:rsid w:val="00402874"/>
    <w:rsid w:val="004102E1"/>
    <w:rsid w:val="004265B9"/>
    <w:rsid w:val="00426A41"/>
    <w:rsid w:val="00427923"/>
    <w:rsid w:val="004317C8"/>
    <w:rsid w:val="004500B4"/>
    <w:rsid w:val="00471EF6"/>
    <w:rsid w:val="004A6636"/>
    <w:rsid w:val="004C0878"/>
    <w:rsid w:val="004E1A2A"/>
    <w:rsid w:val="004E5A98"/>
    <w:rsid w:val="0054499D"/>
    <w:rsid w:val="00545F52"/>
    <w:rsid w:val="00582356"/>
    <w:rsid w:val="0058761A"/>
    <w:rsid w:val="005949E3"/>
    <w:rsid w:val="005B1016"/>
    <w:rsid w:val="005D4B1D"/>
    <w:rsid w:val="005E381D"/>
    <w:rsid w:val="006067DA"/>
    <w:rsid w:val="006367D9"/>
    <w:rsid w:val="00640449"/>
    <w:rsid w:val="00682A98"/>
    <w:rsid w:val="006936E7"/>
    <w:rsid w:val="006964CE"/>
    <w:rsid w:val="006C1B9D"/>
    <w:rsid w:val="006E76A0"/>
    <w:rsid w:val="00721354"/>
    <w:rsid w:val="00725B48"/>
    <w:rsid w:val="0072623C"/>
    <w:rsid w:val="0074232B"/>
    <w:rsid w:val="00757DCC"/>
    <w:rsid w:val="0076290C"/>
    <w:rsid w:val="00771660"/>
    <w:rsid w:val="007C2A84"/>
    <w:rsid w:val="007C313C"/>
    <w:rsid w:val="007F3213"/>
    <w:rsid w:val="007F35BB"/>
    <w:rsid w:val="0080168C"/>
    <w:rsid w:val="00816674"/>
    <w:rsid w:val="00820598"/>
    <w:rsid w:val="00823E6A"/>
    <w:rsid w:val="00824585"/>
    <w:rsid w:val="00825751"/>
    <w:rsid w:val="008643C9"/>
    <w:rsid w:val="00872889"/>
    <w:rsid w:val="00877ED8"/>
    <w:rsid w:val="00894CFA"/>
    <w:rsid w:val="00897A47"/>
    <w:rsid w:val="008A6B18"/>
    <w:rsid w:val="008C414A"/>
    <w:rsid w:val="00912296"/>
    <w:rsid w:val="00954ABD"/>
    <w:rsid w:val="00986F91"/>
    <w:rsid w:val="009C4414"/>
    <w:rsid w:val="009D22F3"/>
    <w:rsid w:val="009F4737"/>
    <w:rsid w:val="00A0046C"/>
    <w:rsid w:val="00A176BE"/>
    <w:rsid w:val="00A368D6"/>
    <w:rsid w:val="00A437F9"/>
    <w:rsid w:val="00A4555D"/>
    <w:rsid w:val="00A51310"/>
    <w:rsid w:val="00A6558D"/>
    <w:rsid w:val="00A80E1B"/>
    <w:rsid w:val="00AB2CAE"/>
    <w:rsid w:val="00AB7E18"/>
    <w:rsid w:val="00AC619E"/>
    <w:rsid w:val="00B24392"/>
    <w:rsid w:val="00B43B23"/>
    <w:rsid w:val="00B50F1B"/>
    <w:rsid w:val="00B57F89"/>
    <w:rsid w:val="00BA7ADC"/>
    <w:rsid w:val="00C7107E"/>
    <w:rsid w:val="00C8090C"/>
    <w:rsid w:val="00C80FB0"/>
    <w:rsid w:val="00C81789"/>
    <w:rsid w:val="00C82B79"/>
    <w:rsid w:val="00C83F4C"/>
    <w:rsid w:val="00C8729C"/>
    <w:rsid w:val="00C879C8"/>
    <w:rsid w:val="00C96A1C"/>
    <w:rsid w:val="00CA0540"/>
    <w:rsid w:val="00CD6BAF"/>
    <w:rsid w:val="00D471AD"/>
    <w:rsid w:val="00D9424E"/>
    <w:rsid w:val="00DE2F07"/>
    <w:rsid w:val="00DF59C4"/>
    <w:rsid w:val="00E037CC"/>
    <w:rsid w:val="00E07A51"/>
    <w:rsid w:val="00E41A3C"/>
    <w:rsid w:val="00E448D7"/>
    <w:rsid w:val="00E45CE1"/>
    <w:rsid w:val="00E72B6D"/>
    <w:rsid w:val="00E92B23"/>
    <w:rsid w:val="00EB51E4"/>
    <w:rsid w:val="00EC31AF"/>
    <w:rsid w:val="00ED53BD"/>
    <w:rsid w:val="00EE2B7C"/>
    <w:rsid w:val="00EF213F"/>
    <w:rsid w:val="00EF7674"/>
    <w:rsid w:val="00F23FEB"/>
    <w:rsid w:val="00F30C27"/>
    <w:rsid w:val="00F36BFE"/>
    <w:rsid w:val="00F53398"/>
    <w:rsid w:val="00F654E3"/>
    <w:rsid w:val="00F72E0C"/>
    <w:rsid w:val="00FC3D95"/>
    <w:rsid w:val="013243C6"/>
    <w:rsid w:val="163570F1"/>
    <w:rsid w:val="1A7F777A"/>
    <w:rsid w:val="3AB90BD0"/>
    <w:rsid w:val="4C8048EF"/>
    <w:rsid w:val="4CAB5EF9"/>
    <w:rsid w:val="4FF0458D"/>
    <w:rsid w:val="66330AB8"/>
    <w:rsid w:val="7F39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6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2">
    <w:name w:val="EndNote Bibliography"/>
    <w:basedOn w:val="1"/>
    <w:link w:val="13"/>
    <w:autoRedefine/>
    <w:qFormat/>
    <w:uiPriority w:val="0"/>
    <w:pPr>
      <w:jc w:val="center"/>
    </w:pPr>
    <w:rPr>
      <w:rFonts w:ascii="Calibri" w:hAnsi="Calibri" w:eastAsia="宋体" w:cs="Calibri"/>
      <w:sz w:val="20"/>
    </w:rPr>
  </w:style>
  <w:style w:type="character" w:customStyle="1" w:styleId="13">
    <w:name w:val="EndNote Bibliography Char"/>
    <w:link w:val="12"/>
    <w:autoRedefine/>
    <w:qFormat/>
    <w:uiPriority w:val="0"/>
    <w:rPr>
      <w:rFonts w:ascii="Calibri" w:hAnsi="Calibri" w:eastAsia="宋体" w:cs="Calibri"/>
      <w:sz w:val="20"/>
    </w:rPr>
  </w:style>
  <w:style w:type="paragraph" w:customStyle="1" w:styleId="14">
    <w:name w:val="TA_Main_Text"/>
    <w:basedOn w:val="1"/>
    <w:autoRedefine/>
    <w:qFormat/>
    <w:uiPriority w:val="0"/>
    <w:pPr>
      <w:widowControl/>
      <w:spacing w:line="480" w:lineRule="auto"/>
      <w:ind w:firstLine="202"/>
    </w:pPr>
    <w:rPr>
      <w:rFonts w:ascii="Times" w:hAnsi="Times" w:eastAsia="宋体" w:cs="Times New Roman"/>
      <w:kern w:val="0"/>
      <w:sz w:val="24"/>
      <w:szCs w:val="20"/>
      <w:lang w:eastAsia="en-US"/>
    </w:rPr>
  </w:style>
  <w:style w:type="paragraph" w:styleId="15">
    <w:name w:val="List Paragraph"/>
    <w:basedOn w:val="1"/>
    <w:link w:val="17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6">
    <w:name w:val="HTML 预设格式 字符"/>
    <w:basedOn w:val="7"/>
    <w:link w:val="5"/>
    <w:autoRedefine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列出段落 字符"/>
    <w:basedOn w:val="7"/>
    <w:link w:val="15"/>
    <w:autoRedefine/>
    <w:qFormat/>
    <w:uiPriority w:val="34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207</Words>
  <Characters>1181</Characters>
  <Lines>9</Lines>
  <Paragraphs>2</Paragraphs>
  <TotalTime>29</TotalTime>
  <ScaleCrop>false</ScaleCrop>
  <LinksUpToDate>false</LinksUpToDate>
  <CharactersWithSpaces>1386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2023-12-20T04:49:00Z</dcterms:created>
  <dc:creator>张园园</dc:creator>
  <cp:lastModifiedBy>ZhYY</cp:lastModifiedBy>
  <dcterms:modified xsi:type="dcterms:W3CDTF">2024-04-10T01:40:46Z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CDD76CDE08BD46D1B45210796C39E9E5_12</vt:lpwstr>
  </property>
</Properties>
</file>