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81D17" w14:textId="77777777" w:rsidR="004F6EA4" w:rsidRPr="00AE161B" w:rsidRDefault="004F6EA4" w:rsidP="004F6EA4">
      <w:pPr>
        <w:pStyle w:val="Caption"/>
      </w:pPr>
      <w:bookmarkStart w:id="0" w:name="_Ref126652483"/>
      <w:bookmarkStart w:id="1" w:name="_Toc136003940"/>
      <w:bookmarkStart w:id="2" w:name="_Ref126652037"/>
      <w:bookmarkStart w:id="3" w:name="_Toc136003939"/>
      <w:r w:rsidRPr="000B6374">
        <w:rPr>
          <w:b/>
          <w:bCs/>
        </w:rPr>
        <w:t>Graph 1 -</w:t>
      </w:r>
      <w:bookmarkEnd w:id="2"/>
      <w:r>
        <w:t xml:space="preserve"> </w:t>
      </w:r>
      <w:bookmarkEnd w:id="3"/>
      <w:r w:rsidRPr="000B6374">
        <w:t>Distribution of female bodily injury examinations at IML between January and December 2019 and 2021 (n=5033)</w:t>
      </w:r>
    </w:p>
    <w:p w14:paraId="71B0F0FD" w14:textId="77777777" w:rsidR="004F6EA4" w:rsidRDefault="004F6EA4" w:rsidP="004F6EA4">
      <w:pPr>
        <w:keepNext/>
        <w:jc w:val="center"/>
        <w:rPr>
          <w:sz w:val="20"/>
          <w:szCs w:val="16"/>
        </w:rPr>
      </w:pPr>
      <w:r>
        <w:rPr>
          <w:noProof/>
        </w:rPr>
        <w:drawing>
          <wp:inline distT="0" distB="0" distL="0" distR="0" wp14:anchorId="0D0190AD" wp14:editId="10180250">
            <wp:extent cx="5760000" cy="2759925"/>
            <wp:effectExtent l="0" t="0" r="12700" b="254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D09AC82-2EB6-343F-4E5E-8306BD3F16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C1A20DC" w14:textId="77777777" w:rsidR="004F6EA4" w:rsidRPr="000B6374" w:rsidRDefault="004F6EA4" w:rsidP="004F6EA4">
      <w:pPr>
        <w:keepNext/>
        <w:rPr>
          <w:rFonts w:ascii="Arial" w:hAnsi="Arial" w:cs="Arial"/>
          <w:sz w:val="20"/>
          <w:szCs w:val="16"/>
        </w:rPr>
      </w:pPr>
      <w:r w:rsidRPr="000B6374">
        <w:rPr>
          <w:rFonts w:ascii="Arial" w:hAnsi="Arial" w:cs="Arial"/>
          <w:sz w:val="20"/>
          <w:szCs w:val="16"/>
        </w:rPr>
        <w:t>Source: prepared by the author (2022).</w:t>
      </w:r>
    </w:p>
    <w:p w14:paraId="016B50A6" w14:textId="77777777" w:rsidR="004F6EA4" w:rsidRPr="008349B2" w:rsidRDefault="004F6EA4" w:rsidP="004F6EA4">
      <w:pPr>
        <w:keepNext/>
        <w:rPr>
          <w:rFonts w:cs="Arial"/>
        </w:rPr>
      </w:pPr>
      <w:r w:rsidRPr="000B6374">
        <w:rPr>
          <w:rFonts w:ascii="Arial" w:hAnsi="Arial" w:cs="Arial"/>
          <w:sz w:val="20"/>
          <w:szCs w:val="16"/>
        </w:rPr>
        <w:t>* For 2020, in the month of November, the reports carried out up to November 10th were collected</w:t>
      </w:r>
      <w:r>
        <w:rPr>
          <w:rFonts w:ascii="Arial" w:hAnsi="Arial" w:cs="Arial"/>
          <w:sz w:val="20"/>
          <w:szCs w:val="16"/>
        </w:rPr>
        <w:t>,</w:t>
      </w:r>
      <w:r w:rsidRPr="000B6374">
        <w:rPr>
          <w:rFonts w:ascii="Arial" w:hAnsi="Arial" w:cs="Arial"/>
          <w:sz w:val="20"/>
          <w:szCs w:val="16"/>
        </w:rPr>
        <w:t xml:space="preserve"> and in December</w:t>
      </w:r>
      <w:r>
        <w:rPr>
          <w:rFonts w:ascii="Arial" w:hAnsi="Arial" w:cs="Arial"/>
          <w:sz w:val="20"/>
          <w:szCs w:val="16"/>
        </w:rPr>
        <w:t>,</w:t>
      </w:r>
      <w:r w:rsidRPr="000B6374">
        <w:rPr>
          <w:rFonts w:ascii="Arial" w:hAnsi="Arial" w:cs="Arial"/>
          <w:sz w:val="20"/>
          <w:szCs w:val="16"/>
        </w:rPr>
        <w:t xml:space="preserve"> there were no collections.</w:t>
      </w:r>
    </w:p>
    <w:p w14:paraId="22011377" w14:textId="77777777" w:rsidR="004F6EA4" w:rsidRDefault="004F6EA4" w:rsidP="004F6EA4">
      <w:pPr>
        <w:pStyle w:val="Caption"/>
        <w:rPr>
          <w:b/>
          <w:bCs/>
        </w:rPr>
      </w:pPr>
    </w:p>
    <w:p w14:paraId="2BC95C56" w14:textId="77777777" w:rsidR="004F6EA4" w:rsidRDefault="004F6EA4" w:rsidP="004F6EA4">
      <w:pPr>
        <w:pStyle w:val="Caption"/>
        <w:rPr>
          <w:b/>
          <w:bCs/>
        </w:rPr>
      </w:pPr>
    </w:p>
    <w:p w14:paraId="31EC78A0" w14:textId="1E5486F0" w:rsidR="004F6EA4" w:rsidRPr="00834683" w:rsidRDefault="004F6EA4" w:rsidP="004F6EA4">
      <w:pPr>
        <w:pStyle w:val="Caption"/>
      </w:pPr>
      <w:r w:rsidRPr="00AE161B">
        <w:rPr>
          <w:b/>
          <w:bCs/>
        </w:rPr>
        <w:t xml:space="preserve">Graph </w:t>
      </w:r>
      <w:r w:rsidRPr="00AE161B">
        <w:rPr>
          <w:b/>
          <w:bCs/>
        </w:rPr>
        <w:fldChar w:fldCharType="begin"/>
      </w:r>
      <w:r w:rsidRPr="00AE161B">
        <w:rPr>
          <w:b/>
          <w:bCs/>
        </w:rPr>
        <w:instrText xml:space="preserve"> SEQ Gráfico_ \* ARABIC </w:instrText>
      </w:r>
      <w:r w:rsidRPr="00AE161B">
        <w:rPr>
          <w:b/>
          <w:bCs/>
        </w:rPr>
        <w:fldChar w:fldCharType="separate"/>
      </w:r>
      <w:r>
        <w:rPr>
          <w:b/>
          <w:bCs/>
          <w:noProof/>
        </w:rPr>
        <w:t>2</w:t>
      </w:r>
      <w:r w:rsidRPr="00AE161B">
        <w:rPr>
          <w:b/>
          <w:bCs/>
        </w:rPr>
        <w:fldChar w:fldCharType="end"/>
      </w:r>
      <w:bookmarkEnd w:id="0"/>
      <w:r w:rsidRPr="00765D12">
        <w:t xml:space="preserve"> </w:t>
      </w:r>
      <w:bookmarkEnd w:id="1"/>
      <w:r w:rsidRPr="00D0404C">
        <w:t>IML Curitiba, 2019-2021: Reporting locations sought by women who underwent a bodily injury examination</w:t>
      </w:r>
      <w:r>
        <w:t xml:space="preserve"> </w:t>
      </w:r>
      <w:r w:rsidRPr="00765D12">
        <w:t>(n=5033)</w:t>
      </w:r>
    </w:p>
    <w:p w14:paraId="57DC721B" w14:textId="77777777" w:rsidR="004F6EA4" w:rsidRDefault="004F6EA4" w:rsidP="004F6EA4">
      <w:pPr>
        <w:keepNext/>
      </w:pPr>
      <w:r>
        <w:rPr>
          <w:noProof/>
        </w:rPr>
        <w:drawing>
          <wp:inline distT="0" distB="0" distL="0" distR="0" wp14:anchorId="4C9DD09B" wp14:editId="5D58BB00">
            <wp:extent cx="5760000" cy="2743200"/>
            <wp:effectExtent l="0" t="0" r="1270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21815536-C696-BF7B-53C1-4F23C09F9C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F1269CC" w14:textId="77777777" w:rsidR="004F6EA4" w:rsidRDefault="004F6EA4" w:rsidP="004F6EA4">
      <w:pPr>
        <w:pStyle w:val="Caption"/>
        <w:rPr>
          <w:rFonts w:cs="Arial"/>
          <w:color w:val="auto"/>
        </w:rPr>
      </w:pPr>
      <w:r w:rsidRPr="00765D12">
        <w:rPr>
          <w:rFonts w:cs="Arial"/>
          <w:color w:val="auto"/>
        </w:rPr>
        <w:t>Source: prepared by the author (2022).</w:t>
      </w:r>
    </w:p>
    <w:p w14:paraId="407197D8" w14:textId="77777777" w:rsidR="004F6EA4" w:rsidRPr="00BC5B3E" w:rsidRDefault="004F6EA4" w:rsidP="004F6EA4">
      <w:pPr>
        <w:pStyle w:val="Caption"/>
        <w:rPr>
          <w:lang w:val="pt-BR"/>
        </w:rPr>
      </w:pPr>
      <w:r w:rsidRPr="00BC5B3E">
        <w:rPr>
          <w:lang w:val="pt-BR"/>
        </w:rPr>
        <w:t xml:space="preserve">* </w:t>
      </w:r>
      <w:r w:rsidRPr="00BC5B3E">
        <w:rPr>
          <w:i/>
          <w:iCs/>
          <w:lang w:val="pt-BR"/>
        </w:rPr>
        <w:t>NUCRIA - Núcleo de Proteção à Criança e ao Adolescente Vítimas de Crimes.</w:t>
      </w:r>
    </w:p>
    <w:p w14:paraId="60DB000D" w14:textId="77777777" w:rsidR="004F6EA4" w:rsidRPr="00BC5B3E" w:rsidRDefault="004F6EA4" w:rsidP="004F6EA4">
      <w:pPr>
        <w:jc w:val="both"/>
        <w:rPr>
          <w:lang w:val="pt-BR"/>
        </w:rPr>
      </w:pPr>
    </w:p>
    <w:p w14:paraId="5BC67A2D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A4"/>
    <w:rsid w:val="004F6EA4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23E35"/>
  <w15:chartTrackingRefBased/>
  <w15:docId w15:val="{3E0D038B-2FF5-4E78-BBE0-23A2FAE5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E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Legenda FIGURAS"/>
    <w:basedOn w:val="Normal"/>
    <w:next w:val="Normal"/>
    <w:autoRedefine/>
    <w:qFormat/>
    <w:rsid w:val="004F6EA4"/>
    <w:pPr>
      <w:ind w:left="851" w:hanging="851"/>
    </w:pPr>
    <w:rPr>
      <w:rFonts w:ascii="Arial" w:hAnsi="Arial"/>
      <w:color w:val="000000" w:themeColor="text1"/>
      <w:sz w:val="20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pucpredu-my.sharepoint.com/personal/adelin_joly_pucpr_edu_br/Documents/PUCPR/Mestrado/PROJETO/PROJETO%20&#193;DELIN/4.%20Qualifica&#231;&#227;o/PLANILHAS%20QUALIFICA&#199;&#195;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pucpredu-my.sharepoint.com/personal/adelin_joly_pucpr_edu_br/Documents/PUCPR/Mestrado/PROJETO/PROJETO%20&#193;DELIN/4.%20Qualifica&#231;&#227;o/PLANILHAS%20QUALIFICA&#199;&#195;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TEND_MESES!$B$1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TEND_MESES!$A$2:$A$13</c:f>
              <c:strCache>
                <c:ptCount val="12"/>
                <c:pt idx="0">
                  <c:v>Jan.</c:v>
                </c:pt>
                <c:pt idx="1">
                  <c:v>Feb.</c:v>
                </c:pt>
                <c:pt idx="2">
                  <c:v>Mar.</c:v>
                </c:pt>
                <c:pt idx="3">
                  <c:v>Apr.</c:v>
                </c:pt>
                <c:pt idx="4">
                  <c:v>May.</c:v>
                </c:pt>
                <c:pt idx="5">
                  <c:v>June.</c:v>
                </c:pt>
                <c:pt idx="6">
                  <c:v>July.</c:v>
                </c:pt>
                <c:pt idx="7">
                  <c:v>Aug.</c:v>
                </c:pt>
                <c:pt idx="8">
                  <c:v>Sept.</c:v>
                </c:pt>
                <c:pt idx="9">
                  <c:v>Oct.</c:v>
                </c:pt>
                <c:pt idx="10">
                  <c:v>Nov.</c:v>
                </c:pt>
                <c:pt idx="11">
                  <c:v>Dec.</c:v>
                </c:pt>
              </c:strCache>
            </c:strRef>
          </c:cat>
          <c:val>
            <c:numRef>
              <c:f>TEND_MESES!$B$2:$B$13</c:f>
              <c:numCache>
                <c:formatCode>General</c:formatCode>
                <c:ptCount val="12"/>
                <c:pt idx="0">
                  <c:v>262</c:v>
                </c:pt>
                <c:pt idx="1">
                  <c:v>210</c:v>
                </c:pt>
                <c:pt idx="2">
                  <c:v>223</c:v>
                </c:pt>
                <c:pt idx="3">
                  <c:v>225</c:v>
                </c:pt>
                <c:pt idx="4">
                  <c:v>188</c:v>
                </c:pt>
                <c:pt idx="5">
                  <c:v>171</c:v>
                </c:pt>
                <c:pt idx="6">
                  <c:v>207</c:v>
                </c:pt>
                <c:pt idx="7">
                  <c:v>219</c:v>
                </c:pt>
                <c:pt idx="8">
                  <c:v>203</c:v>
                </c:pt>
                <c:pt idx="9">
                  <c:v>250</c:v>
                </c:pt>
                <c:pt idx="10">
                  <c:v>217</c:v>
                </c:pt>
                <c:pt idx="11">
                  <c:v>185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949-4D99-815B-016E26ABE70F}"/>
            </c:ext>
          </c:extLst>
        </c:ser>
        <c:ser>
          <c:idx val="1"/>
          <c:order val="1"/>
          <c:tx>
            <c:strRef>
              <c:f>TEND_MESES!$C$1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dPt>
            <c:idx val="11"/>
            <c:marker>
              <c:symbol val="none"/>
            </c:marker>
            <c:bubble3D val="0"/>
            <c:spPr>
              <a:ln w="28575" cap="rnd">
                <a:solidFill>
                  <a:schemeClr val="dk1">
                    <a:tint val="5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2-0949-4D99-815B-016E26ABE70F}"/>
              </c:ext>
            </c:extLst>
          </c:dPt>
          <c:dLbls>
            <c:dLbl>
              <c:idx val="10"/>
              <c:layout>
                <c:manualLayout>
                  <c:x val="2.9897038779744593E-2"/>
                  <c:y val="1.430422037098092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*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666666666666662E-2"/>
                      <c:h val="7.400481189851268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0949-4D99-815B-016E26ABE7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TEND_MESES!$A$2:$A$13</c:f>
              <c:strCache>
                <c:ptCount val="12"/>
                <c:pt idx="0">
                  <c:v>Jan.</c:v>
                </c:pt>
                <c:pt idx="1">
                  <c:v>Feb.</c:v>
                </c:pt>
                <c:pt idx="2">
                  <c:v>Mar.</c:v>
                </c:pt>
                <c:pt idx="3">
                  <c:v>Apr.</c:v>
                </c:pt>
                <c:pt idx="4">
                  <c:v>May.</c:v>
                </c:pt>
                <c:pt idx="5">
                  <c:v>June.</c:v>
                </c:pt>
                <c:pt idx="6">
                  <c:v>July.</c:v>
                </c:pt>
                <c:pt idx="7">
                  <c:v>Aug.</c:v>
                </c:pt>
                <c:pt idx="8">
                  <c:v>Sept.</c:v>
                </c:pt>
                <c:pt idx="9">
                  <c:v>Oct.</c:v>
                </c:pt>
                <c:pt idx="10">
                  <c:v>Nov.</c:v>
                </c:pt>
                <c:pt idx="11">
                  <c:v>Dec.</c:v>
                </c:pt>
              </c:strCache>
            </c:strRef>
          </c:cat>
          <c:val>
            <c:numRef>
              <c:f>TEND_MESES!$C$2:$C$13</c:f>
              <c:numCache>
                <c:formatCode>General</c:formatCode>
                <c:ptCount val="12"/>
                <c:pt idx="0">
                  <c:v>181</c:v>
                </c:pt>
                <c:pt idx="1">
                  <c:v>179</c:v>
                </c:pt>
                <c:pt idx="2">
                  <c:v>134</c:v>
                </c:pt>
                <c:pt idx="3">
                  <c:v>4</c:v>
                </c:pt>
                <c:pt idx="4">
                  <c:v>3</c:v>
                </c:pt>
                <c:pt idx="5">
                  <c:v>0</c:v>
                </c:pt>
                <c:pt idx="6">
                  <c:v>75</c:v>
                </c:pt>
                <c:pt idx="7">
                  <c:v>107</c:v>
                </c:pt>
                <c:pt idx="8">
                  <c:v>120</c:v>
                </c:pt>
                <c:pt idx="9">
                  <c:v>138</c:v>
                </c:pt>
                <c:pt idx="10">
                  <c:v>35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949-4D99-815B-016E26ABE70F}"/>
            </c:ext>
          </c:extLst>
        </c:ser>
        <c:ser>
          <c:idx val="2"/>
          <c:order val="2"/>
          <c:tx>
            <c:strRef>
              <c:f>TEND_MESES!$D$1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TEND_MESES!$A$2:$A$13</c:f>
              <c:strCache>
                <c:ptCount val="12"/>
                <c:pt idx="0">
                  <c:v>Jan.</c:v>
                </c:pt>
                <c:pt idx="1">
                  <c:v>Feb.</c:v>
                </c:pt>
                <c:pt idx="2">
                  <c:v>Mar.</c:v>
                </c:pt>
                <c:pt idx="3">
                  <c:v>Apr.</c:v>
                </c:pt>
                <c:pt idx="4">
                  <c:v>May.</c:v>
                </c:pt>
                <c:pt idx="5">
                  <c:v>June.</c:v>
                </c:pt>
                <c:pt idx="6">
                  <c:v>July.</c:v>
                </c:pt>
                <c:pt idx="7">
                  <c:v>Aug.</c:v>
                </c:pt>
                <c:pt idx="8">
                  <c:v>Sept.</c:v>
                </c:pt>
                <c:pt idx="9">
                  <c:v>Oct.</c:v>
                </c:pt>
                <c:pt idx="10">
                  <c:v>Nov.</c:v>
                </c:pt>
                <c:pt idx="11">
                  <c:v>Dec.</c:v>
                </c:pt>
              </c:strCache>
            </c:strRef>
          </c:cat>
          <c:val>
            <c:numRef>
              <c:f>TEND_MESES!$D$2:$D$13</c:f>
              <c:numCache>
                <c:formatCode>General</c:formatCode>
                <c:ptCount val="12"/>
                <c:pt idx="0">
                  <c:v>125</c:v>
                </c:pt>
                <c:pt idx="1">
                  <c:v>142</c:v>
                </c:pt>
                <c:pt idx="2">
                  <c:v>101</c:v>
                </c:pt>
                <c:pt idx="3">
                  <c:v>106</c:v>
                </c:pt>
                <c:pt idx="4">
                  <c:v>108</c:v>
                </c:pt>
                <c:pt idx="5">
                  <c:v>124</c:v>
                </c:pt>
                <c:pt idx="6">
                  <c:v>129</c:v>
                </c:pt>
                <c:pt idx="7">
                  <c:v>153</c:v>
                </c:pt>
                <c:pt idx="8">
                  <c:v>110</c:v>
                </c:pt>
                <c:pt idx="9">
                  <c:v>120</c:v>
                </c:pt>
                <c:pt idx="10">
                  <c:v>159</c:v>
                </c:pt>
                <c:pt idx="11">
                  <c:v>120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0949-4D99-815B-016E26ABE7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32626976"/>
        <c:axId val="632623040"/>
      </c:lineChart>
      <c:catAx>
        <c:axId val="632626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32623040"/>
        <c:crosses val="autoZero"/>
        <c:auto val="1"/>
        <c:lblAlgn val="ctr"/>
        <c:lblOffset val="100"/>
        <c:noMultiLvlLbl val="0"/>
      </c:catAx>
      <c:valAx>
        <c:axId val="632623040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32626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12700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bg2">
                  <a:lumMod val="2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304-4E0A-88FF-9B4A9AF0155B}"/>
              </c:ext>
            </c:extLst>
          </c:dPt>
          <c:dPt>
            <c:idx val="1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304-4E0A-88FF-9B4A9AF0155B}"/>
              </c:ext>
            </c:extLst>
          </c:dPt>
          <c:dPt>
            <c:idx val="2"/>
            <c:bubble3D val="0"/>
            <c:spPr>
              <a:pattFill prst="pct50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304-4E0A-88FF-9B4A9AF0155B}"/>
              </c:ext>
            </c:extLst>
          </c:dPt>
          <c:dPt>
            <c:idx val="3"/>
            <c:bubble3D val="0"/>
            <c:spPr>
              <a:solidFill>
                <a:schemeClr val="bg1">
                  <a:lumMod val="8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304-4E0A-88FF-9B4A9AF0155B}"/>
              </c:ext>
            </c:extLst>
          </c:dPt>
          <c:dPt>
            <c:idx val="4"/>
            <c:bubble3D val="0"/>
            <c:spPr>
              <a:pattFill prst="smGrid">
                <a:fgClr>
                  <a:schemeClr val="tx1">
                    <a:lumMod val="50000"/>
                    <a:lumOff val="50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304-4E0A-88FF-9B4A9AF0155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DELEGACIAS_GRÁFICO!$A$1:$A$5</c:f>
              <c:strCache>
                <c:ptCount val="5"/>
                <c:pt idx="0">
                  <c:v>Delegacia da Mulher </c:v>
                </c:pt>
                <c:pt idx="1">
                  <c:v>City's Police Districts</c:v>
                </c:pt>
                <c:pt idx="2">
                  <c:v>* NUCRIA </c:v>
                </c:pt>
                <c:pt idx="3">
                  <c:v>Police Battalions </c:v>
                </c:pt>
                <c:pt idx="4">
                  <c:v>Other reporting locations</c:v>
                </c:pt>
              </c:strCache>
            </c:strRef>
          </c:cat>
          <c:val>
            <c:numRef>
              <c:f>DELEGACIAS_GRÁFICO!$B$1:$B$5</c:f>
              <c:numCache>
                <c:formatCode>General</c:formatCode>
                <c:ptCount val="5"/>
                <c:pt idx="0">
                  <c:v>2487</c:v>
                </c:pt>
                <c:pt idx="1">
                  <c:v>1372</c:v>
                </c:pt>
                <c:pt idx="2">
                  <c:v>347</c:v>
                </c:pt>
                <c:pt idx="3">
                  <c:v>316</c:v>
                </c:pt>
                <c:pt idx="4">
                  <c:v>511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304-4E0A-88FF-9B4A9AF0155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ayout>
        <c:manualLayout>
          <c:xMode val="edge"/>
          <c:yMode val="edge"/>
          <c:x val="0.546720954257785"/>
          <c:y val="3.2407407407407406E-2"/>
          <c:w val="0.45107397407738586"/>
          <c:h val="0.946183289588801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>Springer Nature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2024-04-19T07:46:00Z</dcterms:created>
  <dcterms:modified xsi:type="dcterms:W3CDTF">2024-04-19T07:46:00Z</dcterms:modified>
</cp:coreProperties>
</file>