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B761B5" w14:textId="77777777" w:rsidR="00EA3E0A" w:rsidRDefault="00E00610">
      <w:pPr>
        <w:jc w:val="center"/>
        <w:rPr>
          <w:rFonts w:ascii="Times New Roman" w:hAnsi="Times New Roman" w:cs="Times New Roman"/>
          <w:b/>
          <w:bCs/>
          <w:sz w:val="24"/>
        </w:rPr>
      </w:pPr>
      <w:r>
        <w:rPr>
          <w:rFonts w:ascii="Times New Roman" w:hAnsi="Times New Roman" w:cs="Times New Roman"/>
          <w:b/>
          <w:bCs/>
          <w:sz w:val="24"/>
        </w:rPr>
        <w:t>Supplemental materials</w:t>
      </w:r>
    </w:p>
    <w:p w14:paraId="1F2C1447" w14:textId="5035725E" w:rsidR="00EA3E0A" w:rsidRDefault="00E00610">
      <w:pPr>
        <w:rPr>
          <w:rFonts w:ascii="Times New Roman" w:hAnsi="Times New Roman" w:cs="Times New Roman"/>
          <w:b/>
          <w:bCs/>
          <w:sz w:val="24"/>
        </w:rPr>
      </w:pPr>
      <w:r>
        <w:rPr>
          <w:rFonts w:ascii="Times New Roman" w:hAnsi="Times New Roman" w:cs="Times New Roman"/>
          <w:b/>
          <w:bCs/>
          <w:sz w:val="24"/>
        </w:rPr>
        <w:t>Association</w:t>
      </w:r>
      <w:r w:rsidR="00BD1B03">
        <w:rPr>
          <w:rFonts w:ascii="Times New Roman" w:hAnsi="Times New Roman" w:cs="Times New Roman"/>
          <w:b/>
          <w:bCs/>
          <w:sz w:val="24"/>
        </w:rPr>
        <w:t xml:space="preserve"> analysis</w:t>
      </w:r>
      <w:r w:rsidR="00414D4B">
        <w:rPr>
          <w:rFonts w:ascii="Times New Roman" w:hAnsi="Times New Roman" w:cs="Times New Roman"/>
          <w:b/>
          <w:bCs/>
          <w:sz w:val="24"/>
        </w:rPr>
        <w:t xml:space="preserve"> </w:t>
      </w:r>
      <w:r w:rsidR="00BD1B03">
        <w:rPr>
          <w:rFonts w:ascii="Times New Roman" w:hAnsi="Times New Roman" w:cs="Times New Roman"/>
          <w:b/>
          <w:bCs/>
          <w:sz w:val="24"/>
        </w:rPr>
        <w:t>between</w:t>
      </w:r>
      <w:r w:rsidR="00414D4B">
        <w:rPr>
          <w:rFonts w:ascii="Times New Roman" w:hAnsi="Times New Roman" w:cs="Times New Roman"/>
          <w:b/>
          <w:bCs/>
          <w:sz w:val="24"/>
        </w:rPr>
        <w:t xml:space="preserve"> an epigenetic </w:t>
      </w:r>
      <w:r w:rsidR="00BD1B03">
        <w:rPr>
          <w:rFonts w:ascii="Times New Roman" w:hAnsi="Times New Roman" w:cs="Times New Roman"/>
          <w:b/>
          <w:bCs/>
          <w:sz w:val="24"/>
        </w:rPr>
        <w:t xml:space="preserve">alcohol </w:t>
      </w:r>
      <w:r w:rsidR="00414D4B">
        <w:rPr>
          <w:rFonts w:ascii="Times New Roman" w:hAnsi="Times New Roman" w:cs="Times New Roman"/>
          <w:b/>
          <w:bCs/>
          <w:sz w:val="24"/>
        </w:rPr>
        <w:t xml:space="preserve">risk score </w:t>
      </w:r>
      <w:r w:rsidR="00BD1B03">
        <w:rPr>
          <w:rFonts w:ascii="Times New Roman" w:hAnsi="Times New Roman" w:cs="Times New Roman"/>
          <w:b/>
          <w:bCs/>
          <w:sz w:val="24"/>
        </w:rPr>
        <w:t>and</w:t>
      </w:r>
      <w:r w:rsidR="00414D4B">
        <w:rPr>
          <w:rFonts w:ascii="Times New Roman" w:hAnsi="Times New Roman" w:cs="Times New Roman"/>
          <w:b/>
          <w:bCs/>
          <w:sz w:val="24"/>
        </w:rPr>
        <w:t xml:space="preserve"> </w:t>
      </w:r>
      <w:r>
        <w:rPr>
          <w:rFonts w:ascii="Times New Roman" w:hAnsi="Times New Roman" w:cs="Times New Roman"/>
          <w:b/>
          <w:bCs/>
          <w:sz w:val="24"/>
        </w:rPr>
        <w:t>blood pressure</w:t>
      </w:r>
    </w:p>
    <w:p w14:paraId="7912B21E" w14:textId="5A8B06DE" w:rsidR="00EA3E0A" w:rsidRDefault="00E00610">
      <w:pPr>
        <w:rPr>
          <w:rFonts w:ascii="Times New Roman" w:hAnsi="Times New Roman" w:cs="Times New Roman"/>
          <w:b/>
          <w:bCs/>
        </w:rPr>
        <w:sectPr w:rsidR="00EA3E0A">
          <w:headerReference w:type="default" r:id="rId7"/>
          <w:pgSz w:w="12240" w:h="15840"/>
          <w:pgMar w:top="1440" w:right="1440" w:bottom="1440" w:left="1440" w:header="720" w:footer="720" w:gutter="0"/>
          <w:cols w:space="720"/>
          <w:docGrid w:linePitch="360"/>
        </w:sectPr>
      </w:pPr>
      <w:r>
        <w:rPr>
          <w:rFonts w:ascii="Times New Roman" w:hAnsi="Times New Roman" w:cs="Times New Roman"/>
        </w:rPr>
        <w:t>Bui</w:t>
      </w:r>
      <w:r w:rsidR="00BD1B03">
        <w:rPr>
          <w:rFonts w:ascii="Times New Roman" w:hAnsi="Times New Roman" w:cs="Times New Roman"/>
        </w:rPr>
        <w:t>,</w:t>
      </w:r>
      <w:r>
        <w:rPr>
          <w:rFonts w:ascii="Times New Roman" w:hAnsi="Times New Roman" w:cs="Times New Roman"/>
          <w:vertAlign w:val="superscript"/>
        </w:rPr>
        <w:t xml:space="preserve"> </w:t>
      </w:r>
      <w:proofErr w:type="spellStart"/>
      <w:r>
        <w:rPr>
          <w:rFonts w:ascii="Times New Roman" w:hAnsi="Times New Roman" w:cs="Times New Roman"/>
        </w:rPr>
        <w:t>Keshawarz</w:t>
      </w:r>
      <w:proofErr w:type="spellEnd"/>
      <w:r w:rsidR="00BD1B03">
        <w:rPr>
          <w:rFonts w:ascii="Times New Roman" w:hAnsi="Times New Roman" w:cs="Times New Roman"/>
        </w:rPr>
        <w:t>, and Wang</w:t>
      </w:r>
      <w:r>
        <w:rPr>
          <w:rFonts w:ascii="Times New Roman" w:hAnsi="Times New Roman" w:cs="Times New Roman"/>
        </w:rPr>
        <w:t xml:space="preserve"> </w:t>
      </w:r>
      <w:r w:rsidR="005B1380">
        <w:rPr>
          <w:rFonts w:ascii="Times New Roman" w:hAnsi="Times New Roman" w:cs="Times New Roman"/>
        </w:rPr>
        <w:t>e</w:t>
      </w:r>
      <w:r>
        <w:rPr>
          <w:rFonts w:ascii="Times New Roman" w:hAnsi="Times New Roman" w:cs="Times New Roman"/>
        </w:rPr>
        <w:t>t al.</w:t>
      </w:r>
      <w:r>
        <w:rPr>
          <w:rFonts w:ascii="Times New Roman" w:hAnsi="Times New Roman" w:cs="Times New Roman"/>
        </w:rPr>
        <w:tab/>
      </w:r>
    </w:p>
    <w:p w14:paraId="5D48304B" w14:textId="77777777" w:rsidR="00EA3E0A" w:rsidRDefault="00E00610">
      <w:pPr>
        <w:pStyle w:val="Heading1"/>
        <w:spacing w:line="480" w:lineRule="auto"/>
        <w:rPr>
          <w:rFonts w:ascii="Times New Roman" w:hAnsi="Times New Roman" w:cs="Times New Roman"/>
          <w:sz w:val="24"/>
        </w:rPr>
      </w:pPr>
      <w:bookmarkStart w:id="0" w:name="_Toc102403232"/>
      <w:r>
        <w:rPr>
          <w:rFonts w:ascii="Times New Roman" w:hAnsi="Times New Roman" w:cs="Times New Roman"/>
          <w:sz w:val="24"/>
        </w:rPr>
        <w:lastRenderedPageBreak/>
        <w:t>Supplemental Information</w:t>
      </w:r>
    </w:p>
    <w:p w14:paraId="35718FC7" w14:textId="77777777" w:rsidR="00EA3E0A" w:rsidRDefault="00E00610">
      <w:pPr>
        <w:pStyle w:val="Heading1"/>
        <w:spacing w:line="480" w:lineRule="auto"/>
        <w:rPr>
          <w:rFonts w:ascii="Times New Roman" w:hAnsi="Times New Roman" w:cs="Times New Roman"/>
        </w:rPr>
      </w:pPr>
      <w:r>
        <w:rPr>
          <w:rFonts w:ascii="Times New Roman" w:hAnsi="Times New Roman" w:cs="Times New Roman"/>
        </w:rPr>
        <w:t>Agricultural Lung Health Study</w:t>
      </w:r>
      <w:bookmarkEnd w:id="0"/>
      <w:r>
        <w:rPr>
          <w:rFonts w:ascii="Times New Roman" w:hAnsi="Times New Roman" w:cs="Times New Roman"/>
        </w:rPr>
        <w:t xml:space="preserve"> </w:t>
      </w:r>
    </w:p>
    <w:p w14:paraId="60A599A9" w14:textId="77777777" w:rsidR="00EA3E0A" w:rsidRDefault="00E00610">
      <w:pPr>
        <w:spacing w:line="480" w:lineRule="auto"/>
        <w:rPr>
          <w:rFonts w:ascii="Times New Roman" w:hAnsi="Times New Roman" w:cs="Times New Roman"/>
          <w:i/>
          <w:iCs/>
          <w:u w:val="single"/>
        </w:rPr>
      </w:pPr>
      <w:r>
        <w:rPr>
          <w:rFonts w:ascii="Times New Roman" w:hAnsi="Times New Roman" w:cs="Times New Roman"/>
          <w:i/>
          <w:iCs/>
          <w:u w:val="single"/>
        </w:rPr>
        <w:t>Study description and history</w:t>
      </w:r>
    </w:p>
    <w:p w14:paraId="4C04D677" w14:textId="5CB5FA69" w:rsidR="00EA3E0A" w:rsidRDefault="00E00610">
      <w:pPr>
        <w:spacing w:line="480" w:lineRule="auto"/>
        <w:ind w:firstLine="720"/>
        <w:rPr>
          <w:rFonts w:ascii="Times New Roman" w:hAnsi="Times New Roman" w:cs="Times New Roman"/>
        </w:rPr>
      </w:pPr>
      <w:r>
        <w:rPr>
          <w:rFonts w:ascii="Times New Roman" w:hAnsi="Times New Roman" w:cs="Times New Roman"/>
        </w:rPr>
        <w:t xml:space="preserve">The Agricultural Lung Health Study (ALHS) is a case-control study of current </w:t>
      </w:r>
      <w:bookmarkStart w:id="1" w:name="OLE_LINK126"/>
      <w:r>
        <w:rPr>
          <w:rFonts w:ascii="Times New Roman" w:hAnsi="Times New Roman" w:cs="Times New Roman"/>
        </w:rPr>
        <w:t xml:space="preserve">asthma </w:t>
      </w:r>
      <w:bookmarkEnd w:id="1"/>
      <w:r>
        <w:rPr>
          <w:rFonts w:ascii="Times New Roman" w:hAnsi="Times New Roman" w:cs="Times New Roman"/>
        </w:rPr>
        <w:t xml:space="preserve">nested within the Agricultural Health Study (AHS) that enrolled farmers [licensed pesticide applicators] and their spouses from Iowa or North Carolina. There were 3301 participants enrolled in the ALHS in 2009-2013 (data version P3REL201209.00). The study was approved by the Institutional Review Board at National Institute of Environmental Health Sciences. Written informed consent was obtained from all participants. </w:t>
      </w:r>
    </w:p>
    <w:p w14:paraId="70A4668C" w14:textId="77777777" w:rsidR="00EA3E0A" w:rsidRDefault="00E00610">
      <w:pPr>
        <w:spacing w:line="480" w:lineRule="auto"/>
        <w:rPr>
          <w:rFonts w:ascii="Times New Roman" w:hAnsi="Times New Roman" w:cs="Times New Roman"/>
          <w:i/>
          <w:iCs/>
          <w:u w:val="single"/>
        </w:rPr>
      </w:pPr>
      <w:r>
        <w:rPr>
          <w:rFonts w:ascii="Times New Roman" w:hAnsi="Times New Roman" w:cs="Times New Roman"/>
          <w:i/>
          <w:iCs/>
          <w:u w:val="single"/>
        </w:rPr>
        <w:t xml:space="preserve">DNA methylation collection, processing, and additional analytical details </w:t>
      </w:r>
    </w:p>
    <w:p w14:paraId="6DFF0876" w14:textId="26C324F9" w:rsidR="00EA3E0A" w:rsidRDefault="00E00610">
      <w:pPr>
        <w:spacing w:line="480" w:lineRule="auto"/>
        <w:ind w:firstLine="720"/>
        <w:rPr>
          <w:rFonts w:ascii="Times New Roman" w:hAnsi="Times New Roman" w:cs="Times New Roman"/>
        </w:rPr>
      </w:pPr>
      <w:r>
        <w:rPr>
          <w:rFonts w:ascii="Times New Roman" w:hAnsi="Times New Roman" w:cs="Times New Roman"/>
        </w:rPr>
        <w:t>Procedures for DNA methylation measurement and quality control have been outlined previously.</w:t>
      </w:r>
      <w:r w:rsidR="00E73BFA">
        <w:rPr>
          <w:rFonts w:ascii="Times New Roman" w:hAnsi="Times New Roman" w:cs="Times New Roman"/>
        </w:rPr>
        <w:fldChar w:fldCharType="begin"/>
      </w:r>
      <w:r w:rsidR="00E73BFA">
        <w:rPr>
          <w:rFonts w:ascii="Times New Roman" w:hAnsi="Times New Roman" w:cs="Times New Roman"/>
        </w:rPr>
        <w:instrText xml:space="preserve"> ADDIN ZOTERO_ITEM CSL_CITATION {"citationID":"8SRHR9Qx","properties":{"formattedCitation":"\\super 1\\nosupersub{}","plainCitation":"1","noteIndex":0},"citationItems":[{"id":403,"uris":["http://zotero.org/users/local/S7bnMkzI/items/SGRG3PCJ"],"itemData":{"id":403,"type":"article-journal","abstract":"BACKGROUND: Pesticide exposure is associated with many long-term health outcomes; the potential underlying mechanisms are not well established for most associations. Epigenetic modifications, such as DNA methylation, may contribute. Individual pesticides may be associated with specific DNA methylation patterns but no epigenome-wide association study (EWAS) has evaluated methylation in relation to individual pesticides.\nOBJECTIVES: We conducted an EWAS of DNA methylation in relation to several pesticide active ingredients.\nMETHODS: The Agricultural Lung Health Study is a case-control study of asthma, nested within the Agricultural Health Study. We analyzed blood DNA methylation measured using Illumina's EPIC array in 1,170 male farmers of European ancestry. For pesticides still on the market at blood collection (2009-2013), we evaluated nine active ingredients for which at least 30 participants reported past and current (within the last 12 months) use, as well as seven banned organochlorines with at least 30 participants reporting past use. We used robust linear regression to compare methylation at individual C-phosphate-G sites (CpGs) among users of a specific pesticide to never users.\nRESULTS: Using family-wise error rate (p&lt;9×10-8) or false-discovery rate (FDR&lt;0.05), we identified 162 differentially methylated CpGs across 8 of 9 currently marketed active ingredients (acetochlor, atrazine, dicamba, glyphosate, malathion, metolachlor, mesotrione, and picloram) and one banned organochlorine (heptachlor). Differentially methylated CpGs were unique to each active ingredient, and a dose-response relationship with lifetime days of use was observed for most. Significant CpGs were enriched for transcription motifs and 28% of CpGs were associated with whole blood cis-gene expression, supporting functional effects of findings. We corroborated a previously reported association between dichlorodiphenyltrichloroethane (banned in the United States in 1972) and epigenetic age acceleration.\nDISCUSSION: We identified differential methylation for several active ingredients in male farmers of European ancestry. These may serve as biomarkers of chronic exposure and could inform mechanisms of long-term health outcomes from pesticide exposure. https://doi.org/10.1289/EHP8928.","container-title":"Environmental Health Perspectives","DOI":"10.1289/EHP8928","ISSN":"1552-9924","issue":"9","journalAbbreviation":"Environ Health Perspect","language":"eng","note":"PMID: 34516295\nPMCID: PMC8437246","page":"97008","source":"PubMed","title":"Epigenome-Wide DNA Methylation and Pesticide Use in the Agricultural Lung Health Study","volume":"129","author":[{"family":"Hoang","given":"Thanh T."},{"family":"Qi","given":"Cancan"},{"family":"Paul","given":"Kimberly C."},{"family":"Lee","given":"Mikyeong"},{"family":"White","given":"Julie D."},{"family":"Richards","given":"Marie"},{"family":"Auerbach","given":"Scott S."},{"family":"Long","given":"Stuart"},{"family":"Shrestha","given":"Srishti"},{"family":"Wang","given":"Tianyuan"},{"family":"Beane Freeman","given":"Laura E."},{"family":"Hofmann","given":"Jonathan N."},{"family":"Parks","given":"Christine"},{"literal":"BIOS Consortium"},{"family":"Xu","given":"Cheng-Jian"},{"family":"Ritz","given":"Beate"},{"family":"Koppelman","given":"Gerard H."},{"family":"London","given":"Stephanie J."}],"issued":{"date-parts":[["2021",9]]}}}],"schema":"https://github.com/citation-style-language/schema/raw/master/csl-citation.json"} </w:instrText>
      </w:r>
      <w:r w:rsidR="00E73BFA">
        <w:rPr>
          <w:rFonts w:ascii="Times New Roman" w:hAnsi="Times New Roman" w:cs="Times New Roman"/>
        </w:rPr>
        <w:fldChar w:fldCharType="separate"/>
      </w:r>
      <w:r w:rsidR="00E73BFA" w:rsidRPr="00E73BFA">
        <w:rPr>
          <w:rFonts w:ascii="Times New Roman" w:hAnsi="Times New Roman" w:cs="Times New Roman"/>
          <w:vertAlign w:val="superscript"/>
        </w:rPr>
        <w:t>1</w:t>
      </w:r>
      <w:r w:rsidR="00E73BFA">
        <w:rPr>
          <w:rFonts w:ascii="Times New Roman" w:hAnsi="Times New Roman" w:cs="Times New Roman"/>
        </w:rPr>
        <w:fldChar w:fldCharType="end"/>
      </w:r>
      <w:r>
        <w:rPr>
          <w:rFonts w:ascii="Times New Roman" w:hAnsi="Times New Roman" w:cs="Times New Roman"/>
        </w:rPr>
        <w:t xml:space="preserve"> In summary, DNA from whole blood was bisulfite converted using the EZ-96 DNA Methylation kit (</w:t>
      </w:r>
      <w:proofErr w:type="spellStart"/>
      <w:r>
        <w:rPr>
          <w:rFonts w:ascii="Times New Roman" w:hAnsi="Times New Roman" w:cs="Times New Roman"/>
        </w:rPr>
        <w:t>Zymo</w:t>
      </w:r>
      <w:proofErr w:type="spellEnd"/>
      <w:r>
        <w:rPr>
          <w:rFonts w:ascii="Times New Roman" w:hAnsi="Times New Roman" w:cs="Times New Roman"/>
        </w:rPr>
        <w:t xml:space="preserve"> Research Corporation) and assessed by Illumina’s </w:t>
      </w:r>
      <w:proofErr w:type="spellStart"/>
      <w:r>
        <w:rPr>
          <w:rFonts w:ascii="Times New Roman" w:hAnsi="Times New Roman" w:cs="Times New Roman"/>
        </w:rPr>
        <w:t>MethylationEPIC</w:t>
      </w:r>
      <w:proofErr w:type="spellEnd"/>
      <w:r>
        <w:rPr>
          <w:rFonts w:ascii="Times New Roman" w:hAnsi="Times New Roman" w:cs="Times New Roman"/>
        </w:rPr>
        <w:t xml:space="preserve"> </w:t>
      </w:r>
      <w:proofErr w:type="spellStart"/>
      <w:r>
        <w:rPr>
          <w:rFonts w:ascii="Times New Roman" w:hAnsi="Times New Roman" w:cs="Times New Roman"/>
        </w:rPr>
        <w:t>BeadChip</w:t>
      </w:r>
      <w:proofErr w:type="spellEnd"/>
      <w:r>
        <w:rPr>
          <w:rFonts w:ascii="Times New Roman" w:hAnsi="Times New Roman" w:cs="Times New Roman"/>
        </w:rPr>
        <w:t xml:space="preserve"> (EPIC array; Illumina Inc.). Samples with &gt;5% of CpG with detection p &gt; 1.0 x 10</w:t>
      </w:r>
      <w:r>
        <w:rPr>
          <w:rFonts w:ascii="Times New Roman" w:hAnsi="Times New Roman" w:cs="Times New Roman"/>
          <w:vertAlign w:val="superscript"/>
        </w:rPr>
        <w:t>-10</w:t>
      </w:r>
      <w:r>
        <w:rPr>
          <w:rFonts w:ascii="Times New Roman" w:hAnsi="Times New Roman" w:cs="Times New Roman"/>
        </w:rPr>
        <w:t xml:space="preserve">, intensity values less than three standard deviations below the mean bisulfite control intensities, or samples with sex mismatches were excluded from final analyses. Batch effect was corrected for using </w:t>
      </w:r>
      <w:proofErr w:type="spellStart"/>
      <w:r>
        <w:rPr>
          <w:rFonts w:ascii="Times New Roman" w:hAnsi="Times New Roman" w:cs="Times New Roman"/>
        </w:rPr>
        <w:t>ComBat</w:t>
      </w:r>
      <w:proofErr w:type="spellEnd"/>
      <w:r>
        <w:rPr>
          <w:rFonts w:ascii="Times New Roman" w:hAnsi="Times New Roman" w:cs="Times New Roman"/>
        </w:rPr>
        <w:t xml:space="preserve"> from the </w:t>
      </w:r>
      <w:proofErr w:type="spellStart"/>
      <w:r>
        <w:rPr>
          <w:rFonts w:ascii="Times New Roman" w:hAnsi="Times New Roman" w:cs="Times New Roman"/>
          <w:i/>
          <w:iCs/>
        </w:rPr>
        <w:t>sva</w:t>
      </w:r>
      <w:proofErr w:type="spellEnd"/>
      <w:r>
        <w:rPr>
          <w:rFonts w:ascii="Times New Roman" w:hAnsi="Times New Roman" w:cs="Times New Roman"/>
        </w:rPr>
        <w:t xml:space="preserve"> R package.</w:t>
      </w:r>
      <w:r w:rsidR="00E73BFA">
        <w:rPr>
          <w:rFonts w:ascii="Times New Roman" w:hAnsi="Times New Roman" w:cs="Times New Roman"/>
        </w:rPr>
        <w:fldChar w:fldCharType="begin"/>
      </w:r>
      <w:r w:rsidR="00E73BFA">
        <w:rPr>
          <w:rFonts w:ascii="Times New Roman" w:hAnsi="Times New Roman" w:cs="Times New Roman"/>
        </w:rPr>
        <w:instrText xml:space="preserve"> ADDIN ZOTERO_ITEM CSL_CITATION {"citationID":"R1levU2X","properties":{"formattedCitation":"\\super 2\\nosupersub{}","plainCitation":"2","noteIndex":0},"citationItems":[{"id":459,"uris":["http://zotero.org/users/local/S7bnMkzI/items/CTP2WW65"],"itemData":{"id":459,"type":"article-journal","abstract":"Non-biological experimental variation or \"batch effects\" are commonly observed across multiple batches of microarray experiments, often rendering the task of combining data from these batches difficult. The ability to combine microarray data sets is advantageous to researchers to increase statistical power to detect biological phenomena from studies where logistical considerations restrict sample size or in studies that require the sequential hybridization of arrays. In general, it is inappropriate to combine data sets without adjusting for batch effects. Methods have been proposed to filter batch effects from data, but these are often complicated and require large batch sizes ( &gt; 25) to implement. Because the majority of microarray studies are conducted using much smaller sample sizes, existing methods are not sufficient. We propose parametric and non-parametric empirical Bayes frameworks for adjusting data for batch effects that is robust to outliers in small sample sizes and performs comparable to existing methods for large samples. We illustrate our methods using two example data sets and show that our methods are justifiable, easy to apply, and useful in practice. Software for our method is freely available at: http://biosun1.harvard.edu/complab/batch/.","container-title":"Biostatistics (Oxford, England)","DOI":"10.1093/biostatistics/kxj037","ISSN":"1465-4644","issue":"1","journalAbbreviation":"Biostatistics","language":"eng","note":"PMID: 16632515","page":"118-127","source":"PubMed","title":"Adjusting batch effects in microarray expression data using empirical Bayes methods","volume":"8","author":[{"family":"Johnson","given":"W. Evan"},{"family":"Li","given":"Cheng"},{"family":"Rabinovic","given":"Ariel"}],"issued":{"date-parts":[["2007",1]]}}}],"schema":"https://github.com/citation-style-language/schema/raw/master/csl-citation.json"} </w:instrText>
      </w:r>
      <w:r w:rsidR="00E73BFA">
        <w:rPr>
          <w:rFonts w:ascii="Times New Roman" w:hAnsi="Times New Roman" w:cs="Times New Roman"/>
        </w:rPr>
        <w:fldChar w:fldCharType="separate"/>
      </w:r>
      <w:r w:rsidR="00E73BFA" w:rsidRPr="00E73BFA">
        <w:rPr>
          <w:rFonts w:ascii="Times New Roman" w:hAnsi="Times New Roman" w:cs="Times New Roman"/>
          <w:vertAlign w:val="superscript"/>
        </w:rPr>
        <w:t>2</w:t>
      </w:r>
      <w:r w:rsidR="00E73BFA">
        <w:rPr>
          <w:rFonts w:ascii="Times New Roman" w:hAnsi="Times New Roman" w:cs="Times New Roman"/>
        </w:rPr>
        <w:fldChar w:fldCharType="end"/>
      </w:r>
      <w:r w:rsidR="00E73BFA">
        <w:rPr>
          <w:rFonts w:ascii="Times New Roman" w:hAnsi="Times New Roman" w:cs="Times New Roman"/>
        </w:rPr>
        <w:t xml:space="preserve"> </w:t>
      </w:r>
      <w:r>
        <w:rPr>
          <w:rFonts w:ascii="Times New Roman" w:hAnsi="Times New Roman" w:cs="Times New Roman"/>
        </w:rPr>
        <w:t xml:space="preserve">Extreme methylation outliers were replaced with </w:t>
      </w:r>
      <w:bookmarkStart w:id="2" w:name="OLE_LINK127"/>
      <w:proofErr w:type="spellStart"/>
      <w:r>
        <w:rPr>
          <w:rFonts w:ascii="Times New Roman" w:hAnsi="Times New Roman" w:cs="Times New Roman"/>
        </w:rPr>
        <w:t>winsorize</w:t>
      </w:r>
      <w:bookmarkEnd w:id="2"/>
      <w:r>
        <w:rPr>
          <w:rFonts w:ascii="Times New Roman" w:hAnsi="Times New Roman" w:cs="Times New Roman"/>
        </w:rPr>
        <w:t>d</w:t>
      </w:r>
      <w:proofErr w:type="spellEnd"/>
      <w:r>
        <w:rPr>
          <w:rFonts w:ascii="Times New Roman" w:hAnsi="Times New Roman" w:cs="Times New Roman"/>
        </w:rPr>
        <w:t xml:space="preserve"> values using </w:t>
      </w:r>
      <w:proofErr w:type="spellStart"/>
      <w:r>
        <w:rPr>
          <w:rFonts w:ascii="Times New Roman" w:hAnsi="Times New Roman" w:cs="Times New Roman"/>
        </w:rPr>
        <w:t>ewaff.handle</w:t>
      </w:r>
      <w:proofErr w:type="spellEnd"/>
      <w:r>
        <w:rPr>
          <w:rFonts w:ascii="Times New Roman" w:hAnsi="Times New Roman" w:cs="Times New Roman"/>
        </w:rPr>
        <w:t xml:space="preserve"> outliers from the </w:t>
      </w:r>
      <w:proofErr w:type="spellStart"/>
      <w:r>
        <w:rPr>
          <w:rFonts w:ascii="Times New Roman" w:hAnsi="Times New Roman" w:cs="Times New Roman"/>
          <w:i/>
          <w:iCs/>
        </w:rPr>
        <w:t>ewaff</w:t>
      </w:r>
      <w:proofErr w:type="spellEnd"/>
      <w:r>
        <w:rPr>
          <w:rFonts w:ascii="Times New Roman" w:hAnsi="Times New Roman" w:cs="Times New Roman"/>
        </w:rPr>
        <w:t xml:space="preserve"> R package.</w:t>
      </w:r>
      <w:r w:rsidR="00E73BFA">
        <w:rPr>
          <w:rFonts w:ascii="Times New Roman" w:hAnsi="Times New Roman" w:cs="Times New Roman"/>
        </w:rPr>
        <w:fldChar w:fldCharType="begin"/>
      </w:r>
      <w:r w:rsidR="00E73BFA">
        <w:rPr>
          <w:rFonts w:ascii="Times New Roman" w:hAnsi="Times New Roman" w:cs="Times New Roman"/>
        </w:rPr>
        <w:instrText xml:space="preserve"> ADDIN ZOTERO_ITEM CSL_CITATION {"citationID":"zZOanWNb","properties":{"formattedCitation":"\\super 3\\nosupersub{}","plainCitation":"3","noteIndex":0},"citationItems":[{"id":464,"uris":["http://zotero.org/users/local/S7bnMkzI/items/GJMUJZK4"],"itemData":{"id":464,"type":"webpage","language":"en-us","title":"ewaff","URL":"http://github.com/perishky/ewaff","author":[{"family":"Suderman","given":"Matthew"},{"family":"Battram","given":"Thomas"}]}}],"schema":"https://github.com/citation-style-language/schema/raw/master/csl-citation.json"} </w:instrText>
      </w:r>
      <w:r w:rsidR="00E73BFA">
        <w:rPr>
          <w:rFonts w:ascii="Times New Roman" w:hAnsi="Times New Roman" w:cs="Times New Roman"/>
        </w:rPr>
        <w:fldChar w:fldCharType="separate"/>
      </w:r>
      <w:r w:rsidR="00E73BFA" w:rsidRPr="00E73BFA">
        <w:rPr>
          <w:rFonts w:ascii="Times New Roman" w:hAnsi="Times New Roman" w:cs="Times New Roman"/>
          <w:vertAlign w:val="superscript"/>
        </w:rPr>
        <w:t>3</w:t>
      </w:r>
      <w:r w:rsidR="00E73BFA">
        <w:rPr>
          <w:rFonts w:ascii="Times New Roman" w:hAnsi="Times New Roman" w:cs="Times New Roman"/>
        </w:rPr>
        <w:fldChar w:fldCharType="end"/>
      </w:r>
      <w:r>
        <w:rPr>
          <w:rFonts w:ascii="Times New Roman" w:hAnsi="Times New Roman" w:cs="Times New Roman"/>
        </w:rPr>
        <w:t xml:space="preserve"> After quality control, a total of 2,288 participants had available DNA methylation data. Cell type proportions (i.e., monocytes, neutrophils, eosinophils, natural killer cells, B cells, etc.) were estimated using the Houseman method</w:t>
      </w:r>
      <w:r w:rsidR="00E73BFA">
        <w:rPr>
          <w:rFonts w:ascii="Times New Roman" w:hAnsi="Times New Roman" w:cs="Times New Roman"/>
        </w:rPr>
        <w:fldChar w:fldCharType="begin"/>
      </w:r>
      <w:r w:rsidR="00E73BFA">
        <w:rPr>
          <w:rFonts w:ascii="Times New Roman" w:hAnsi="Times New Roman" w:cs="Times New Roman"/>
        </w:rPr>
        <w:instrText xml:space="preserve"> ADDIN ZOTERO_ITEM CSL_CITATION {"citationID":"p6b9TQ4d","properties":{"formattedCitation":"\\super 4\\nosupersub{}","plainCitation":"4","noteIndex":0},"citationItems":[{"id":"qS4agUuI/C3H0zMJa","uris":["http://www.mendeley.com/documents/?uuid=69abab58-40d2-38a3-badb-48a3491953ba"],"itemData":{"DOI":"10.1186/1471-2105-13-86","ISSN":"14712105","abstract":"Background: There has been a long-standing need in biomedical research for a method that quantifies the normally mixed composition of leukocytes beyond what is possible by simple histological or flow cytometric assessments. The latter is restricted by the labile nature of protein epitopes, requirements for cell processing, and timely cell analysis. In a diverse array of diseases and following numerous immune-toxic exposures, leukocyte composition will critically inform the underlying immuno-biology to most chronic medical conditions. Emerging research demonstrates that DNA methylation is responsible for cellular differentiation, and when measured in whole peripheral blood, serves to distinguish cancer cases from controls.Results: Here we present a method, similar to regression calibration, for inferring changes in the distribution of white blood cells between different subpopulations (e.g. cases and controls) using DNA methylation signatures, in combination with a previously obtained external validation set consisting of signatures from purified leukocyte samples. We validate the fundamental idea in a cell mixture reconstruction experiment, then demonstrate our method on DNA methylation data sets from several studies, including data from a Head and Neck Squamous Cell Carcinoma (HNSCC) study and an ovarian cancer study. Our method produces results consistent with prior biological findings, thereby validating the approach.Conclusions: Our method, in combination with an appropriate external validation set, promises new opportunities for large-scale immunological studies of both disease states and noxious exposures. © 2012 Houseman et al.; licensee BioMed Central Ltd.","author":[{"dropping-particle":"","family":"Houseman","given":"Eugene A.","non-dropping-particle":"","parse-names":false,"suffix":""},{"dropping-particle":"","family":"Accomando","given":"William P.","non-dropping-particle":"","parse-names":false,"suffix":""},{"dropping-particle":"","family":"Koestler","given":"Devin C.","non-dropping-particle":"","parse-names":false,"suffix":""},{"dropping-particle":"","family":"Christensen","given":"Brock C.","non-dropping-particle":"","parse-names":false,"suffix":""},{"dropping-particle":"","family":"Marsit","given":"Carmen J.","non-dropping-particle":"","parse-names":false,"suffix":""},{"dropping-particle":"","family":"Nelson","given":"Heather H.","non-dropping-particle":"","parse-names":false,"suffix":""},{"dropping-particle":"","family":"Wiencke","given":"John K.","non-dropping-particle":"","parse-names":false,"suffix":""},{"dropping-particle":"","family":"Kelsey","given":"Karl T.","non-dropping-particle":"","parse-names":false,"suffix":""}],"container-title":"BMC Bioinformatics","id":"qS4agUuI/C3H0zMJa","issue":"1","issued":{"date-parts":[["2012"]]},"title":"DNA methylation arrays as surrogate measures of cell mixture distribution","type":"article-journal","volume":"13"}}],"schema":"https://github.com/citation-style-language/schema/raw/master/csl-citation.json"} </w:instrText>
      </w:r>
      <w:r w:rsidR="00E73BFA">
        <w:rPr>
          <w:rFonts w:ascii="Times New Roman" w:hAnsi="Times New Roman" w:cs="Times New Roman"/>
        </w:rPr>
        <w:fldChar w:fldCharType="separate"/>
      </w:r>
      <w:r w:rsidR="00E73BFA" w:rsidRPr="00E73BFA">
        <w:rPr>
          <w:rFonts w:ascii="Times New Roman" w:hAnsi="Times New Roman" w:cs="Times New Roman"/>
          <w:vertAlign w:val="superscript"/>
        </w:rPr>
        <w:t>4</w:t>
      </w:r>
      <w:r w:rsidR="00E73BFA">
        <w:rPr>
          <w:rFonts w:ascii="Times New Roman" w:hAnsi="Times New Roman" w:cs="Times New Roman"/>
        </w:rPr>
        <w:fldChar w:fldCharType="end"/>
      </w:r>
      <w:r>
        <w:rPr>
          <w:rFonts w:ascii="Times New Roman" w:hAnsi="Times New Roman" w:cs="Times New Roman"/>
        </w:rPr>
        <w:t xml:space="preserve"> with the </w:t>
      </w:r>
      <w:proofErr w:type="spellStart"/>
      <w:r>
        <w:rPr>
          <w:rFonts w:ascii="Times New Roman" w:hAnsi="Times New Roman" w:cs="Times New Roman"/>
        </w:rPr>
        <w:t>Reinius</w:t>
      </w:r>
      <w:proofErr w:type="spellEnd"/>
      <w:r>
        <w:rPr>
          <w:rFonts w:ascii="Times New Roman" w:hAnsi="Times New Roman" w:cs="Times New Roman"/>
        </w:rPr>
        <w:t xml:space="preserve"> reference panel.</w:t>
      </w:r>
      <w:r w:rsidR="00E73BFA">
        <w:rPr>
          <w:rFonts w:ascii="Times New Roman" w:hAnsi="Times New Roman" w:cs="Times New Roman"/>
        </w:rPr>
        <w:fldChar w:fldCharType="begin"/>
      </w:r>
      <w:r w:rsidR="00E73BFA">
        <w:rPr>
          <w:rFonts w:ascii="Times New Roman" w:hAnsi="Times New Roman" w:cs="Times New Roman"/>
        </w:rPr>
        <w:instrText xml:space="preserve"> ADDIN ZOTERO_ITEM CSL_CITATION {"citationID":"zNciO9sp","properties":{"formattedCitation":"\\super 5\\nosupersub{}","plainCitation":"5","noteIndex":0},"citationItems":[{"id":468,"uris":["http://zotero.org/users/local/S7bnMkzI/items/CRZETBJS"],"itemData":{"id":468,"type":"article-journal","abstract":"Methylation of cytosines at CpG sites is a common epigenetic DNA modification that can be measured by a large number of methods, now even in a genome-wide manner for hundreds of thousands of sites. The application of DNA methylation analysis is becoming widely popular in complex disorders, for example, to understand part of the \"missing heritability\". The DNA samples most readily available for methylation studies are derived from whole blood. However, blood consists of many functionally and developmentally distinct cell populations in varying proportions. We studied whether such variation might affect the interpretation of methylation studies based on whole blood DNA. We found in healthy male blood donors there is important variation in the methylation profiles of whole blood, mononuclear cells, granulocytes, and cells from seven selected purified lineages. CpG methylation between mononuclear cells and granulocytes differed for 22% of the 8252 probes covering the selected 343 genes implicated in immune-related disorders by genome-wide association studies, and at least one probe was differentially methylated for 85% of the genes, indicating that whole blood methylation results might be unintelligible. For individual genes, even if the overall methylation patterns might appear similar, a few CpG sites in the regulatory regions may have opposite methylation patterns (i.e., hypo/hyper) in the main blood cell types. We conclude that interpretation of whole blood methylation profiles should be performed with great caution and for any differences implicated in a disorder, the differences resulting from varying proportions of white blood cell types should be considered.","container-title":"PloS One","DOI":"10.1371/journal.pone.0041361","ISSN":"1932-6203","issue":"7","journalAbbreviation":"PLoS One","language":"eng","note":"PMID: 22848472\nPMCID: PMC3405143","page":"e41361","source":"PubMed","title":"Differential DNA methylation in purified human blood cells: implications for cell lineage and studies on disease susceptibility","title-short":"Differential DNA methylation in purified human blood cells","volume":"7","author":[{"family":"Reinius","given":"Lovisa E."},{"family":"Acevedo","given":"Nathalie"},{"family":"Joerink","given":"Maaike"},{"family":"Pershagen","given":"Göran"},{"family":"Dahlén","given":"Sven-Erik"},{"family":"Greco","given":"Dario"},{"family":"Söderhäll","given":"Cilla"},{"family":"Scheynius","given":"Annika"},{"family":"Kere","given":"Juha"}],"issued":{"date-parts":[["2012"]]}}}],"schema":"https://github.com/citation-style-language/schema/raw/master/csl-citation.json"} </w:instrText>
      </w:r>
      <w:r w:rsidR="00E73BFA">
        <w:rPr>
          <w:rFonts w:ascii="Times New Roman" w:hAnsi="Times New Roman" w:cs="Times New Roman"/>
        </w:rPr>
        <w:fldChar w:fldCharType="separate"/>
      </w:r>
      <w:r w:rsidR="00E73BFA" w:rsidRPr="00E73BFA">
        <w:rPr>
          <w:rFonts w:ascii="Times New Roman" w:hAnsi="Times New Roman" w:cs="Times New Roman"/>
          <w:vertAlign w:val="superscript"/>
        </w:rPr>
        <w:t>5</w:t>
      </w:r>
      <w:r w:rsidR="00E73BFA">
        <w:rPr>
          <w:rFonts w:ascii="Times New Roman" w:hAnsi="Times New Roman" w:cs="Times New Roman"/>
        </w:rPr>
        <w:fldChar w:fldCharType="end"/>
      </w:r>
      <w:r w:rsidR="00E73BFA">
        <w:rPr>
          <w:rFonts w:ascii="Times New Roman" w:hAnsi="Times New Roman" w:cs="Times New Roman"/>
        </w:rPr>
        <w:t xml:space="preserve"> </w:t>
      </w:r>
    </w:p>
    <w:p w14:paraId="6BF47D97" w14:textId="77777777" w:rsidR="00EA3E0A" w:rsidRDefault="00E00610">
      <w:pPr>
        <w:spacing w:line="480" w:lineRule="auto"/>
        <w:rPr>
          <w:rFonts w:ascii="Times New Roman" w:hAnsi="Times New Roman" w:cs="Times New Roman"/>
          <w:i/>
          <w:iCs/>
          <w:u w:val="single"/>
        </w:rPr>
      </w:pPr>
      <w:r>
        <w:rPr>
          <w:rFonts w:ascii="Times New Roman" w:hAnsi="Times New Roman" w:cs="Times New Roman"/>
          <w:i/>
          <w:iCs/>
          <w:u w:val="single"/>
        </w:rPr>
        <w:t xml:space="preserve">Clinical </w:t>
      </w:r>
      <w:r w:rsidR="003232CE">
        <w:rPr>
          <w:rFonts w:ascii="Times New Roman" w:hAnsi="Times New Roman" w:cs="Times New Roman"/>
          <w:i/>
          <w:iCs/>
          <w:u w:val="single"/>
        </w:rPr>
        <w:t xml:space="preserve">and behavioral </w:t>
      </w:r>
      <w:r>
        <w:rPr>
          <w:rFonts w:ascii="Times New Roman" w:hAnsi="Times New Roman" w:cs="Times New Roman"/>
          <w:i/>
          <w:iCs/>
          <w:u w:val="single"/>
        </w:rPr>
        <w:t xml:space="preserve">phenotype collection and measurement </w:t>
      </w:r>
    </w:p>
    <w:p w14:paraId="1D830B42" w14:textId="3055EEF0" w:rsidR="00EA3E0A" w:rsidRDefault="00E00610">
      <w:pPr>
        <w:spacing w:line="480" w:lineRule="auto"/>
        <w:ind w:firstLine="720"/>
        <w:rPr>
          <w:rFonts w:ascii="Times New Roman" w:hAnsi="Times New Roman" w:cs="Times New Roman"/>
        </w:rPr>
      </w:pPr>
      <w:r>
        <w:rPr>
          <w:rFonts w:ascii="Times New Roman" w:hAnsi="Times New Roman" w:cs="Times New Roman"/>
        </w:rPr>
        <w:t>Field technicians collected blood samples and computer-assisted telephone interviews collected information on smoking history</w:t>
      </w:r>
      <w:r w:rsidR="00A712D4">
        <w:rPr>
          <w:rFonts w:ascii="Times New Roman" w:hAnsi="Times New Roman" w:cs="Times New Roman"/>
        </w:rPr>
        <w:t>,</w:t>
      </w:r>
      <w:r>
        <w:rPr>
          <w:rFonts w:ascii="Times New Roman" w:hAnsi="Times New Roman" w:cs="Times New Roman"/>
        </w:rPr>
        <w:t xml:space="preserve"> </w:t>
      </w:r>
      <w:r w:rsidR="0008254F">
        <w:rPr>
          <w:rFonts w:ascii="Times New Roman" w:hAnsi="Times New Roman" w:cs="Times New Roman"/>
        </w:rPr>
        <w:t>current smoking status (yes/no)</w:t>
      </w:r>
      <w:r w:rsidR="00A712D4">
        <w:rPr>
          <w:rFonts w:ascii="Times New Roman" w:hAnsi="Times New Roman" w:cs="Times New Roman"/>
        </w:rPr>
        <w:t>,</w:t>
      </w:r>
      <w:r w:rsidR="0008254F">
        <w:rPr>
          <w:rFonts w:ascii="Times New Roman" w:hAnsi="Times New Roman" w:cs="Times New Roman"/>
        </w:rPr>
        <w:t xml:space="preserve"> </w:t>
      </w:r>
      <w:r w:rsidR="00AD3168">
        <w:rPr>
          <w:rFonts w:ascii="Times New Roman" w:hAnsi="Times New Roman" w:cs="Times New Roman"/>
        </w:rPr>
        <w:t xml:space="preserve">and alcohol </w:t>
      </w:r>
      <w:r w:rsidR="00AD3168" w:rsidRPr="007D1B82">
        <w:rPr>
          <w:rFonts w:ascii="Times New Roman" w:hAnsi="Times New Roman" w:cs="Times New Roman"/>
        </w:rPr>
        <w:t>consumption. For</w:t>
      </w:r>
      <w:r w:rsidRPr="007D1B82">
        <w:rPr>
          <w:rFonts w:ascii="Times New Roman" w:hAnsi="Times New Roman" w:cs="Times New Roman"/>
        </w:rPr>
        <w:t xml:space="preserve"> </w:t>
      </w:r>
      <w:r w:rsidR="00AD3168" w:rsidRPr="007D1B82">
        <w:rPr>
          <w:rFonts w:ascii="Times New Roman" w:hAnsi="Times New Roman" w:cs="Times New Roman"/>
        </w:rPr>
        <w:t xml:space="preserve">the </w:t>
      </w:r>
      <w:r w:rsidR="00AD3168" w:rsidRPr="007D1B82">
        <w:rPr>
          <w:rFonts w:ascii="Times New Roman" w:hAnsi="Times New Roman" w:cs="Times New Roman"/>
        </w:rPr>
        <w:lastRenderedPageBreak/>
        <w:t xml:space="preserve">collection of </w:t>
      </w:r>
      <w:r w:rsidRPr="007D1B82">
        <w:rPr>
          <w:rFonts w:ascii="Times New Roman" w:hAnsi="Times New Roman" w:cs="Times New Roman"/>
        </w:rPr>
        <w:t>alcohol consumption, study participants answered “yes” or “no” to the question: “In the past 24 hours, have you had anything to drink that contained alcohol, including wine, wine coolers beer, or liquor?”</w:t>
      </w:r>
      <w:r w:rsidR="00AD3168" w:rsidRPr="007D1B82">
        <w:rPr>
          <w:rFonts w:ascii="Times New Roman" w:hAnsi="Times New Roman" w:cs="Times New Roman"/>
        </w:rPr>
        <w:t xml:space="preserve">. </w:t>
      </w:r>
      <w:r w:rsidR="00AD3168" w:rsidRPr="007D1B82">
        <w:rPr>
          <w:rFonts w:ascii="Times New Roman" w:hAnsi="Times New Roman" w:cs="Times New Roman"/>
          <w:szCs w:val="24"/>
        </w:rPr>
        <w:t>The participants also answered that questions “the amount, and types of alcoholic drinks consumed in the past 24 hours”.</w:t>
      </w:r>
      <w:r w:rsidR="00AD3168" w:rsidRPr="007D1B82">
        <w:rPr>
          <w:rFonts w:ascii="Times New Roman" w:hAnsi="Times New Roman" w:cs="Times New Roman"/>
          <w:sz w:val="24"/>
          <w:szCs w:val="24"/>
        </w:rPr>
        <w:t xml:space="preserve"> </w:t>
      </w:r>
      <w:r w:rsidRPr="007D1B82">
        <w:rPr>
          <w:rFonts w:ascii="Times New Roman" w:hAnsi="Times New Roman" w:cs="Times New Roman"/>
        </w:rPr>
        <w:t>The final study sample included 1,293 individuals.</w:t>
      </w:r>
      <w:r>
        <w:rPr>
          <w:rFonts w:ascii="Times New Roman" w:hAnsi="Times New Roman" w:cs="Times New Roman"/>
        </w:rPr>
        <w:t xml:space="preserve"> </w:t>
      </w:r>
    </w:p>
    <w:p w14:paraId="4753B120" w14:textId="77777777" w:rsidR="00EA3E0A" w:rsidRDefault="00E00610">
      <w:pPr>
        <w:spacing w:line="480" w:lineRule="auto"/>
        <w:rPr>
          <w:rFonts w:ascii="Times New Roman" w:hAnsi="Times New Roman" w:cs="Times New Roman"/>
          <w:i/>
          <w:iCs/>
          <w:u w:val="single"/>
        </w:rPr>
      </w:pPr>
      <w:r>
        <w:rPr>
          <w:rFonts w:ascii="Times New Roman" w:hAnsi="Times New Roman" w:cs="Times New Roman"/>
          <w:i/>
          <w:iCs/>
          <w:u w:val="single"/>
        </w:rPr>
        <w:t xml:space="preserve">Acknowledgements, funding, and disclosures </w:t>
      </w:r>
    </w:p>
    <w:p w14:paraId="70BF03C5" w14:textId="77777777" w:rsidR="00EA3E0A" w:rsidRDefault="00E00610" w:rsidP="00E21FC3">
      <w:pPr>
        <w:spacing w:line="480" w:lineRule="auto"/>
        <w:ind w:firstLine="720"/>
        <w:rPr>
          <w:rFonts w:ascii="Times New Roman" w:hAnsi="Times New Roman" w:cs="Times New Roman"/>
        </w:rPr>
      </w:pPr>
      <w:bookmarkStart w:id="3" w:name="OLE_LINK25"/>
      <w:r>
        <w:rPr>
          <w:rFonts w:ascii="Times New Roman" w:hAnsi="Times New Roman" w:cs="Times New Roman"/>
        </w:rPr>
        <w:t xml:space="preserve">The Agricultural Lung Health Study is supported by the Intramural Research Program of the National Institutes of Health, the National Institute of Environmental Health Sciences (Z01-ES102385, Z01-ES049030, Z01-ES043012) and the National Cancer Institute (Z01-CP010119). </w:t>
      </w:r>
      <w:bookmarkEnd w:id="3"/>
      <w:r>
        <w:rPr>
          <w:rFonts w:ascii="Times New Roman" w:hAnsi="Times New Roman" w:cs="Times New Roman"/>
        </w:rPr>
        <w:t xml:space="preserve">This work was also supported in part by American Recovery and Reinvestment Act funds. The authors declare no conflicts of interest. </w:t>
      </w:r>
      <w:bookmarkStart w:id="4" w:name="_Toc102403233"/>
    </w:p>
    <w:p w14:paraId="02F34357" w14:textId="77777777" w:rsidR="00053B7B" w:rsidRDefault="00053B7B" w:rsidP="00E21FC3">
      <w:pPr>
        <w:pStyle w:val="Heading1"/>
        <w:spacing w:before="0" w:after="160" w:line="480" w:lineRule="auto"/>
        <w:rPr>
          <w:rFonts w:ascii="Times New Roman" w:hAnsi="Times New Roman" w:cs="Times New Roman"/>
        </w:rPr>
      </w:pPr>
    </w:p>
    <w:p w14:paraId="6B009307" w14:textId="1DD802E1" w:rsidR="00EA3E0A" w:rsidRDefault="00E00610" w:rsidP="00E21FC3">
      <w:pPr>
        <w:pStyle w:val="Heading1"/>
        <w:spacing w:before="0" w:after="160" w:line="480" w:lineRule="auto"/>
        <w:rPr>
          <w:rFonts w:ascii="Times New Roman" w:hAnsi="Times New Roman" w:cs="Times New Roman"/>
        </w:rPr>
      </w:pPr>
      <w:r>
        <w:rPr>
          <w:rFonts w:ascii="Times New Roman" w:hAnsi="Times New Roman" w:cs="Times New Roman"/>
        </w:rPr>
        <w:t>Cooperative Health Research in the Region Augsburg (KORA)</w:t>
      </w:r>
      <w:bookmarkEnd w:id="4"/>
    </w:p>
    <w:p w14:paraId="10155421" w14:textId="77777777" w:rsidR="00EA3E0A" w:rsidRDefault="00E00610" w:rsidP="00E21FC3">
      <w:pPr>
        <w:spacing w:line="480" w:lineRule="auto"/>
        <w:rPr>
          <w:rFonts w:ascii="Times New Roman" w:hAnsi="Times New Roman" w:cs="Times New Roman"/>
          <w:i/>
          <w:iCs/>
          <w:u w:val="single"/>
        </w:rPr>
      </w:pPr>
      <w:r>
        <w:rPr>
          <w:rFonts w:ascii="Times New Roman" w:hAnsi="Times New Roman" w:cs="Times New Roman"/>
          <w:i/>
          <w:iCs/>
          <w:u w:val="single"/>
        </w:rPr>
        <w:t xml:space="preserve">Study description and history  </w:t>
      </w:r>
    </w:p>
    <w:p w14:paraId="1D492EB6" w14:textId="428B5CA7" w:rsidR="00EA3E0A" w:rsidRDefault="00E00610">
      <w:pPr>
        <w:spacing w:line="480" w:lineRule="auto"/>
        <w:ind w:firstLine="720"/>
        <w:rPr>
          <w:rFonts w:ascii="Times New Roman" w:hAnsi="Times New Roman" w:cs="Times New Roman"/>
        </w:rPr>
      </w:pPr>
      <w:r>
        <w:rPr>
          <w:rFonts w:ascii="Times New Roman" w:hAnsi="Times New Roman" w:cs="Times New Roman"/>
        </w:rPr>
        <w:t>The Cooperative Health Research in the Region Augsburg (KORA) research platform has been collecting clinical and genetic data from the general population in the region of Augsburg, Germany for over 20 years. F4 (2006-2008) and FF4 (2013-2014) cohorts are follow-up studies from the KORA S4 (n</w:t>
      </w:r>
      <w:r w:rsidR="007D1AC1">
        <w:rPr>
          <w:rFonts w:ascii="Times New Roman" w:hAnsi="Times New Roman" w:cs="Times New Roman"/>
        </w:rPr>
        <w:t>=</w:t>
      </w:r>
      <w:r>
        <w:rPr>
          <w:rFonts w:ascii="Times New Roman" w:hAnsi="Times New Roman" w:cs="Times New Roman"/>
        </w:rPr>
        <w:t>4,261) survey carried out 1999-2000. In the baseline examinations all inhabitants of German nationality between the ages of 25 and 74 years were enrolled. Participants completed a lifestyle questionnaire, including details on health status and medication use, underwent standardized examinations with blood samples taken.</w:t>
      </w:r>
      <w:r>
        <w:rPr>
          <w:rFonts w:ascii="Times New Roman" w:hAnsi="Times New Roman" w:cs="Times New Roman"/>
        </w:rPr>
        <w:fldChar w:fldCharType="begin" w:fldLock="1"/>
      </w:r>
      <w:r w:rsidR="00E73BFA">
        <w:rPr>
          <w:rFonts w:ascii="Times New Roman" w:hAnsi="Times New Roman" w:cs="Times New Roman"/>
        </w:rPr>
        <w:instrText xml:space="preserve"> ADDIN ZOTERO_ITEM CSL_CITATION {"citationID":"Jr7rkcSW","properties":{"formattedCitation":"\\super 6\\nosupersub{}","plainCitation":"6","noteIndex":0},"citationItems":[{"id":"qS4agUuI/croYb1Ri","uris":["http://www.mendeley.com/documents/?uuid=e5ee3376-a84f-37ab-9e49-2d7daae6191d"],"itemData":{"DOI":"10.1055/s-2005-858235","ISSN":"09413790","abstract":"KORA (Cooperative Health Research in the Region Augsburg) is a regional research platform for population-based surveys and subsequent follow-up studies in the fields of epidemiology, health economics, and health care research. KORA was established in 1996 to continue and expand the MONICA project in Augsburg, including the Acute Myocardial Infarction (AMI) Registry. The available pool of study participants allows for cohort, case-control and family studies. We present the KORA infrastructure, aspects of data management and quality control, and the concept of cooperative research. The increasing use of the MONICA/KORA cohorts for a variety of research topics, with a recent focus on genetic epidemiology, indicates the attractiveness of this concept. © Georg Thieme Verlag KG Stuttgart.","author":[{"dropping-particle":"","family":"Holle","given":"Rolf","non-dropping-particle":"","parse-names":false,"suffix":""},{"dropping-particle":"","family":"Happich","given":"M.","non-dropping-particle":"","parse-names":false,"suffix":""},{"dropping-particle":"","family":"Löwel","given":"H.","non-dropping-particle":"","parse-names":false,"suffix":""},{"dropping-particle":"","family":"Wichmann","given":"H. E.","non-dropping-particle":"","parse-names":false,"suffix":""}],"container-title":"Gesundheitswesen","id":"ITEM-1","issue":"SUPPL. 1","issued":{"date-parts":[["2005"]]},"title":"KORA - A research platform for population based health research","type":"article","volume":"67"}}],"schema":"https://github.com/citation-style-language/schema/raw/master/csl-citation.json"} </w:instrText>
      </w:r>
      <w:r>
        <w:rPr>
          <w:rFonts w:ascii="Times New Roman" w:hAnsi="Times New Roman" w:cs="Times New Roman"/>
        </w:rPr>
        <w:fldChar w:fldCharType="separate"/>
      </w:r>
      <w:r w:rsidR="00E73BFA" w:rsidRPr="00E73BFA">
        <w:rPr>
          <w:rFonts w:ascii="Times New Roman" w:hAnsi="Times New Roman" w:cs="Times New Roman"/>
          <w:vertAlign w:val="superscript"/>
        </w:rPr>
        <w:t>6</w:t>
      </w:r>
      <w:r>
        <w:rPr>
          <w:rFonts w:ascii="Times New Roman" w:hAnsi="Times New Roman" w:cs="Times New Roman"/>
        </w:rPr>
        <w:fldChar w:fldCharType="end"/>
      </w:r>
      <w:r>
        <w:rPr>
          <w:rFonts w:ascii="Times New Roman" w:hAnsi="Times New Roman" w:cs="Times New Roman"/>
        </w:rPr>
        <w:t xml:space="preserve"> </w:t>
      </w:r>
    </w:p>
    <w:p w14:paraId="1B91C2DA" w14:textId="77777777" w:rsidR="00EA3E0A" w:rsidRDefault="00E00610">
      <w:pPr>
        <w:spacing w:line="480" w:lineRule="auto"/>
        <w:rPr>
          <w:rFonts w:ascii="Times New Roman" w:hAnsi="Times New Roman" w:cs="Times New Roman"/>
          <w:i/>
          <w:iCs/>
          <w:u w:val="single"/>
        </w:rPr>
      </w:pPr>
      <w:r>
        <w:rPr>
          <w:rFonts w:ascii="Times New Roman" w:hAnsi="Times New Roman" w:cs="Times New Roman"/>
          <w:i/>
          <w:iCs/>
          <w:u w:val="single"/>
        </w:rPr>
        <w:t>DNA methylation collection, processing, and additional analytical details</w:t>
      </w:r>
    </w:p>
    <w:p w14:paraId="41ECEAA7" w14:textId="4A6F14F6" w:rsidR="00EA3E0A" w:rsidRDefault="00E00610">
      <w:pPr>
        <w:spacing w:line="480" w:lineRule="auto"/>
        <w:ind w:firstLine="720"/>
        <w:rPr>
          <w:rFonts w:ascii="Times New Roman" w:hAnsi="Times New Roman" w:cs="Times New Roman"/>
        </w:rPr>
      </w:pPr>
      <w:r>
        <w:rPr>
          <w:rFonts w:ascii="Times New Roman" w:hAnsi="Times New Roman" w:cs="Times New Roman"/>
        </w:rPr>
        <w:t xml:space="preserve">Genome-wide DNA methylation measurement at 485,577 genomic sites was performed using the Infinium HumanMethylation450K </w:t>
      </w:r>
      <w:proofErr w:type="spellStart"/>
      <w:r>
        <w:rPr>
          <w:rFonts w:ascii="Times New Roman" w:hAnsi="Times New Roman" w:cs="Times New Roman"/>
        </w:rPr>
        <w:t>BeadChip</w:t>
      </w:r>
      <w:proofErr w:type="spellEnd"/>
      <w:r>
        <w:rPr>
          <w:rFonts w:ascii="Times New Roman" w:hAnsi="Times New Roman" w:cs="Times New Roman"/>
        </w:rPr>
        <w:t xml:space="preserve"> (Illumina, Inc., CA, USA)</w:t>
      </w:r>
      <w:r>
        <w:rPr>
          <w:rFonts w:ascii="Times New Roman" w:hAnsi="Times New Roman" w:cs="Times New Roman"/>
        </w:rPr>
        <w:fldChar w:fldCharType="begin" w:fldLock="1"/>
      </w:r>
      <w:r w:rsidR="00E73BFA">
        <w:rPr>
          <w:rFonts w:ascii="Times New Roman" w:hAnsi="Times New Roman" w:cs="Times New Roman"/>
        </w:rPr>
        <w:instrText xml:space="preserve"> ADDIN ZOTERO_ITEM CSL_CITATION {"citationID":"Sh2HUewG","properties":{"formattedCitation":"\\super 7\\nosupersub{}","plainCitation":"7","noteIndex":0},"citationItems":[{"id":"qS4agUuI/mnoHWXt3","uris":["http://www.mendeley.com/documents/?uuid=a12e76bc-6bde-39d9-98ff-f59f8e7173bc"],"itemData":{"DOI":"10.1016/j.ygeno.2011.07.007","ISSN":"08887543","abstract":"We have developed a new generation of genome-wide DNA methylation BeadChip which allows high-throughput methylation profiling of the human genome. The new high density BeadChip can assay over 480K CpG sites and analyze twelve samples in parallel. The innovative content includes coverage of 99% of RefSeq genes with multiple probes per gene, 96% of CpG islands from the UCSC database, CpG island shores and additional content selected from whole-genome bisulfite sequencing data and input from DNA methylation experts. The well-characterized Infinium® Assay is used for analysis of CpG methylation using bisulfite-converted genomic DNA. We applied this technology to analyze DNA methylation in normal and tumor DNA samples and compared results with whole-genome bisulfite sequencing (WGBS) data obtained for the same samples. Highly comparable DNA methylation profiles were generated by the array and sequencing methods (average R 2 of 0.95). The ability to determine genome-wide methylation patterns will rapidly advance methylation research. © 2011 Elsevier Inc.","author":[{"dropping-particle":"","family":"Bibikova","given":"Marina","non-dropping-particle":"","parse-names":false,"suffix":""},{"dropping-particle":"","family":"Barnes","given":"Bret","non-dropping-particle":"","parse-names":false,"suffix":""},{"dropping-particle":"","family":"Tsan","given":"Chan","non-dropping-particle":"","parse-names":false,"suffix":""},{"dropping-particle":"","family":"Ho","given":"Vincent","non-dropping-particle":"","parse-names":false,"suffix":""},{"dropping-particle":"","family":"Klotzle","given":"Brandy","non-dropping-particle":"","parse-names":false,"suffix":""},{"dropping-particle":"","family":"Le","given":"Jennie M.","non-dropping-particle":"","parse-names":false,"suffix":""},{"dropping-particle":"","family":"Delano","given":"David","non-dropping-particle":"","parse-names":false,"suffix":""},{"dropping-particle":"","family":"Zhang","given":"Lu","non-dropping-particle":"","parse-names":false,"suffix":""},{"dropping-particle":"","family":"Schroth","given":"Gary P.","non-dropping-particle":"","parse-names":false,"suffix":""},{"dropping-particle":"","family":"Gunderson","given":"Kevin L.","non-dropping-particle":"","parse-names":false,"suffix":""},{"dropping-particle":"","family":"Fan","given":"Jian Bing","non-dropping-particle":"","parse-names":false,"suffix":""},{"dropping-particle":"","family":"Shen","given":"Richard","non-dropping-particle":"","parse-names":false,"suffix":""}],"container-title":"Genomics","id":"ITEM-1","issue":"4","issued":{"date-parts":[["2011"]]},"title":"High density DNA methylation array with single CpG site resolution","type":"article-journal","volume":"98"}}],"schema":"https://github.com/citation-style-language/schema/raw/master/csl-citation.json"} </w:instrText>
      </w:r>
      <w:r>
        <w:rPr>
          <w:rFonts w:ascii="Times New Roman" w:hAnsi="Times New Roman" w:cs="Times New Roman"/>
        </w:rPr>
        <w:fldChar w:fldCharType="separate"/>
      </w:r>
      <w:r w:rsidR="00E73BFA" w:rsidRPr="00E73BFA">
        <w:rPr>
          <w:rFonts w:ascii="Times New Roman" w:hAnsi="Times New Roman" w:cs="Times New Roman"/>
          <w:vertAlign w:val="superscript"/>
        </w:rPr>
        <w:t>7</w:t>
      </w:r>
      <w:r>
        <w:rPr>
          <w:rFonts w:ascii="Times New Roman" w:hAnsi="Times New Roman" w:cs="Times New Roman"/>
        </w:rPr>
        <w:fldChar w:fldCharType="end"/>
      </w:r>
      <w:r>
        <w:rPr>
          <w:rFonts w:ascii="Times New Roman" w:hAnsi="Times New Roman" w:cs="Times New Roman"/>
        </w:rPr>
        <w:t xml:space="preserve"> in 1,802 KORA F4 samples. The </w:t>
      </w:r>
      <w:r>
        <w:rPr>
          <w:rFonts w:ascii="Times New Roman" w:hAnsi="Times New Roman" w:cs="Times New Roman"/>
        </w:rPr>
        <w:lastRenderedPageBreak/>
        <w:t>laboratory process has been described previously.</w:t>
      </w:r>
      <w:r>
        <w:rPr>
          <w:rFonts w:ascii="Times New Roman" w:hAnsi="Times New Roman" w:cs="Times New Roman"/>
        </w:rPr>
        <w:fldChar w:fldCharType="begin" w:fldLock="1"/>
      </w:r>
      <w:r w:rsidR="00E73BFA">
        <w:rPr>
          <w:rFonts w:ascii="Times New Roman" w:hAnsi="Times New Roman" w:cs="Times New Roman"/>
        </w:rPr>
        <w:instrText xml:space="preserve"> ADDIN ZOTERO_ITEM CSL_CITATION {"citationID":"rXkIqufO","properties":{"formattedCitation":"\\super 8\\nosupersub{}","plainCitation":"8","noteIndex":0},"citationItems":[{"id":"qS4agUuI/gMBU0au9","uris":["http://www.mendeley.com/documents/?uuid=765a36b9-e13d-3048-b0ae-9fd3c2608640"],"itemData":{"DOI":"10.1371/journal.pone.0063812","ISSN":"19326203","PMID":"23691101","abstract":"Environmental factors such as tobacco smoking may have long-lasting effects on DNA methylation patterns, which might lead to changes in gene expression and in a broader context to the development or progression of various diseases. We conducted an epigenome-wide association study (EWAs) comparing current, former and never smokers from 1793 participants of the population-based KORA F4 panel, with replication in 479 participants from the KORA F3 panel, carried out by the 450K BeadChip with genomic DNA obtained from whole blood. We observed wide-spread differences in the degree of site-specific methylation (with p-values ranging from 9.31E-08 to 2.54E-182) as a function of tobacco smoking in each of the 22 autosomes, with the percent of variance explained by smoking ranging from 1.31 to 41.02. Depending on cessation time and pack-years, methylation levels in former smokers were found to be close to the ones seen in never smokers. In addition, methylation-specific protein binding patterns were observed for cg05575921 within AHRR, which had the highest level of detectable changes in DNA methylation associated with tobacco smoking (-24.40% methylation; p = 2.54E-182), suggesting a regulatory role for gene expression. The results of our study confirm the broad effect of tobacco smoking on the human organism, but also show that quitting tobacco smoking presumably allows regaining the DNA methylation state of never smokers. © 2013 Zeilinger et al.","author":[{"dropping-particle":"","family":"Zeilinger","given":"Sonja","non-dropping-particle":"","parse-names":false,"suffix":""},{"dropping-particle":"","family":"Kühnel","given":"Brigitte","non-dropping-particle":"","parse-names":false,"suffix":""},{"dropping-particle":"","family":"Klopp","given":"Norman","non-dropping-particle":"","parse-names":false,"suffix":""},{"dropping-particle":"","family":"Baurecht","given":"Hansjörg","non-dropping-particle":"","parse-names":false,"suffix":""},{"dropping-particle":"","family":"Kleinschmidt","given":"Anja","non-dropping-particle":"","parse-names":false,"suffix":""},{"dropping-particle":"","family":"Gieger","given":"Christian","non-dropping-particle":"","parse-names":false,"suffix":""},{"dropping-particle":"","family":"Weidinger","given":"Stephan","non-dropping-particle":"","parse-names":false,"suffix":""},{"dropping-particle":"","family":"Lattka","given":"Eva","non-dropping-particle":"","parse-names":false,"suffix":""},{"dropping-particle":"","family":"Adamski","given":"Jerzy","non-dropping-particle":"","parse-names":false,"suffix":""},{"dropping-particle":"","family":"Peters","given":"Annette","non-dropping-particle":"","parse-names":false,"suffix":""},{"dropping-particle":"","family":"Strauch","given":"Konstantin","non-dropping-particle":"","parse-names":false,"suffix":""},{"dropping-particle":"","family":"Waldenberger","given":"Melanie","non-dropping-particle":"","parse-names":false,"suffix":""},{"dropping-particle":"","family":"Illig","given":"Thomas","non-dropping-particle":"","parse-names":false,"suffix":""}],"container-title":"PLoS ONE","id":"ITEM-1","issue":"5","issued":{"date-parts":[["2013","5","17"]]},"title":"Tobacco Smoking Leads to Extensive Genome-Wide Changes in DNA Methylation","type":"article-journal","volume":"8"}}],"schema":"https://github.com/citation-style-language/schema/raw/master/csl-citation.json"} </w:instrText>
      </w:r>
      <w:r>
        <w:rPr>
          <w:rFonts w:ascii="Times New Roman" w:hAnsi="Times New Roman" w:cs="Times New Roman"/>
        </w:rPr>
        <w:fldChar w:fldCharType="separate"/>
      </w:r>
      <w:r w:rsidR="00E73BFA" w:rsidRPr="00E73BFA">
        <w:rPr>
          <w:rFonts w:ascii="Times New Roman" w:hAnsi="Times New Roman" w:cs="Times New Roman"/>
          <w:vertAlign w:val="superscript"/>
        </w:rPr>
        <w:t>8</w:t>
      </w:r>
      <w:r>
        <w:rPr>
          <w:rFonts w:ascii="Times New Roman" w:hAnsi="Times New Roman" w:cs="Times New Roman"/>
        </w:rPr>
        <w:fldChar w:fldCharType="end"/>
      </w:r>
      <w:r>
        <w:rPr>
          <w:rFonts w:ascii="Times New Roman" w:hAnsi="Times New Roman" w:cs="Times New Roman"/>
        </w:rPr>
        <w:t xml:space="preserve"> Briefly, denatured single-stranded genomic DNA was subjected to bisulfite treatment using the EZ-96 DNA Methylation Kit (</w:t>
      </w:r>
      <w:proofErr w:type="spellStart"/>
      <w:r>
        <w:rPr>
          <w:rFonts w:ascii="Times New Roman" w:hAnsi="Times New Roman" w:cs="Times New Roman"/>
        </w:rPr>
        <w:t>Zymo</w:t>
      </w:r>
      <w:proofErr w:type="spellEnd"/>
      <w:r>
        <w:rPr>
          <w:rFonts w:ascii="Times New Roman" w:hAnsi="Times New Roman" w:cs="Times New Roman"/>
        </w:rPr>
        <w:t xml:space="preserve"> Research, Orange, CA, USA). Bisulfite-converted samples were subjected to whole genome amplification, followed by enzymatic fragmentation and application to the </w:t>
      </w:r>
      <w:proofErr w:type="spellStart"/>
      <w:r>
        <w:rPr>
          <w:rFonts w:ascii="Times New Roman" w:hAnsi="Times New Roman" w:cs="Times New Roman"/>
        </w:rPr>
        <w:t>BeadChips</w:t>
      </w:r>
      <w:proofErr w:type="spellEnd"/>
      <w:r>
        <w:rPr>
          <w:rFonts w:ascii="Times New Roman" w:hAnsi="Times New Roman" w:cs="Times New Roman"/>
        </w:rPr>
        <w:t xml:space="preserve">. The arrays were fluorescently stained and scanned with the Illumina </w:t>
      </w:r>
      <w:proofErr w:type="spellStart"/>
      <w:r>
        <w:rPr>
          <w:rFonts w:ascii="Times New Roman" w:hAnsi="Times New Roman" w:cs="Times New Roman"/>
        </w:rPr>
        <w:t>HiScan</w:t>
      </w:r>
      <w:proofErr w:type="spellEnd"/>
      <w:r>
        <w:rPr>
          <w:rFonts w:ascii="Times New Roman" w:hAnsi="Times New Roman" w:cs="Times New Roman"/>
        </w:rPr>
        <w:t xml:space="preserve"> SQ scanner. As readout, a methylated and an unmethylated signal count per CpG site are obtained. Counts were combined to β-values, defined as the ratio of the methylated signal intensity divided by the overall signal </w:t>
      </w:r>
      <w:r w:rsidRPr="00E21FC3">
        <w:rPr>
          <w:rFonts w:ascii="Times New Roman" w:hAnsi="Times New Roman" w:cs="Times New Roman"/>
          <w:color w:val="000000" w:themeColor="text1"/>
        </w:rPr>
        <w:t>intensity: β-value</w:t>
      </w:r>
      <w:r>
        <w:rPr>
          <w:rFonts w:ascii="Times New Roman" w:hAnsi="Times New Roman" w:cs="Times New Roman"/>
        </w:rPr>
        <w:t>,</w:t>
      </w:r>
      <w:r w:rsidR="00E21FC3">
        <w:rPr>
          <w:rFonts w:ascii="Times New Roman" w:hAnsi="Times New Roman" w:cs="Times New Roman"/>
        </w:rPr>
        <w:t xml:space="preserve"> </w:t>
      </w:r>
      <w:r>
        <w:rPr>
          <w:rFonts w:ascii="Times New Roman" w:hAnsi="Times New Roman" w:cs="Times New Roman"/>
        </w:rPr>
        <w:t xml:space="preserve">M/(M+U+α), where an </w:t>
      </w:r>
      <w:bookmarkStart w:id="5" w:name="OLE_LINK128"/>
      <w:r>
        <w:rPr>
          <w:rFonts w:ascii="Times New Roman" w:hAnsi="Times New Roman" w:cs="Times New Roman"/>
        </w:rPr>
        <w:t xml:space="preserve">offset </w:t>
      </w:r>
      <w:bookmarkEnd w:id="5"/>
      <w:r>
        <w:rPr>
          <w:rFonts w:ascii="Times New Roman" w:hAnsi="Times New Roman" w:cs="Times New Roman"/>
        </w:rPr>
        <w:t>was added as a regularization for the situation when both M and U are low, as recommended by Illumina.</w:t>
      </w:r>
    </w:p>
    <w:p w14:paraId="38F2F11E" w14:textId="3984B8DD" w:rsidR="00EA3E0A" w:rsidRDefault="00E00610">
      <w:pPr>
        <w:spacing w:line="480" w:lineRule="auto"/>
        <w:ind w:firstLine="720"/>
        <w:rPr>
          <w:rFonts w:ascii="Times New Roman" w:hAnsi="Times New Roman" w:cs="Times New Roman"/>
        </w:rPr>
      </w:pPr>
      <w:r>
        <w:rPr>
          <w:rFonts w:ascii="Times New Roman" w:hAnsi="Times New Roman" w:cs="Times New Roman"/>
        </w:rPr>
        <w:t xml:space="preserve">DNA methylation data were preprocessed as follows. First, 65 probes that represent SNPs were excluded. Second, background correction was performed using the R package </w:t>
      </w:r>
      <w:proofErr w:type="spellStart"/>
      <w:r>
        <w:rPr>
          <w:rFonts w:ascii="Times New Roman" w:hAnsi="Times New Roman" w:cs="Times New Roman"/>
          <w:i/>
          <w:iCs/>
        </w:rPr>
        <w:t>minfi</w:t>
      </w:r>
      <w:proofErr w:type="spellEnd"/>
      <w:r>
        <w:rPr>
          <w:rFonts w:ascii="Times New Roman" w:hAnsi="Times New Roman" w:cs="Times New Roman"/>
        </w:rPr>
        <w:t>, version 1.6.0.</w:t>
      </w:r>
      <w:r>
        <w:rPr>
          <w:rFonts w:ascii="Times New Roman" w:hAnsi="Times New Roman" w:cs="Times New Roman"/>
        </w:rPr>
        <w:fldChar w:fldCharType="begin" w:fldLock="1"/>
      </w:r>
      <w:r w:rsidR="00E73BFA">
        <w:rPr>
          <w:rFonts w:ascii="Times New Roman" w:hAnsi="Times New Roman" w:cs="Times New Roman"/>
        </w:rPr>
        <w:instrText xml:space="preserve"> ADDIN ZOTERO_ITEM CSL_CITATION {"citationID":"F7GKzahG","properties":{"formattedCitation":"\\super 9\\nosupersub{}","plainCitation":"9","noteIndex":0},"citationItems":[{"id":"qS4agUuI/KmWklcva","uris":["http://www.mendeley.com/documents/?uuid=2b85adf4-9224-3b3d-8d36-28b7d27a9361"],"itemData":{"DOI":"10.1093/bioinformatics/btu049","ISSN":"14602059","abstract":"Motivation: The recently released Infinium HumanMethylation450 array (the '450k' array) provides a high-throughput assay to quantify DNA methylation (DNAm) at </w:instrText>
      </w:r>
      <w:r w:rsidR="00E73BFA">
        <w:rPr>
          <w:rFonts w:ascii="Cambria Math" w:hAnsi="Cambria Math" w:cs="Cambria Math"/>
        </w:rPr>
        <w:instrText>∼</w:instrText>
      </w:r>
      <w:r w:rsidR="00E73BFA">
        <w:rPr>
          <w:rFonts w:ascii="Times New Roman" w:hAnsi="Times New Roman" w:cs="Times New Roman"/>
        </w:rPr>
        <w:instrText xml:space="preserve">450 000 loci across a range of genomic features. Although less comprehensive than high-throughput sequencing-based techniques, this product is more cost-effective and promises to be the most widely used DNAm high-throughput measurement technology over the next several years. Results: Here we describe a suite of computational tools that incorporate state-of-the-art statistical techniques for the analysis of DNAm data. The software is structured to easily adapt to future versions of the technology. We include methods for preprocessing, quality assessment and detection of differentially methylated regions from the kilobase to the megabase scale. We show how our software provides a powerful and flexible development platform for future methods. We also illustrate how our methods empower the technology to make discoveries previously thought to be possible only with sequencing-based methods. © The Author 2014.","author":[{"dropping-particle":"","family":"Aryee","given":"Martin J.","non-dropping-particle":"","parse-names":false,"suffix":""},{"dropping-particle":"","family":"Jaffe","given":"Andrew E.","non-dropping-particle":"","parse-names":false,"suffix":""},{"dropping-particle":"","family":"Corrada-Bravo","given":"Hector","non-dropping-particle":"","parse-names":false,"suffix":""},{"dropping-particle":"","family":"Ladd-Acosta","given":"Christine","non-dropping-particle":"","parse-names":false,"suffix":""},{"dropping-particle":"","family":"Feinberg","given":"Andrew P.","non-dropping-particle":"","parse-names":false,"suffix":""},{"dropping-particle":"","family":"Hansen","given":"Kasper D.","non-dropping-particle":"","parse-names":false,"suffix":""},{"dropping-particle":"","family":"Irizarry","given":"Rafael A.","non-dropping-particle":"","parse-names":false,"suffix":""}],"container-title":"Bioinformatics","id":"ITEM-1","issue":"10","issued":{"date-parts":[["2014"]]},"title":"Minfi: A flexible and comprehensive Bioconductor package for the analysis of Infinium DNA methylation microarrays","type":"article-journal","volume":"30"}}],"schema":"https://github.com/citation-style-language/schema/raw/master/csl-citation.json"} </w:instrText>
      </w:r>
      <w:r>
        <w:rPr>
          <w:rFonts w:ascii="Times New Roman" w:hAnsi="Times New Roman" w:cs="Times New Roman"/>
        </w:rPr>
        <w:fldChar w:fldCharType="separate"/>
      </w:r>
      <w:r w:rsidR="00E73BFA" w:rsidRPr="00E73BFA">
        <w:rPr>
          <w:rFonts w:ascii="Times New Roman" w:hAnsi="Times New Roman" w:cs="Times New Roman"/>
          <w:vertAlign w:val="superscript"/>
        </w:rPr>
        <w:t>9</w:t>
      </w:r>
      <w:r>
        <w:rPr>
          <w:rFonts w:ascii="Times New Roman" w:hAnsi="Times New Roman" w:cs="Times New Roman"/>
        </w:rPr>
        <w:fldChar w:fldCharType="end"/>
      </w:r>
      <w:r>
        <w:rPr>
          <w:rFonts w:ascii="Times New Roman" w:hAnsi="Times New Roman" w:cs="Times New Roman"/>
        </w:rPr>
        <w:t xml:space="preserve"> Third, detection p-values were defined as the probability of a signal being detected above the background signal level, as estimated from negative control probes. Consequently, signals with detection p-values ≥ 0.01 were </w:t>
      </w:r>
      <w:proofErr w:type="gramStart"/>
      <w:r>
        <w:rPr>
          <w:rFonts w:ascii="Times New Roman" w:hAnsi="Times New Roman" w:cs="Times New Roman"/>
        </w:rPr>
        <w:t>removed, since</w:t>
      </w:r>
      <w:proofErr w:type="gramEnd"/>
      <w:r>
        <w:rPr>
          <w:rFonts w:ascii="Times New Roman" w:hAnsi="Times New Roman" w:cs="Times New Roman"/>
        </w:rPr>
        <w:t xml:space="preserve"> they indicate putatively unreliable signals. Similarly, signals summarized from less than three functional beads on the chip were characterized as potentially unreliable and removed from the data set. Observations with less than 95% CpG sites providing reliable signals (75 in KORA F4) were excluded. </w:t>
      </w:r>
    </w:p>
    <w:p w14:paraId="5B18EDAE" w14:textId="2B567E6A" w:rsidR="00EA3E0A" w:rsidRDefault="00E00610">
      <w:pPr>
        <w:spacing w:line="480" w:lineRule="auto"/>
        <w:ind w:firstLine="720"/>
        <w:rPr>
          <w:rFonts w:ascii="Times New Roman" w:hAnsi="Times New Roman" w:cs="Times New Roman"/>
          <w:lang w:eastAsia="zh-CN"/>
        </w:rPr>
      </w:pPr>
      <w:r>
        <w:rPr>
          <w:rFonts w:ascii="Times New Roman" w:hAnsi="Times New Roman" w:cs="Times New Roman"/>
        </w:rPr>
        <w:t>To reduce the non-biological variability between observations, data were normalized using quantile normalization on the raw signal intensities.</w:t>
      </w:r>
      <w:r>
        <w:rPr>
          <w:rFonts w:ascii="Times New Roman" w:hAnsi="Times New Roman" w:cs="Times New Roman"/>
        </w:rPr>
        <w:fldChar w:fldCharType="begin" w:fldLock="1"/>
      </w:r>
      <w:r w:rsidR="00E73BFA">
        <w:rPr>
          <w:rFonts w:ascii="Times New Roman" w:hAnsi="Times New Roman" w:cs="Times New Roman"/>
        </w:rPr>
        <w:instrText xml:space="preserve"> ADDIN ZOTERO_ITEM CSL_CITATION {"citationID":"l0DrvGi9","properties":{"formattedCitation":"\\super 10\\nosupersub{}","plainCitation":"10","noteIndex":0},"citationItems":[{"id":"qS4agUuI/gbPd8DOy","uris":["http://www.mendeley.com/documents/?uuid=600f3fd7-0709-304a-a313-4091135beba3"],"itemData":{"DOI":"10.1186/s13059-015-0600-x","ISSN":"1474760X","abstract":"DNA methylation plays a fundamental role in the regulation of the genome, but the optimal strategy for analysis of genome-wide DNA methylation data remains to be determined. We developed a comprehensive analysis pipeline for epigenome-wide association studies (EWAS) using the Illumina Infinium HumanMethylation450 BeadChip, based on 2,687 individuals, with 36 samples measured in duplicate. We propose new approaches to quality control, data normalisation and batch correction through control-probe adjustment and establish a null hypothesis for EWAS using permutation testing. Our analysis pipeline outperforms existing approaches, enabling accurate identification of methylation quantitative trait loci for hypothesis driven follow-up experiments.","author":[{"dropping-particle":"","family":"Lehne","given":"Benjamin","non-dropping-particle":"","parse-names":false,"suffix":""},{"dropping-particle":"","family":"Drong","given":"Alexander W.","non-dropping-particle":"","parse-names":false,"suffix":""},{"dropping-particle":"","family":"Loh","given":"Marie","non-dropping-particle":"","parse-names":false,"suffix":""},{"dropping-particle":"","family":"Zhang","given":"Weihua","non-dropping-particle":"","parse-names":false,"suffix":""},{"dropping-particle":"","family":"Scott","given":"William R.","non-dropping-particle":"","parse-names":false,"suffix":""},{"dropping-particle":"","family":"Tan","given":"Sian Tsung","non-dropping-particle":"","parse-names":false,"suffix":""},{"dropping-particle":"","family":"Afzal","given":"Uzma","non-dropping-particle":"","parse-names":false,"suffix":""},{"dropping-particle":"","family":"Scott","given":"James","non-dropping-particle":"","parse-names":false,"suffix":""},{"dropping-particle":"","family":"Jarvelin","given":"Marjo Riitta","non-dropping-particle":"","parse-names":false,"suffix":""},{"dropping-particle":"","family":"Elliott","given":"Paul","non-dropping-particle":"","parse-names":false,"suffix":""},{"dropping-particle":"","family":"McCarthy","given":"Mark I.","non-dropping-particle":"","parse-names":false,"suffix":""},{"dropping-particle":"","family":"Kooner","given":"Jaspal S.","non-dropping-particle":"","parse-names":false,"suffix":""},{"dropping-particle":"","family":"Chambers","given":"John C.","non-dropping-particle":"","parse-names":false,"suffix":""}],"container-title":"Genome Biology","id":"ITEM-1","issue":"1","issued":{"date-parts":[["2015"]]},"title":"A coherent approach for analysis of the Illumina HumanMethylation450 BeadChip improves data quality and performance in epigenome-wide association studies","type":"article-journal","volume":"16"}}],"schema":"https://github.com/citation-style-language/schema/raw/master/csl-citation.json"} </w:instrText>
      </w:r>
      <w:r>
        <w:rPr>
          <w:rFonts w:ascii="Times New Roman" w:hAnsi="Times New Roman" w:cs="Times New Roman"/>
        </w:rPr>
        <w:fldChar w:fldCharType="separate"/>
      </w:r>
      <w:r w:rsidR="00E73BFA" w:rsidRPr="00E73BFA">
        <w:rPr>
          <w:rFonts w:ascii="Times New Roman" w:hAnsi="Times New Roman" w:cs="Times New Roman"/>
          <w:vertAlign w:val="superscript"/>
        </w:rPr>
        <w:t>10</w:t>
      </w:r>
      <w:r>
        <w:rPr>
          <w:rFonts w:ascii="Times New Roman" w:hAnsi="Times New Roman" w:cs="Times New Roman"/>
        </w:rPr>
        <w:fldChar w:fldCharType="end"/>
      </w:r>
      <w:r>
        <w:rPr>
          <w:rFonts w:ascii="Times New Roman" w:hAnsi="Times New Roman" w:cs="Times New Roman"/>
        </w:rPr>
        <w:t xml:space="preserve"> Precisely, QN was stratified to six probe categories based on probe type and color channel (i.e., </w:t>
      </w:r>
      <w:bookmarkStart w:id="6" w:name="OLE_LINK129"/>
      <w:r>
        <w:rPr>
          <w:rFonts w:ascii="Times New Roman" w:hAnsi="Times New Roman" w:cs="Times New Roman"/>
        </w:rPr>
        <w:t>Infinium I signals from beads targeting methylated CpG sites obtained through the red and the green color channels, Infinium I signals from beads targeting unmethylated CpG sites obtained through the red and the green color channels, and Infinium II signals obtained through the red and the green color channels</w:t>
      </w:r>
      <w:bookmarkEnd w:id="6"/>
      <w:r>
        <w:rPr>
          <w:rFonts w:ascii="Times New Roman" w:hAnsi="Times New Roman" w:cs="Times New Roman"/>
        </w:rPr>
        <w:t>, as previously mentioned</w:t>
      </w:r>
      <w:r>
        <w:rPr>
          <w:rFonts w:ascii="Times New Roman" w:hAnsi="Times New Roman" w:cs="Times New Roman"/>
        </w:rPr>
        <w:fldChar w:fldCharType="begin" w:fldLock="1"/>
      </w:r>
      <w:r w:rsidR="00E73BFA">
        <w:rPr>
          <w:rFonts w:ascii="Times New Roman" w:hAnsi="Times New Roman" w:cs="Times New Roman"/>
        </w:rPr>
        <w:instrText xml:space="preserve"> ADDIN ZOTERO_ITEM CSL_CITATION {"citationID":"g7KYanYh","properties":{"formattedCitation":"\\super 7\\nosupersub{}","plainCitation":"7","noteIndex":0},"citationItems":[{"id":"qS4agUuI/mnoHWXt3","uris":["http://www.mendeley.com/documents/?uuid=a12e76bc-6bde-39d9-98ff-f59f8e7173bc"],"itemData":{"DOI":"10.1016/j.ygeno.2011.07.007","ISSN":"08887543","abstract":"We have developed a new generation of genome-wide DNA methylation BeadChip which allows high-throughput methylation profiling of the human genome. The new high density BeadChip can assay over 480K CpG sites and analyze twelve samples in parallel. The innovative content includes coverage of 99% of RefSeq genes with multiple probes per gene, 96% of CpG islands from the UCSC database, CpG island shores and additional content selected from whole-genome bisulfite sequencing data and input from DNA methylation experts. The well-characterized Infinium® Assay is used for analysis of CpG methylation using bisulfite-converted genomic DNA. We applied this technology to analyze DNA methylation in normal and tumor DNA samples and compared results with whole-genome bisulfite sequencing (WGBS) data obtained for the same samples. Highly comparable DNA methylation profiles were generated by the array and sequencing methods (average R 2 of 0.95). The ability to determine genome-wide methylation patterns will rapidly advance methylation research. © 2011 Elsevier Inc.","author":[{"dropping-particle":"","family":"Bibikova","given":"Marina","non-dropping-particle":"","parse-names":false,"suffix":""},{"dropping-particle":"","family":"Barnes","given":"Bret","non-dropping-particle":"","parse-names":false,"suffix":""},{"dropping-particle":"","family":"Tsan","given":"Chan","non-dropping-particle":"","parse-names":false,"suffix":""},{"dropping-particle":"","family":"Ho","given":"Vincent","non-dropping-particle":"","parse-names":false,"suffix":""},{"dropping-particle":"","family":"Klotzle","given":"Brandy","non-dropping-particle":"","parse-names":false,"suffix":""},{"dropping-particle":"","family":"Le","given":"Jennie M.","non-dropping-particle":"","parse-names":false,"suffix":""},{"dropping-particle":"","family":"Delano","given":"David","non-dropping-particle":"","parse-names":false,"suffix":""},{"dropping-particle":"","family":"Zhang","given":"Lu","non-dropping-particle":"","parse-names":false,"suffix":""},{"dropping-particle":"","family":"Schroth","given":"Gary P.","non-dropping-particle":"","parse-names":false,"suffix":""},{"dropping-particle":"","family":"Gunderson","given":"Kevin L.","non-dropping-particle":"","parse-names":false,"suffix":""},{"dropping-particle":"","family":"Fan","given":"Jian Bing","non-dropping-particle":"","parse-names":false,"suffix":""},{"dropping-particle":"","family":"Shen","given":"Richard","non-dropping-particle":"","parse-names":false,"suffix":""}],"container-title":"Genomics","id":"ITEM-1","issue":"4","issued":{"date-parts":[["2011"]]},"title":"High density DNA methylation array with single CpG site resolution","type":"article-journal","volume":"98"}}],"schema":"https://github.com/citation-style-language/schema/raw/master/csl-citation.json"} </w:instrText>
      </w:r>
      <w:r>
        <w:rPr>
          <w:rFonts w:ascii="Times New Roman" w:hAnsi="Times New Roman" w:cs="Times New Roman"/>
        </w:rPr>
        <w:fldChar w:fldCharType="separate"/>
      </w:r>
      <w:r w:rsidR="00E73BFA" w:rsidRPr="00E73BFA">
        <w:rPr>
          <w:rFonts w:ascii="Times New Roman" w:hAnsi="Times New Roman" w:cs="Times New Roman"/>
          <w:vertAlign w:val="superscript"/>
        </w:rPr>
        <w:t>7</w:t>
      </w:r>
      <w:r>
        <w:rPr>
          <w:rFonts w:ascii="Times New Roman" w:hAnsi="Times New Roman" w:cs="Times New Roman"/>
        </w:rPr>
        <w:fldChar w:fldCharType="end"/>
      </w:r>
      <w:r>
        <w:rPr>
          <w:rFonts w:ascii="Times New Roman" w:hAnsi="Times New Roman" w:cs="Times New Roman"/>
        </w:rPr>
        <w:t xml:space="preserve">) using the R package </w:t>
      </w:r>
      <w:proofErr w:type="spellStart"/>
      <w:r>
        <w:rPr>
          <w:rFonts w:ascii="Times New Roman" w:hAnsi="Times New Roman" w:cs="Times New Roman"/>
          <w:i/>
          <w:iCs/>
        </w:rPr>
        <w:t>limma</w:t>
      </w:r>
      <w:proofErr w:type="spellEnd"/>
      <w:r>
        <w:rPr>
          <w:rFonts w:ascii="Times New Roman" w:hAnsi="Times New Roman" w:cs="Times New Roman"/>
        </w:rPr>
        <w:t>, version 3.16.5.</w:t>
      </w:r>
      <w:r>
        <w:rPr>
          <w:rFonts w:ascii="Times New Roman" w:hAnsi="Times New Roman" w:cs="Times New Roman"/>
        </w:rPr>
        <w:fldChar w:fldCharType="begin" w:fldLock="1"/>
      </w:r>
      <w:r w:rsidR="00E73BFA">
        <w:rPr>
          <w:rFonts w:ascii="Times New Roman" w:hAnsi="Times New Roman" w:cs="Times New Roman"/>
        </w:rPr>
        <w:instrText xml:space="preserve"> ADDIN ZOTERO_ITEM CSL_CITATION {"citationID":"ytxm6u9C","properties":{"formattedCitation":"\\super 11\\nosupersub{}","plainCitation":"11","noteIndex":0},"citationItems":[{"id":"qS4agUuI/z19ppTTo","uris":["http://www.mendeley.com/documents/?uuid=459b861b-64e2-329a-993f-ca3216855861"],"itemData":{"DOI":"10.1093/nar/gkv007","ISSN":"13624962","abstract":"limma is an R/Bioconductor software package that provides an integrated solution for analysing data from gene expression experiments. It contains rich features for handling complex experimental designs and for information borrowing to overcome the problem of small sample sizes. Over the past decade, limma has been a popular choice for gene discovery through differential expression analyses of microarray and high-throughput PCR data. The package contains particularly strong facilities for reading, normalizing and exploring such data. Recently, the capabilities of limma have been significantly expanded in two important directions. First, the package can now perform both differential expression and differential splicing analyses of RNA sequencing (RNA-seq) data. All the downstream analysis tools previously restricted to microarray data are now available for RNA-seq as well. These capabilities allow users to analyse both RNA-seq and microarray data with very similar pipelines. Second, the package is now able to go past the traditional gene-wise expression analyses in a variety of ways, analysing expression profiles in terms of co-regulated sets of genes or in terms of higher-order expression signatures. This provides enhanced possibilities for biological interpretation of gene expression differences. This article reviews the philosophy and design of the limma package, summarizing both new and historical features, with an emphasis on recent enhancements and features that have not been previously described.","author":[{"dropping-particle":"","family":"Ritchie","given":"Matthew E.","non-dropping-particle":"","parse-names":false,"suffix":""},{"dropping-particle":"","family":"Phipson","given":"Belinda","non-dropping-particle":"","parse-names":false,"suffix":""},{"dropping-particle":"","family":"Wu","given":"Di","non-dropping-particle":"","parse-names":false,"suffix":""},{"dropping-particle":"","family":"Hu","given":"Yifang","non-dropping-particle":"","parse-names":false,"suffix":""},{"dropping-particle":"","family":"Law","given":"Charity W.","non-dropping-particle":"","parse-names":false,"suffix":""},{"dropping-particle":"","family":"Shi","given":"Wei","non-dropping-particle":"","parse-names":false,"suffix":""},{"dropping-particle":"","family":"Smyth","given":"Gordon K.","non-dropping-particle":"","parse-names":false,"suffix":""}],"container-title":"Nucleic Acids Research","id":"ITEM-1","issue":"7","issued":{"date-parts":[["2015"]]},"title":"Limma powers differential expression analyses for RNA-sequencing and microarray studies","type":"article-journal","volume":"43"}}],"schema":"https://github.com/citation-style-language/schema/raw/master/csl-citation.json"} </w:instrText>
      </w:r>
      <w:r>
        <w:rPr>
          <w:rFonts w:ascii="Times New Roman" w:hAnsi="Times New Roman" w:cs="Times New Roman"/>
        </w:rPr>
        <w:fldChar w:fldCharType="separate"/>
      </w:r>
      <w:r w:rsidR="00E73BFA" w:rsidRPr="00E73BFA">
        <w:rPr>
          <w:rFonts w:ascii="Times New Roman" w:hAnsi="Times New Roman" w:cs="Times New Roman"/>
          <w:vertAlign w:val="superscript"/>
        </w:rPr>
        <w:t>11</w:t>
      </w:r>
      <w:r>
        <w:rPr>
          <w:rFonts w:ascii="Times New Roman" w:hAnsi="Times New Roman" w:cs="Times New Roman"/>
        </w:rPr>
        <w:fldChar w:fldCharType="end"/>
      </w:r>
    </w:p>
    <w:p w14:paraId="6663079F" w14:textId="77777777" w:rsidR="00EA3E0A" w:rsidRDefault="00E00610">
      <w:pPr>
        <w:spacing w:line="480" w:lineRule="auto"/>
        <w:rPr>
          <w:rFonts w:ascii="Times New Roman" w:hAnsi="Times New Roman" w:cs="Times New Roman"/>
          <w:i/>
          <w:iCs/>
          <w:u w:val="single"/>
          <w:lang w:eastAsia="zh-CN"/>
        </w:rPr>
      </w:pPr>
      <w:r>
        <w:rPr>
          <w:rFonts w:ascii="Times New Roman" w:hAnsi="Times New Roman" w:cs="Times New Roman"/>
          <w:i/>
          <w:iCs/>
          <w:u w:val="single"/>
          <w:lang w:eastAsia="zh-CN"/>
        </w:rPr>
        <w:t xml:space="preserve">Clinical phenotype collection and measurement </w:t>
      </w:r>
    </w:p>
    <w:p w14:paraId="00284FAF" w14:textId="40CF0506" w:rsidR="00EA3E0A" w:rsidRDefault="00E00610" w:rsidP="00580FBE">
      <w:pPr>
        <w:spacing w:line="480" w:lineRule="auto"/>
        <w:ind w:firstLine="720"/>
        <w:rPr>
          <w:rFonts w:ascii="Times New Roman" w:hAnsi="Times New Roman" w:cs="Times New Roman"/>
        </w:rPr>
      </w:pPr>
      <w:r>
        <w:rPr>
          <w:rFonts w:ascii="Times New Roman" w:hAnsi="Times New Roman" w:cs="Times New Roman"/>
          <w:lang w:eastAsia="zh-CN"/>
        </w:rPr>
        <w:lastRenderedPageBreak/>
        <w:t xml:space="preserve">Unlike other cohorts, AF was not utilized as an exclusion criterion as KORA did not have this variable </w:t>
      </w:r>
      <w:proofErr w:type="gramStart"/>
      <w:r>
        <w:rPr>
          <w:rFonts w:ascii="Times New Roman" w:hAnsi="Times New Roman" w:cs="Times New Roman"/>
          <w:lang w:eastAsia="zh-CN"/>
        </w:rPr>
        <w:t>at the moment</w:t>
      </w:r>
      <w:proofErr w:type="gramEnd"/>
      <w:r>
        <w:rPr>
          <w:rFonts w:ascii="Times New Roman" w:hAnsi="Times New Roman" w:cs="Times New Roman"/>
          <w:lang w:eastAsia="zh-CN"/>
        </w:rPr>
        <w:t xml:space="preserve"> analysis was performed; however, prevalence of AF is low in this cohort regardless. </w:t>
      </w:r>
      <w:proofErr w:type="gramStart"/>
      <w:r>
        <w:rPr>
          <w:rFonts w:ascii="Times New Roman" w:hAnsi="Times New Roman" w:cs="Times New Roman"/>
          <w:lang w:eastAsia="zh-CN"/>
        </w:rPr>
        <w:t>With regard to</w:t>
      </w:r>
      <w:proofErr w:type="gramEnd"/>
      <w:r>
        <w:rPr>
          <w:rFonts w:ascii="Times New Roman" w:hAnsi="Times New Roman" w:cs="Times New Roman"/>
          <w:lang w:eastAsia="zh-CN"/>
        </w:rPr>
        <w:t xml:space="preserve"> smoking status, KORA participants were categorized into one of three groups: 1) the participant is either a regular smoker or a non-regular smoker (without specifying the number of cigarettes smoked), 2) the participant is a former smoker, and 3) the participants has </w:t>
      </w:r>
      <w:r w:rsidRPr="00591FCD">
        <w:rPr>
          <w:rFonts w:ascii="Times New Roman" w:hAnsi="Times New Roman" w:cs="Times New Roman"/>
          <w:lang w:eastAsia="zh-CN"/>
        </w:rPr>
        <w:t xml:space="preserve">never smoked. </w:t>
      </w:r>
      <w:r w:rsidR="00580FBE" w:rsidRPr="00591FCD">
        <w:rPr>
          <w:rFonts w:ascii="Times New Roman" w:hAnsi="Times New Roman" w:cs="Times New Roman"/>
          <w:lang w:eastAsia="zh-CN"/>
        </w:rPr>
        <w:t>In the standardized interview, participant answered questions if they consumed alcohol in the past week or weekend. For those who answered yes, alcohol intake was assessed by the number of drinks of each types of alcoholic drinks over the weekend and on workd</w:t>
      </w:r>
      <w:r w:rsidR="00580FBE" w:rsidRPr="00591FCD">
        <w:rPr>
          <w:rFonts w:ascii="Times New Roman" w:hAnsi="Times New Roman" w:cs="Times New Roman"/>
        </w:rPr>
        <w:t>ays in the previous week.</w:t>
      </w:r>
      <w:r w:rsidR="00591FCD" w:rsidRPr="00591FCD">
        <w:rPr>
          <w:rFonts w:ascii="Times New Roman" w:hAnsi="Times New Roman" w:cs="Times New Roman"/>
        </w:rPr>
        <w:fldChar w:fldCharType="begin"/>
      </w:r>
      <w:r w:rsidR="00591FCD" w:rsidRPr="00591FCD">
        <w:rPr>
          <w:rFonts w:ascii="Times New Roman" w:hAnsi="Times New Roman" w:cs="Times New Roman"/>
        </w:rPr>
        <w:instrText xml:space="preserve"> ADDIN ZOTERO_ITEM CSL_CITATION {"citationID":"k3LFm3tU","properties":{"formattedCitation":"\\super 12\\nosupersub{}","plainCitation":"12","noteIndex":0},"citationItems":[{"id":569,"uris":["http://zotero.org/users/local/S7bnMkzI/items/57WG8SFH"],"itemData":{"id":569,"type":"article-journal","abstract":"Abstract\n            \n              Background\n              Several studies have shown a protective association of moderate alcohol intake with mortality. However, it remains unclear whether this relationship could be due to misclassification confounding. As psychosocial stressors are among those factors that have not been sufficiently controlled for, we assessed whether they may confound the relationship between alcohol consumption and all-cause mortality.\n            \n            \n              Methods\n              Three cross-sectional MONICA surveys (conducted 1984–1995) including 11,282 subjects aged 25–74 years were followed up within the framework of KORA (Cooperative Health Research in the Region of Augsburg), a population-based cohort, until 2002. The prevalences of diseases as well as of lifestyle, clinical and psychosocial variables were compared in different alcohol consumption categories. To assess all-cause mortality risks, hazard ratios (HRs) were estimated by Cox proportional hazards models which included lifestyle, clinical and psychosocial variables.\n            \n            \n              Results\n              Diseases were more prevalent among non-drinkers than among drinkers: Moreover, non-drinkers showed a higher percentage of an unfavourable lifestyle and were more affected with psychosocial stressors at baseline. Multivariable-adjusted HRs for moderate alcohol consumption versus no consumption were 0.74 (95% confidence interval (CI): 0.58-0.94) in men and 0.87 (95% CI: 0.66-1.16) in women. In men, moderate drinkers had a significantly lower all-cause mortality risk than non-drinkers or heavy drinkers (p = 0.002) even after multivariable adjustment. In women, moderate alcohol consumption was not associated with lowered risk of death from all causes.\n            \n            \n              Conclusions\n              The present study confirmed the impact of sick quitters on mortality risk, but failed to show that the association between alcohol consumption and mortality is confounded by psychosocial stressors.","container-title":"BMC Public Health","DOI":"10.1186/1471-2458-14-312","ISSN":"1471-2458","issue":"1","journalAbbreviation":"BMC Public Health","language":"en","page":"312","source":"DOI.org (Crossref)","title":"Are psychosocial stressors associated with the relationship of alcohol consumption and all-cause mortality?","volume":"14","author":[{"family":"Ruf","given":"Esther"},{"family":"Baumert","given":"Jens"},{"family":"Meisinger","given":"Christa"},{"family":"Döring","given":"Angela"},{"family":"Ladwig","given":"Karl-Heinz"},{"literal":"for the MONICA/KORA investigators"}],"issued":{"date-parts":[["2014",12]]}}}],"schema":"https://github.com/citation-style-language/schema/raw/master/csl-citation.json"} </w:instrText>
      </w:r>
      <w:r w:rsidR="00591FCD" w:rsidRPr="00591FCD">
        <w:rPr>
          <w:rFonts w:ascii="Times New Roman" w:hAnsi="Times New Roman" w:cs="Times New Roman"/>
        </w:rPr>
        <w:fldChar w:fldCharType="separate"/>
      </w:r>
      <w:r w:rsidR="00591FCD" w:rsidRPr="00591FCD">
        <w:rPr>
          <w:rFonts w:ascii="Times New Roman" w:hAnsi="Times New Roman" w:cs="Times New Roman"/>
          <w:vertAlign w:val="superscript"/>
        </w:rPr>
        <w:t>12</w:t>
      </w:r>
      <w:r w:rsidR="00591FCD" w:rsidRPr="00591FCD">
        <w:rPr>
          <w:rFonts w:ascii="Times New Roman" w:hAnsi="Times New Roman" w:cs="Times New Roman"/>
        </w:rPr>
        <w:fldChar w:fldCharType="end"/>
      </w:r>
      <w:r w:rsidR="00580FBE" w:rsidRPr="00591FCD">
        <w:rPr>
          <w:rFonts w:ascii="Times New Roman" w:hAnsi="Times New Roman" w:cs="Times New Roman"/>
        </w:rPr>
        <w:t xml:space="preserve"> </w:t>
      </w:r>
      <w:r w:rsidRPr="00591FCD">
        <w:rPr>
          <w:rFonts w:ascii="Times New Roman" w:hAnsi="Times New Roman" w:cs="Times New Roman"/>
        </w:rPr>
        <w:t>Individuals</w:t>
      </w:r>
      <w:r>
        <w:rPr>
          <w:rFonts w:ascii="Times New Roman" w:hAnsi="Times New Roman" w:cs="Times New Roman"/>
        </w:rPr>
        <w:t xml:space="preserve"> at the time of DNA methylation measurement (KORA F4) were removed if they had previously had a myocardial infarct stationary treated, a stroke stationary treated, Angina pectoris (without regard to the exact localization), a history of coronary heart disease (in particular, one treated within the 12 months previous to DNA methylation measurement), a history of heart insufficiency (in particular, one treated within the 12 months previous to DNA methylation measurement). Individuals missing information regarding the above criteria or who responded “don’t know” were </w:t>
      </w:r>
      <w:bookmarkStart w:id="7" w:name="OLE_LINK130"/>
      <w:r>
        <w:rPr>
          <w:rFonts w:ascii="Times New Roman" w:hAnsi="Times New Roman" w:cs="Times New Roman"/>
        </w:rPr>
        <w:t xml:space="preserve">retained </w:t>
      </w:r>
      <w:bookmarkEnd w:id="7"/>
      <w:r>
        <w:rPr>
          <w:rFonts w:ascii="Times New Roman" w:hAnsi="Times New Roman" w:cs="Times New Roman"/>
        </w:rPr>
        <w:t xml:space="preserve">in the regression analysis. When a participant was missing DNA methylation value, since the number of missing </w:t>
      </w:r>
      <w:proofErr w:type="spellStart"/>
      <w:r>
        <w:rPr>
          <w:rFonts w:ascii="Times New Roman" w:hAnsi="Times New Roman" w:cs="Times New Roman"/>
        </w:rPr>
        <w:t>CpGs</w:t>
      </w:r>
      <w:proofErr w:type="spellEnd"/>
      <w:r>
        <w:rPr>
          <w:rFonts w:ascii="Times New Roman" w:hAnsi="Times New Roman" w:cs="Times New Roman"/>
        </w:rPr>
        <w:t xml:space="preserve"> was low, we set missing CpG value to 0, and thus, no individuals were excluded based on missing methylation data. </w:t>
      </w:r>
    </w:p>
    <w:p w14:paraId="258595C9" w14:textId="77777777" w:rsidR="00EA3E0A" w:rsidRDefault="00E00610">
      <w:pPr>
        <w:spacing w:line="480" w:lineRule="auto"/>
        <w:ind w:firstLine="720"/>
        <w:rPr>
          <w:rFonts w:ascii="Times New Roman" w:hAnsi="Times New Roman" w:cs="Times New Roman"/>
        </w:rPr>
      </w:pPr>
      <w:r>
        <w:rPr>
          <w:rFonts w:ascii="Times New Roman" w:hAnsi="Times New Roman" w:cs="Times New Roman"/>
        </w:rPr>
        <w:t xml:space="preserve">Finally, the regression models run were not adjusted for technical covariates as the ERS (LASSO) weights provided were determined based on </w:t>
      </w:r>
      <w:proofErr w:type="spellStart"/>
      <w:r>
        <w:rPr>
          <w:rFonts w:ascii="Times New Roman" w:hAnsi="Times New Roman" w:cs="Times New Roman"/>
        </w:rPr>
        <w:t>residualized</w:t>
      </w:r>
      <w:proofErr w:type="spellEnd"/>
      <w:r>
        <w:rPr>
          <w:rFonts w:ascii="Times New Roman" w:hAnsi="Times New Roman" w:cs="Times New Roman"/>
        </w:rPr>
        <w:t xml:space="preserve"> DNA methylation data already adjusted for technical covariates. A </w:t>
      </w:r>
      <w:r>
        <w:rPr>
          <w:rFonts w:ascii="Times New Roman" w:hAnsi="Times New Roman" w:cs="Times New Roman"/>
          <w:shd w:val="clear" w:color="auto" w:fill="FFFFFF"/>
        </w:rPr>
        <w:t>"pedigree" variable (genetic PCs) in the models was not used since in the KORA cohorts all participants are German. A “</w:t>
      </w:r>
      <w:r>
        <w:rPr>
          <w:rFonts w:ascii="Times New Roman" w:hAnsi="Times New Roman" w:cs="Times New Roman"/>
        </w:rPr>
        <w:t xml:space="preserve">time between baseline and follow-up visit” variable was as well not used, </w:t>
      </w:r>
      <w:r>
        <w:rPr>
          <w:rFonts w:ascii="Times New Roman" w:hAnsi="Times New Roman" w:cs="Times New Roman"/>
          <w:shd w:val="clear" w:color="auto" w:fill="FFFFFF"/>
        </w:rPr>
        <w:t xml:space="preserve">because for each participant this period is actually very similar. </w:t>
      </w:r>
    </w:p>
    <w:p w14:paraId="10D0161E" w14:textId="77777777" w:rsidR="00EA3E0A" w:rsidRDefault="00E00610">
      <w:pPr>
        <w:spacing w:line="480" w:lineRule="auto"/>
        <w:rPr>
          <w:rFonts w:ascii="Times New Roman" w:hAnsi="Times New Roman" w:cs="Times New Roman"/>
          <w:i/>
          <w:iCs/>
          <w:u w:val="single"/>
        </w:rPr>
      </w:pPr>
      <w:r>
        <w:rPr>
          <w:rFonts w:ascii="Times New Roman" w:hAnsi="Times New Roman" w:cs="Times New Roman"/>
          <w:i/>
          <w:iCs/>
          <w:u w:val="single"/>
        </w:rPr>
        <w:t>Acknowledgements, funding, and disclosures</w:t>
      </w:r>
    </w:p>
    <w:p w14:paraId="19ED3373" w14:textId="77777777" w:rsidR="00EA3E0A" w:rsidRDefault="00E00610">
      <w:pPr>
        <w:spacing w:line="480" w:lineRule="auto"/>
        <w:ind w:firstLine="720"/>
        <w:rPr>
          <w:rFonts w:ascii="Times New Roman" w:hAnsi="Times New Roman" w:cs="Times New Roman"/>
          <w:highlight w:val="yellow"/>
        </w:rPr>
      </w:pPr>
      <w:r>
        <w:rPr>
          <w:rFonts w:ascii="Times New Roman" w:hAnsi="Times New Roman" w:cs="Times New Roman"/>
        </w:rPr>
        <w:t xml:space="preserve">The KORA cohort ethical approval was granted by the ethics committee of the Bavarian Medical Association (REC reference numbers: F4: #06068, FF4: #06068) and all were carried out in accordance with the principles of the Declaration of Helsinki. This covers consent for the use of biological material, </w:t>
      </w:r>
      <w:r>
        <w:rPr>
          <w:rFonts w:ascii="Times New Roman" w:hAnsi="Times New Roman" w:cs="Times New Roman"/>
        </w:rPr>
        <w:lastRenderedPageBreak/>
        <w:t xml:space="preserve">including genetics. All research participants have signed informed consent prior to taking part in any research activities. The KORA data protection procedures were approved by the responsible data protection officer of the Helmholtz </w:t>
      </w:r>
      <w:proofErr w:type="spellStart"/>
      <w:r>
        <w:rPr>
          <w:rFonts w:ascii="Times New Roman" w:hAnsi="Times New Roman" w:cs="Times New Roman"/>
        </w:rPr>
        <w:t>Zentrum</w:t>
      </w:r>
      <w:proofErr w:type="spellEnd"/>
      <w:r>
        <w:rPr>
          <w:rFonts w:ascii="Times New Roman" w:hAnsi="Times New Roman" w:cs="Times New Roman"/>
        </w:rPr>
        <w:t xml:space="preserve"> München</w:t>
      </w:r>
      <w:bookmarkStart w:id="8" w:name="OLE_LINK26"/>
      <w:r>
        <w:rPr>
          <w:rFonts w:ascii="Times New Roman" w:hAnsi="Times New Roman" w:cs="Times New Roman"/>
        </w:rPr>
        <w:t xml:space="preserve">. The KORA study was initiated and financed by the Helmholtz </w:t>
      </w:r>
      <w:proofErr w:type="spellStart"/>
      <w:r>
        <w:rPr>
          <w:rFonts w:ascii="Times New Roman" w:hAnsi="Times New Roman" w:cs="Times New Roman"/>
        </w:rPr>
        <w:t>Zentrum</w:t>
      </w:r>
      <w:proofErr w:type="spellEnd"/>
      <w:r>
        <w:rPr>
          <w:rFonts w:ascii="Times New Roman" w:hAnsi="Times New Roman" w:cs="Times New Roman"/>
        </w:rPr>
        <w:t xml:space="preserve"> München –German Research Center for Environmental Health, which is funded by the German Federal Ministry of Education and Research (BMBF) and by the State of Bavaria. </w:t>
      </w:r>
      <w:bookmarkEnd w:id="8"/>
      <w:r>
        <w:rPr>
          <w:rFonts w:ascii="Times New Roman" w:hAnsi="Times New Roman" w:cs="Times New Roman"/>
        </w:rPr>
        <w:t>Furthermore, KORA research was supported within the Munich Center of Health Sciences (MC-Health), Ludwig-</w:t>
      </w:r>
      <w:proofErr w:type="spellStart"/>
      <w:r>
        <w:rPr>
          <w:rFonts w:ascii="Times New Roman" w:hAnsi="Times New Roman" w:cs="Times New Roman"/>
        </w:rPr>
        <w:t>Maximilians</w:t>
      </w:r>
      <w:proofErr w:type="spellEnd"/>
      <w:r>
        <w:rPr>
          <w:rFonts w:ascii="Times New Roman" w:hAnsi="Times New Roman" w:cs="Times New Roman"/>
        </w:rPr>
        <w:t xml:space="preserve">-Universität, as part of </w:t>
      </w:r>
      <w:proofErr w:type="spellStart"/>
      <w:r>
        <w:rPr>
          <w:rFonts w:ascii="Times New Roman" w:hAnsi="Times New Roman" w:cs="Times New Roman"/>
        </w:rPr>
        <w:t>LMUinnovativ</w:t>
      </w:r>
      <w:proofErr w:type="spellEnd"/>
      <w:r>
        <w:rPr>
          <w:rFonts w:ascii="Times New Roman" w:hAnsi="Times New Roman" w:cs="Times New Roman"/>
        </w:rPr>
        <w:t xml:space="preserve">. </w:t>
      </w:r>
      <w:bookmarkStart w:id="9" w:name="_Toc102403234"/>
    </w:p>
    <w:p w14:paraId="627DE79A" w14:textId="77777777" w:rsidR="00466F3D" w:rsidRDefault="00466F3D">
      <w:pPr>
        <w:spacing w:line="480" w:lineRule="auto"/>
        <w:rPr>
          <w:rFonts w:ascii="Times New Roman" w:hAnsi="Times New Roman" w:cs="Times New Roman"/>
          <w:b/>
        </w:rPr>
      </w:pPr>
    </w:p>
    <w:p w14:paraId="3BDB7F3F" w14:textId="398C9D5E" w:rsidR="00EA3E0A" w:rsidRDefault="00E00610">
      <w:pPr>
        <w:spacing w:line="480" w:lineRule="auto"/>
        <w:rPr>
          <w:rFonts w:ascii="Times New Roman" w:hAnsi="Times New Roman" w:cs="Times New Roman"/>
          <w:b/>
        </w:rPr>
      </w:pPr>
      <w:r>
        <w:rPr>
          <w:rFonts w:ascii="Times New Roman" w:hAnsi="Times New Roman" w:cs="Times New Roman"/>
          <w:b/>
        </w:rPr>
        <w:t>Framingham Heart Study</w:t>
      </w:r>
      <w:bookmarkEnd w:id="9"/>
      <w:r>
        <w:rPr>
          <w:rFonts w:ascii="Times New Roman" w:hAnsi="Times New Roman" w:cs="Times New Roman"/>
          <w:b/>
        </w:rPr>
        <w:t xml:space="preserve"> </w:t>
      </w:r>
      <w:r w:rsidR="008F78F7">
        <w:rPr>
          <w:rFonts w:ascii="Times New Roman" w:hAnsi="Times New Roman" w:cs="Times New Roman"/>
          <w:b/>
        </w:rPr>
        <w:t>(FHS)</w:t>
      </w:r>
    </w:p>
    <w:p w14:paraId="6EAD5DC3" w14:textId="77777777" w:rsidR="00EA3E0A" w:rsidRDefault="00E00610">
      <w:pPr>
        <w:spacing w:line="480" w:lineRule="auto"/>
        <w:rPr>
          <w:rFonts w:ascii="Times New Roman" w:hAnsi="Times New Roman" w:cs="Times New Roman"/>
          <w:i/>
          <w:iCs/>
          <w:u w:val="single"/>
        </w:rPr>
      </w:pPr>
      <w:r>
        <w:rPr>
          <w:rFonts w:ascii="Times New Roman" w:hAnsi="Times New Roman" w:cs="Times New Roman"/>
          <w:i/>
          <w:iCs/>
          <w:u w:val="single"/>
        </w:rPr>
        <w:t xml:space="preserve">Study description and history </w:t>
      </w:r>
    </w:p>
    <w:p w14:paraId="0BF305CB" w14:textId="11212950" w:rsidR="00EA3E0A" w:rsidRDefault="00E00610">
      <w:pPr>
        <w:spacing w:line="480" w:lineRule="auto"/>
        <w:ind w:firstLine="720"/>
        <w:rPr>
          <w:rFonts w:ascii="Times New Roman" w:hAnsi="Times New Roman" w:cs="Times New Roman"/>
        </w:rPr>
      </w:pPr>
      <w:r>
        <w:rPr>
          <w:rFonts w:ascii="Times New Roman" w:hAnsi="Times New Roman" w:cs="Times New Roman"/>
        </w:rPr>
        <w:t>The FHS is a community-based, longitudinal cohort study initiated in 1948 to investigate CVD risk factors. In our development of the ERS, we utilized methylation data for participants in the FHS Offspring cohort who attended examination 8 (2005-2008)</w:t>
      </w:r>
      <w:r>
        <w:rPr>
          <w:rFonts w:ascii="Times New Roman" w:hAnsi="Times New Roman" w:cs="Times New Roman"/>
        </w:rPr>
        <w:fldChar w:fldCharType="begin" w:fldLock="1"/>
      </w:r>
      <w:r w:rsidR="00591FCD">
        <w:rPr>
          <w:rFonts w:ascii="Times New Roman" w:hAnsi="Times New Roman" w:cs="Times New Roman"/>
        </w:rPr>
        <w:instrText xml:space="preserve"> ADDIN ZOTERO_ITEM CSL_CITATION {"citationID":"iOb4VJPl","properties":{"formattedCitation":"\\super 13\\nosupersub{}","plainCitation":"13","noteIndex":0},"citationItems":[{"id":"qS4agUuI/Yj1aDBek","uris":["http://www.mendeley.com/documents/?uuid=afeed7d1-98d3-3c3a-b711-54b15ce01b72"],"itemData":{"DOI":"10.1093/oxfordjournals.aje.a112813","ISSN":"00029262","abstract":"The Framingham Heart Study (FHS) was started in 1948 as a prospective investigation of cardiovascular disease in a cohort of adult men and women. Continuous surveillance of this sample of 5209 subjects has been maintained through biennial physical examinations. In 1971 examinations were begun on the children of the FHS cohort. This study, called the Framingham Offspring Study (FOS), was undertaken to expand upon knowledge of cardiovascular disease, particularly in the area of familial clustering of the disease and its risk factors. This report reviews the sampling design of the FHS and describes the nature of the FOS sample. The FOS families appear to be of typical size and age structure for families with parents born in the late 19th or early 20th century. In addition, there is little evidence that coronary heart disease (CHD) experience and CHD risk factors differ in parents of those who volunteered for this study and the parents of those who did not volunteer. © 1979 by The Johns Hopkins University School of Hygiene and Public Health.","author":[{"dropping-particle":"","family":"Kannel","given":"William B.","non-dropping-particle":"","parse-names":false,"suffix":""},{"dropping-particle":"","family":"Feinleib","given":"Manning","non-dropping-particle":"","parse-names":false,"suffix":""},{"dropping-particle":"","family":"Mcnamara","given":"Patricia M.","non-dropping-particle":"","parse-names":false,"suffix":""},{"dropping-particle":"","family":"Garrison","given":"Robert J.","non-dropping-particle":"","parse-names":false,"suffix":""},{"dropping-particle":"","family":"Castelli","given":"William P.","non-dropping-particle":"","parse-names":false,"suffix":""}],"container-title":"American Journal of Epidemiology","id":"ITEM-1","issue":"3","issued":{"date-parts":[["1979"]]},"title":"An investigation of coronary heart disease in families: The framingham offspring study","type":"article-journal","volume":"110"}}],"schema":"https://github.com/citation-style-language/schema/raw/master/csl-citation.json"} </w:instrText>
      </w:r>
      <w:r>
        <w:rPr>
          <w:rFonts w:ascii="Times New Roman" w:hAnsi="Times New Roman" w:cs="Times New Roman"/>
        </w:rPr>
        <w:fldChar w:fldCharType="separate"/>
      </w:r>
      <w:r w:rsidR="00591FCD" w:rsidRPr="00591FCD">
        <w:rPr>
          <w:rFonts w:ascii="Times New Roman" w:hAnsi="Times New Roman" w:cs="Times New Roman"/>
          <w:vertAlign w:val="superscript"/>
        </w:rPr>
        <w:t>13</w:t>
      </w:r>
      <w:r>
        <w:rPr>
          <w:rFonts w:ascii="Times New Roman" w:hAnsi="Times New Roman" w:cs="Times New Roman"/>
        </w:rPr>
        <w:fldChar w:fldCharType="end"/>
      </w:r>
      <w:r>
        <w:rPr>
          <w:rFonts w:ascii="Times New Roman" w:hAnsi="Times New Roman" w:cs="Times New Roman"/>
        </w:rPr>
        <w:t xml:space="preserve"> and Third Generation cohort participants who attended examination 2 (2008-2011).</w:t>
      </w:r>
      <w:r>
        <w:rPr>
          <w:rFonts w:ascii="Times New Roman" w:hAnsi="Times New Roman" w:cs="Times New Roman"/>
        </w:rPr>
        <w:fldChar w:fldCharType="begin" w:fldLock="1"/>
      </w:r>
      <w:r w:rsidR="00591FCD">
        <w:rPr>
          <w:rFonts w:ascii="Times New Roman" w:hAnsi="Times New Roman" w:cs="Times New Roman"/>
        </w:rPr>
        <w:instrText xml:space="preserve"> ADDIN ZOTERO_ITEM CSL_CITATION {"citationID":"9Qp22qry","properties":{"formattedCitation":"\\super 14\\nosupersub{}","plainCitation":"14","noteIndex":0},"citationItems":[{"id":"qS4agUuI/hgmjTQNY","uris":["http://www.mendeley.com/documents/?uuid=8b2bb302-9b34-3b33-9871-194068f9dd2f"],"itemData":{"DOI":"10.1093/aje/kwm021","ISSN":"00029262","abstract":"For nearly 60 years, the Framingham Heart Study has examined the natural history, risk factors, and prognosis of cardiovascular, lung, and other diseases. Recruitment of the Original Cohort began in 1948. Twenty-three years later, 3,548 children of the Original Cohort, along with 1,576 of their spouses, enrolled in the Offspring Cohort. Beginning in 2002, 4,095 adults having at least one parent in the Offspring Cohort enrolled in the Third Generation Cohort, along with 103 parents of Third Generation Cohort participants who were not previously enrolled in the Offspring Cohort. The objective of new recruitment was to complement phenotypic and genotypic information obtained from prior generations, with priority assigned to larger families. From a pool of 6,553 eligible individuals, 1,912 men and 2,183 women consented and attended the first examination (mean age: 40 (standard deviation: 9) years; range: 19-72 years). The examination included clinical and laboratory assessments of vascular risk factors and imaging for subclinical atherosclerosis, as well as assessment of cardiac structure and function. The comparison of Third Generation Cohort data with measures previously collected from the first two generations will facilitate investigations of genetic and environmental risk factors for subclinical and overt diseases, with a focus on cardiovascular and lung disorders. Copyright © 2007 by the Johns Hopkins Bloomberg School of Public Health All rights reserved.","author":[{"dropping-particle":"","family":"Splansky","given":"Greta Lee","non-dropping-particle":"","parse-names":false,"suffix":""},{"dropping-particle":"","family":"Corey","given":"Diane","non-dropping-particle":"","parse-names":false,"suffix":""},{"dropping-particle":"","family":"Yang","given":"Qiong","non-dropping-particle":"","parse-names":false,"suffix":""},{"dropping-particle":"","family":"Atwood","given":"Larry D.","non-dropping-particle":"","parse-names":false,"suffix":""},{"dropping-particle":"","family":"Cupples","given":"L. Adrienne","non-dropping-particle":"","parse-names":false,"suffix":""},{"dropping-particle":"","family":"Benjamin","given":"Emelia J.","non-dropping-particle":"","parse-names":false,"suffix":""},{"dropping-particle":"","family":"D'Agostino","given":"Ralph B.","non-dropping-particle":"","parse-names":false,"suffix":""},{"dropping-particle":"","family":"Fox","given":"Caroline S.","non-dropping-particle":"","parse-names":false,"suffix":""},{"dropping-particle":"","family":"Larson","given":"Martin G.","non-dropping-particle":"","parse-names":false,"suffix":""},{"dropping-particle":"","family":"Murabito","given":"Joanne M.","non-dropping-particle":"","parse-names":false,"suffix":""},{"dropping-particle":"","family":"O'Donnell","given":"Christopher J.","non-dropping-particle":"","parse-names":false,"suffix":""},{"dropping-particle":"","family":"Vasan","given":"Ramachandran S.","non-dropping-particle":"","parse-names":false,"suffix":""},{"dropping-particle":"","family":"Wolf","given":"Philip A.","non-dropping-particle":"","parse-names":false,"suffix":""},{"dropping-particle":"","family":"Levy","given":"Daniel","non-dropping-particle":"","parse-names":false,"suffix":""}],"container-title":"American Journal of Epidemiology","id":"ITEM-1","issue":"11","issued":{"date-parts":[["2007"]]},"title":"The Third Generation Cohort of the National Heart, Lung, and Blood Institute's Framingham Heart Study: Design, recruitment, and initial examination","type":"article-journal","volume":"165"}}],"schema":"https://github.com/citation-style-language/schema/raw/master/csl-citation.json"} </w:instrText>
      </w:r>
      <w:r>
        <w:rPr>
          <w:rFonts w:ascii="Times New Roman" w:hAnsi="Times New Roman" w:cs="Times New Roman"/>
        </w:rPr>
        <w:fldChar w:fldCharType="separate"/>
      </w:r>
      <w:r w:rsidR="00591FCD" w:rsidRPr="00591FCD">
        <w:rPr>
          <w:rFonts w:ascii="Times New Roman" w:hAnsi="Times New Roman" w:cs="Times New Roman"/>
          <w:vertAlign w:val="superscript"/>
        </w:rPr>
        <w:t>14</w:t>
      </w:r>
      <w:r>
        <w:rPr>
          <w:rFonts w:ascii="Times New Roman" w:hAnsi="Times New Roman" w:cs="Times New Roman"/>
        </w:rPr>
        <w:fldChar w:fldCharType="end"/>
      </w:r>
      <w:r>
        <w:rPr>
          <w:rFonts w:ascii="Times New Roman" w:hAnsi="Times New Roman" w:cs="Times New Roman"/>
        </w:rPr>
        <w:t xml:space="preserve"> Since recruitment, both cohorts have been invited to attend research clinic health examinations every four to eight years to collect information on demographic and socioeconomic variables alongside clinical and laboratory data for CVD risk factors and outcomes.</w:t>
      </w:r>
    </w:p>
    <w:p w14:paraId="0531EB48" w14:textId="77777777" w:rsidR="00EA3E0A" w:rsidRDefault="00E00610">
      <w:pPr>
        <w:spacing w:line="480" w:lineRule="auto"/>
        <w:rPr>
          <w:rFonts w:ascii="Times New Roman" w:hAnsi="Times New Roman" w:cs="Times New Roman"/>
          <w:i/>
          <w:iCs/>
          <w:u w:val="single"/>
        </w:rPr>
      </w:pPr>
      <w:r>
        <w:rPr>
          <w:rFonts w:ascii="Times New Roman" w:hAnsi="Times New Roman" w:cs="Times New Roman"/>
          <w:i/>
          <w:iCs/>
          <w:u w:val="single"/>
        </w:rPr>
        <w:t xml:space="preserve">DNA methylation collection, processing, and additional analytical details </w:t>
      </w:r>
    </w:p>
    <w:p w14:paraId="671BD4EA" w14:textId="7B9B9B47" w:rsidR="00EA3E0A" w:rsidRDefault="00E00610">
      <w:pPr>
        <w:spacing w:line="480" w:lineRule="auto"/>
        <w:ind w:firstLine="720"/>
        <w:rPr>
          <w:rFonts w:ascii="Times New Roman" w:hAnsi="Times New Roman" w:cs="Times New Roman"/>
          <w:lang w:eastAsia="zh-CN"/>
        </w:rPr>
      </w:pPr>
      <w:r>
        <w:rPr>
          <w:rFonts w:ascii="Times New Roman" w:hAnsi="Times New Roman" w:cs="Times New Roman"/>
        </w:rPr>
        <w:t xml:space="preserve">Whole blood samples were assayed for DNA methylation via the Infinium Human Methylation 450 </w:t>
      </w:r>
      <w:proofErr w:type="spellStart"/>
      <w:r>
        <w:rPr>
          <w:rFonts w:ascii="Times New Roman" w:hAnsi="Times New Roman" w:cs="Times New Roman"/>
        </w:rPr>
        <w:t>BeadChip</w:t>
      </w:r>
      <w:proofErr w:type="spellEnd"/>
      <w:r>
        <w:rPr>
          <w:rFonts w:ascii="Times New Roman" w:hAnsi="Times New Roman" w:cs="Times New Roman"/>
        </w:rPr>
        <w:t xml:space="preserve"> platform (San Diego, CA). The methylated probe intensity and total probe intensities were extracted using the Illumina Genome Studio (version 2011.1) with the methylation module (version 1.9.0). Preprocessing of the methylated (M) signal and unmethylated signal (U) was conducted;</w:t>
      </w:r>
      <w:r w:rsidR="00257DE4">
        <w:rPr>
          <w:rFonts w:ascii="Times New Roman" w:hAnsi="Times New Roman" w:cs="Times New Roman"/>
        </w:rPr>
        <w:t xml:space="preserve"> </w:t>
      </w:r>
      <w:r>
        <w:rPr>
          <w:rFonts w:ascii="Times New Roman" w:hAnsi="Times New Roman" w:cs="Times New Roman"/>
        </w:rPr>
        <w:t xml:space="preserve">methylation beta-value (βM) was defined as β=M/(U+M). FHS used the function </w:t>
      </w:r>
      <w:r w:rsidR="00DF758B">
        <w:rPr>
          <w:rFonts w:ascii="Times New Roman" w:hAnsi="Times New Roman" w:cs="Times New Roman"/>
        </w:rPr>
        <w:t>“</w:t>
      </w:r>
      <w:r>
        <w:rPr>
          <w:rFonts w:ascii="Times New Roman" w:hAnsi="Times New Roman" w:cs="Times New Roman"/>
        </w:rPr>
        <w:t>DASEN</w:t>
      </w:r>
      <w:r w:rsidR="00DF758B">
        <w:rPr>
          <w:rFonts w:ascii="Times New Roman" w:hAnsi="Times New Roman" w:cs="Times New Roman"/>
        </w:rPr>
        <w:t>”</w:t>
      </w:r>
      <w:r>
        <w:rPr>
          <w:rFonts w:ascii="Times New Roman" w:hAnsi="Times New Roman" w:cs="Times New Roman"/>
        </w:rPr>
        <w:t xml:space="preserve"> of the </w:t>
      </w:r>
      <w:proofErr w:type="spellStart"/>
      <w:r>
        <w:rPr>
          <w:rFonts w:ascii="Times New Roman" w:hAnsi="Times New Roman" w:cs="Times New Roman"/>
          <w:i/>
          <w:iCs/>
        </w:rPr>
        <w:t>wateRmelon</w:t>
      </w:r>
      <w:proofErr w:type="spellEnd"/>
      <w:r>
        <w:rPr>
          <w:rFonts w:ascii="Times New Roman" w:hAnsi="Times New Roman" w:cs="Times New Roman"/>
        </w:rPr>
        <w:t xml:space="preserve"> R package (version 3.0.2)</w:t>
      </w:r>
      <w:r>
        <w:rPr>
          <w:rFonts w:ascii="Times New Roman" w:hAnsi="Times New Roman" w:cs="Times New Roman"/>
        </w:rPr>
        <w:fldChar w:fldCharType="begin" w:fldLock="1"/>
      </w:r>
      <w:r w:rsidR="00591FCD">
        <w:rPr>
          <w:rFonts w:ascii="Times New Roman" w:hAnsi="Times New Roman" w:cs="Times New Roman"/>
        </w:rPr>
        <w:instrText xml:space="preserve"> ADDIN ZOTERO_ITEM CSL_CITATION {"citationID":"229Q82CH","properties":{"formattedCitation":"\\super 15\\nosupersub{}","plainCitation":"15","noteIndex":0},"citationItems":[{"id":"qS4agUuI/K09fqddy","uris":["http://www.mendeley.com/documents/?uuid=ee14afc8-ff38-33cc-b30b-d5f73cba29c8"],"itemData":{"DOI":"10.1186/1471-2164-14-293","ISSN":"14712164","abstract":"Background: As the most stable and experimentally accessible epigenetic mark, DNA methylation is of great interest to the research community. The landscape of DNA methylation across tissues, through development and in disease pathogenesis is not yet well characterized. Thus there is a need for rapid and cost effective methods for assessing genome-wide levels of DNA methylation. The Illumina Infinium HumanMethylation450 (450K) BeadChip is a very useful addition to the available methods for DNA methylation analysis but its complex design, incorporating two different assay methods, requires careful consideration. Accordingly, several normalization schemes have been published. We have taken advantage of known DNA methylation patterns associated with genomic imprinting and X-chromosome inactivation (XCI), in addition to the performance of SNP genotyping assays present on the array, to derive three independent metrics which we use to test alternative schemes of correction and normalization. These metrics also have potential utility as quality scores for datasets.Results: The standard index of DNA methylation at any specific CpG site is β = M/(M + U + 100) where M and U are methylated and unmethylated signal intensities, respectively. Betas (βs) calculated from raw signal intensities (the default GenomeStudio behavior) perform well, but using 11 methylomic datasets we demonstrate that quantile normalization methods produce marked improvement, even in highly consistent data, by all three metrics. The commonly used procedure of normalizing betas is inferior to the separate normalization of M and U, and it is also advantageous to normalize Type I and Type II assays separately. More elaborate manipulation of quantiles proves to be counterproductive.Conclusions: Careful selection of preprocessing steps can minimize variance and thus improve statistical power, especially for the detection of the small absolute DNA methylation changes likely associated with complex disease phenotypes. For the convenience of the research community we have created a user-friendly R software package called wateRmelon, downloadable from bioConductor, compatible with the existing methylumi, minfi and IMA packages, that allows others to utilize the same normalization methods and data quality tests on 450K data. © 2013 Pidsley et al.; licensee BioMed Central Ltd.","author":[{"dropping-particle":"","family":"Pidsley","given":"Ruth","non-dropping-particle":"","parse-names":false,"suffix":""},{"dropping-particle":"","family":"Y Wong","given":"Chloe C.","non-dropping-particle":"","parse-names":false,"suffix":""},{"dropping-particle":"","family":"Volta","given":"Manuela","non-dropping-particle":"","parse-names":false,"suffix":""},{"dropping-particle":"","family":"Lunnon","given":"Katie","non-dropping-particle":"","parse-names":false,"suffix":""},{"dropping-particle":"","family":"Mill","given":"Jonathan","non-dropping-particle":"","parse-names":false,"suffix":""},{"dropping-particle":"","family":"Schalkwyk","given":"Leonard C.","non-dropping-particle":"","parse-names":false,"suffix":""}],"container-title":"BMC Genomics","id":"ITEM-1","issue":"1","issued":{"date-parts":[["2013"]]},"title":"A data-driven approach to preprocessing Illumina 450K methylation array data","type":"article-journal","volume":"14"}}],"schema":"https://github.com/citation-style-language/schema/raw/master/csl-citation.json"} </w:instrText>
      </w:r>
      <w:r>
        <w:rPr>
          <w:rFonts w:ascii="Times New Roman" w:hAnsi="Times New Roman" w:cs="Times New Roman"/>
        </w:rPr>
        <w:fldChar w:fldCharType="separate"/>
      </w:r>
      <w:r w:rsidR="00591FCD" w:rsidRPr="00591FCD">
        <w:rPr>
          <w:rFonts w:ascii="Times New Roman" w:hAnsi="Times New Roman" w:cs="Times New Roman"/>
          <w:vertAlign w:val="superscript"/>
        </w:rPr>
        <w:t>15</w:t>
      </w:r>
      <w:r>
        <w:rPr>
          <w:rFonts w:ascii="Times New Roman" w:hAnsi="Times New Roman" w:cs="Times New Roman"/>
        </w:rPr>
        <w:fldChar w:fldCharType="end"/>
      </w:r>
      <w:r>
        <w:rPr>
          <w:rFonts w:ascii="Times New Roman" w:hAnsi="Times New Roman" w:cs="Times New Roman"/>
        </w:rPr>
        <w:t xml:space="preserve"> to normalize the methylation β proportion. Further information regarding DNA extraction and processing have been outlined.</w:t>
      </w:r>
      <w:r>
        <w:rPr>
          <w:rFonts w:ascii="Times New Roman" w:hAnsi="Times New Roman" w:cs="Times New Roman"/>
        </w:rPr>
        <w:fldChar w:fldCharType="begin" w:fldLock="1"/>
      </w:r>
      <w:r w:rsidR="00591FCD">
        <w:rPr>
          <w:rFonts w:ascii="Times New Roman" w:hAnsi="Times New Roman" w:cs="Times New Roman"/>
        </w:rPr>
        <w:instrText xml:space="preserve"> ADDIN ZOTERO_ITEM CSL_CITATION {"citationID":"W0hFvwFt","properties":{"formattedCitation":"\\super 16\\nosupersub{}","plainCitation":"16","noteIndex":0},"citationItems":[{"id":"qS4agUuI/isBqrmPM","uris":["http://www.mendeley.com/documents/?uuid=bce6167c-e5de-37be-83de-a8f237b597a0"],"itemData":{"DOI":"10.1038/mp.2016.192","ISSN":"14765578","abstract":"The lack of reliable measures of alcohol intake is a major obstacle to the diagnosis and treatment of alcohol-related diseases. Epigenetic modifications such as DNA methylation may provide novel biomarkers of alcohol use. To examine this possibility, we performed an epigenome-wide association study of methylation of cytosine-phosphate-guanine dinucleotide (CpG) sites in relation to alcohol intake in 13 population-based cohorts (n total = 13 317; 54% women; mean age across cohorts 42-76 years) using whole blood (9643 European and 2423 African ancestries) or monocyte-derived DNA (588 European, 263 African and 400 Hispanic ancestry) samples. We performed meta-</w:instrText>
      </w:r>
      <w:r w:rsidR="00591FCD">
        <w:rPr>
          <w:rFonts w:ascii="Times New Roman" w:hAnsi="Times New Roman" w:cs="Times New Roman" w:hint="eastAsia"/>
        </w:rPr>
        <w:instrText>analysis and variable selection in whole-blood samples of people of European ancestry (n = 6926) and identified 144 CpGs that provided substantial discrimination (area under the curve = 0.90-0.99) for current heavy alcohol intake (</w:instrText>
      </w:r>
      <w:r w:rsidR="00591FCD">
        <w:rPr>
          <w:rFonts w:ascii="Times New Roman" w:hAnsi="Times New Roman" w:cs="Times New Roman" w:hint="eastAsia"/>
        </w:rPr>
        <w:instrText>≥</w:instrText>
      </w:r>
      <w:r w:rsidR="00591FCD">
        <w:rPr>
          <w:rFonts w:ascii="Times New Roman" w:hAnsi="Times New Roman" w:cs="Times New Roman" w:hint="eastAsia"/>
        </w:rPr>
        <w:instrText xml:space="preserve">42 g per day in men and </w:instrText>
      </w:r>
      <w:r w:rsidR="00591FCD">
        <w:rPr>
          <w:rFonts w:ascii="Times New Roman" w:hAnsi="Times New Roman" w:cs="Times New Roman" w:hint="eastAsia"/>
        </w:rPr>
        <w:instrText>≥</w:instrText>
      </w:r>
      <w:r w:rsidR="00591FCD">
        <w:rPr>
          <w:rFonts w:ascii="Times New Roman" w:hAnsi="Times New Roman" w:cs="Times New Roman" w:hint="eastAsia"/>
        </w:rPr>
        <w:instrText>28 g per day in women) in four replication cohorts. The ancestry-stratified meta-analysis in whole blood identified 328 (9643 European ancestry samples) and 165 (2423 African ancestry samples) alcohol-related CpGs at Bonferroni-adjusted P&lt;1</w:instrText>
      </w:r>
      <w:r w:rsidR="00591FCD">
        <w:rPr>
          <w:rFonts w:ascii="Times New Roman" w:hAnsi="Times New Roman" w:cs="Times New Roman" w:hint="eastAsia"/>
        </w:rPr>
        <w:instrText>×</w:instrText>
      </w:r>
      <w:r w:rsidR="00591FCD">
        <w:rPr>
          <w:rFonts w:ascii="Times New Roman" w:hAnsi="Times New Roman" w:cs="Times New Roman" w:hint="eastAsia"/>
        </w:rPr>
        <w:instrText>10 -7 . Anal</w:instrText>
      </w:r>
      <w:r w:rsidR="00591FCD">
        <w:rPr>
          <w:rFonts w:ascii="Times New Roman" w:hAnsi="Times New Roman" w:cs="Times New Roman"/>
        </w:rPr>
        <w:instrText xml:space="preserve">ysis of the monocyte-derived DNA (n = 1251) identified 62 alcohol-related CpGs at P&lt;1×10 -7 . In whole-blood samples of people of European ancestry, we detected differential methylation in two neurotransmitter receptor genes, the γ-Aminobutyric acid-A receptor delta and γ-aminobutyric acid B receptor subunit 1; their differential methylation was associated with expression levels of a number of genes involved in immune function. In conclusion, we have identified a robust alcohol-related DNA methylation signature and shown the potential utility of DNA methylation as a clinically useful diagnostic test to detect current heavy alcohol consumption.","author":[{"dropping-particle":"","family":"Liu","given":"C.","non-dropping-particle":"","parse-names":false,"suffix":""},{"dropping-particle":"","family":"Marioni","given":"R. E.","non-dropping-particle":"","parse-names":false,"suffix":""},{"dropping-particle":"","family":"Hedman","given":"A. K.","non-dropping-particle":"","parse-names":false,"suffix":""},{"dropping-particle":"","family":"Pfeiffer","given":"L.","non-dropping-particle":"","parse-names":false,"suffix":""},{"dropping-particle":"","family":"Tsai","given":"P. C.","non-dropping-particle":"","parse-names":false,"suffix":""},{"dropping-particle":"","family":"Reynolds","given":"L. M.","non-dropping-particle":"","parse-names":false,"suffix":""},{"dropping-particle":"","family":"Just","given":"A. C.","non-dropping-particle":"","parse-names":false,"suffix":""},{"dropping-particle":"","family":"Duan","given":"Q.","non-dropping-particle":"","parse-names":false,"suffix":""},{"dropping-particle":"","family":"Boer","given":"C. G.","non-dropping-particle":"","parse-names":false,"suffix":""},{"dropping-particle":"","family":"Tanaka","given":"T.","non-dropping-particle":"","parse-names":false,"suffix":""},{"dropping-particle":"","family":"Elks","given":"C. E.","non-dropping-particle":"","parse-names":false,"suffix":""},{"dropping-particle":"","family":"Aslibekyan","given":"S.","non-dropping-particle":"","parse-names":false,"suffix":""},{"dropping-particle":"","family":"Brody","given":"J. A.","non-dropping-particle":"","parse-names":false,"suffix":""},{"dropping-particle":"","family":"Kühnel","given":"B.","non-dropping-particle":"","parse-names":false,"suffix":""},{"dropping-particle":"","family":"Herder","given":"C.","non-dropping-particle":"","parse-names":false,"suffix":""},{"dropping-particle":"","family":"Almli","given":"L. M.","non-dropping-particle":"","parse-names":false,"suffix":""},{"dropping-particle":"","family":"Zhi","given":"D.","non-dropping-particle":"","parse-names":false,"suffix":""},{"dropping-particle":"","family":"Wang","given":"Y.","non-dropping-particle":"","parse-names":false,"suffix":""},{"dropping-particle":"","family":"Huan","given":"T.","non-dropping-particle":"","parse-names":false,"suffix":""},{"dropping-particle":"","family":"Yao","given":"C.","non-dropping-particle":"","parse-names":false,"suffix":""},{"dropping-particle":"","family":"Mendelson","given":"M. M.","non-dropping-particle":"","parse-names":false,"suffix":""},{"dropping-particle":"","family":"Joehanes","given":"R.","non-dropping-particle":"","parse-names":false,"suffix":""},{"dropping-particle":"","family":"Liang","given":"L.","non-dropping-particle":"","parse-names":false,"suffix":""},{"dropping-particle":"","family":"Love","given":"S. A.","non-dropping-particle":"","parse-names":false,"suffix":""},{"dropping-particle":"","family":"Guan","given":"W.","non-dropping-particle":"","parse-names":false,"suffix":""},{"dropping-particle":"","family":"Shah","given":"S.","non-dropping-particle":"","parse-names":false,"suffix":""},{"dropping-particle":"","family":"McRae","given":"A. F.","non-dropping-particle":"","parse-names":false,"suffix":""},{"dropping-particle":"","family":"Kretschmer","given":"A.","non-dropping-particle":"","parse-names":false,"suffix":""},{"dropping-particle":"","family":"Prokisch","given":"H.","non-dropping-particle":"","parse-names":false,"suffix":""},{"dropping-particle":"","family":"Strauch","given":"K.","non-dropping-particle":"","parse-names":false,"suffix":""},{"dropping-particle":"","family":"Peters","given":"A.","non-dropping-particle":"","parse-names":false,"suffix":""},{"dropping-particle":"","family":"Visscher","given":"P. M.","non-dropping-particle":"","parse-names":false,"suffix":""},{"dropping-particle":"","family":"Wray","given":"N. R.","non-dropping-particle":"","parse-names":false,"suffix":""},{"dropping-particle":"","family":"Guo","given":"X.","non-dropping-particle":"","parse-names":false,"suffix":""},{"dropping-particle":"","family":"Wiggins","given":"K. L.","non-dropping-particle":"","parse-names":false,"suffix":""},{"dropping-particle":"","family":"Smith","given":"A. K.","non-dropping-particle":"","parse-names":false,"suffix":""},{"dropping-particle":"","family":"Binder","given":"E. B.","non-dropping-particle":"","parse-names":false,"suffix":""},{"dropping-particle":"","family":"Ressler","given":"K. J.","non-dropping-particle":"","parse-names":false,"suffix":""},{"dropping-particle":"","family":"Irvin","given":"M. R.","non-dropping-particle":"","parse-names":false,"suffix":""},{"dropping-particle":"","family":"Absher","given":"D. M.","non-dropping-particle":"","parse-names":false,"suffix":""},{"dropping-particle":"","family":"Hernandez","given":"D.","non-dropping-particle":"","parse-names":false,"suffix":""},{"dropping-particle":"","family":"Ferrucci","given":"L.","non-dropping-particle":"","parse-names":false,"suffix":""},{"dropping-particle":"","family":"Bandinelli","given":"S.","non-dropping-particle":"","parse-names":false,"suffix":""},{"dropping-particle":"","family":"Lohman","given":"K.","non-dropping-particle":"","parse-names":false,"suffix":""},{"dropping-particle":"","family":"Ding","given":"J.","non-dropping-particle":"","parse-names":false,"suffix":""},{"dropping-particle":"","family":"Trevisi","given":"L.","non-dropping-particle":"","parse-names":false,"suffix":""},{"dropping-particle":"","family":"Gustafsson","given":"S.","non-dropping-particle":"","parse-names":false,"suffix":""},{"dropping-particle":"","family":"Sandling","given":"J. H.","non-dropping-particle":"","parse-names":false,"suffix":""},{"dropping-particle":"","family":"Stolk","given":"L.","non-dropping-particle":"","parse-names":false,"suffix":""},{"dropping-particle":"","family":"Uitterlinden","given":"A. G.","non-dropping-particle":"","parse-names":false,"suffix":""},{"dropping-particle":"","family":"Yet","given":"I.","non-dropping-particle":"","parse-names":false,"suffix":""},{"dropping-particle":"","family":"Castillo-Fernandez","given":"J. E.","non-dropping-particle":"","parse-names":false,"suffix":""},{"dropping-particle":"","family":"Spector","given":"T. D.","non-dropping-particle":"","parse-names":false,"suffix":""},{"dropping-particle":"","family":"Schwartz","given":"J. D.","non-dropping-particle":"","parse-names":false,"suffix":""},{"dropping-particle":"","family":"Vokonas","given":"P.","non-dropping-particle":"","parse-names":false,"suffix":""},{"dropping-particle":"","family":"Lind","given":"L.","non-dropping-particle":"","parse-names":false,"suffix":""},{"dropping-particle":"","family":"Li","given":"Y.","non-dropping-particle":"","parse-names":false,"suffix":""},{"dropping-particle":"","family":"Fornage","given":"M.","non-dropping-particle":"","parse-names":false,"suffix":""},{"dropping-particle":"","family":"Arnett","given":"D. K.","non-dropping-particle":"","parse-names":false,"suffix":""},{"dropping-particle":"","family":"Wareham","given":"N. J.","non-dropping-particle":"","parse-names":false,"suffix":""},{"dropping-particle":"","family":"Sotoodehnia","given":"N.","non-dropping-particle":"","parse-names":false,"suffix":""},{"dropping-particle":"","family":"Ong","given":"K. K.","non-dropping-particle":"","parse-names":false,"suffix":""},{"dropping-particle":"","family":"Meurs","given":"J. B.J.","non-dropping-particle":"Van","parse-names":false,"suffix":""},{"dropping-particle":"","family":"Conneely","given":"K. N.","non-dropping-particle":"","parse-names":false,"suffix":""},{"dropping-particle":"","family":"Baccarelli","given":"A. A.","non-dropping-particle":"","parse-names":false,"suffix":""},{"dropping-particle":"","family":"Deary","given":"I. J.","non-dropping-particle":"","parse-names":false,"suffix":""},{"dropping-particle":"","family":"Bell","given":"J. T.","non-dropping-particle":"","parse-names":false,"suffix":""},{"dropping-particle":"","family":"North","given":"K. E.","non-dropping-particle":"","parse-names":false,"suffix":""},{"dropping-particle":"","family":"Liu","given":"Y.","non-dropping-particle":"","parse-names":false,"suffix":""},{"dropping-particle":"","family":"Waldenberger","given":"M.","non-dropping-particle":"","parse-names":false,"suffix":""},{"dropping-particle":"","family":"London","given":"S. J.","non-dropping-particle":"","parse-names":false,"suffix":""},{"dropping-particle":"","family":"Ingelsson","given":"E.","non-dropping-particle":"","parse-names":false,"suffix":""},{"dropping-particle":"","family":"Levy","given":"D.","non-dropping-particle":"","parse-names":false,"suffix":""}],"container-title":"Molecular Psychiatry","id":"ITEM-1","issue":"2","issued":{"date-parts":[["2018"]]},"title":"A DNA methylation biomarker of alcohol consumption","type":"article-journal","volume":"23"}}],"schema":"https://github.com/citation-style-language/schema/raw/master/csl-citation.json"} </w:instrText>
      </w:r>
      <w:r>
        <w:rPr>
          <w:rFonts w:ascii="Times New Roman" w:hAnsi="Times New Roman" w:cs="Times New Roman"/>
        </w:rPr>
        <w:fldChar w:fldCharType="separate"/>
      </w:r>
      <w:r w:rsidR="00591FCD" w:rsidRPr="00591FCD">
        <w:rPr>
          <w:rFonts w:ascii="Times New Roman" w:hAnsi="Times New Roman" w:cs="Times New Roman"/>
          <w:vertAlign w:val="superscript"/>
        </w:rPr>
        <w:t>16</w:t>
      </w:r>
      <w:r>
        <w:rPr>
          <w:rFonts w:ascii="Times New Roman" w:hAnsi="Times New Roman" w:cs="Times New Roman"/>
        </w:rPr>
        <w:fldChar w:fldCharType="end"/>
      </w:r>
    </w:p>
    <w:p w14:paraId="31C3F1D8" w14:textId="77777777" w:rsidR="00EA3E0A" w:rsidRDefault="00E00610">
      <w:pPr>
        <w:spacing w:line="480" w:lineRule="auto"/>
        <w:rPr>
          <w:rFonts w:ascii="Times New Roman" w:hAnsi="Times New Roman" w:cs="Times New Roman"/>
          <w:i/>
          <w:iCs/>
          <w:u w:val="single"/>
          <w:lang w:eastAsia="zh-CN"/>
        </w:rPr>
      </w:pPr>
      <w:r>
        <w:rPr>
          <w:rFonts w:ascii="Times New Roman" w:hAnsi="Times New Roman" w:cs="Times New Roman"/>
          <w:i/>
          <w:iCs/>
          <w:u w:val="single"/>
          <w:lang w:eastAsia="zh-CN"/>
        </w:rPr>
        <w:lastRenderedPageBreak/>
        <w:t xml:space="preserve">Clinical phenotype collection and measurement </w:t>
      </w:r>
    </w:p>
    <w:p w14:paraId="3388E9C3" w14:textId="282279CA" w:rsidR="00DA6594" w:rsidRDefault="00E00610" w:rsidP="00DA6594">
      <w:pPr>
        <w:spacing w:line="480" w:lineRule="auto"/>
        <w:ind w:firstLine="720"/>
        <w:rPr>
          <w:rFonts w:ascii="Times New Roman" w:hAnsi="Times New Roman" w:cs="Times New Roman"/>
        </w:rPr>
      </w:pPr>
      <w:r>
        <w:rPr>
          <w:rFonts w:ascii="Times New Roman" w:hAnsi="Times New Roman" w:cs="Times New Roman"/>
          <w:lang w:eastAsia="zh-CN"/>
        </w:rPr>
        <w:t xml:space="preserve">Participant weight was measured with the participant in a </w:t>
      </w:r>
      <w:bookmarkStart w:id="10" w:name="OLE_LINK131"/>
      <w:r>
        <w:rPr>
          <w:rFonts w:ascii="Times New Roman" w:hAnsi="Times New Roman" w:cs="Times New Roman"/>
          <w:lang w:eastAsia="zh-CN"/>
        </w:rPr>
        <w:t xml:space="preserve">gown </w:t>
      </w:r>
      <w:bookmarkEnd w:id="10"/>
      <w:r>
        <w:rPr>
          <w:rFonts w:ascii="Times New Roman" w:hAnsi="Times New Roman" w:cs="Times New Roman"/>
          <w:lang w:eastAsia="zh-CN"/>
        </w:rPr>
        <w:t xml:space="preserve">and without shoes, and a calibrated scale was </w:t>
      </w:r>
      <w:proofErr w:type="gramStart"/>
      <w:r>
        <w:rPr>
          <w:rFonts w:ascii="Times New Roman" w:hAnsi="Times New Roman" w:cs="Times New Roman"/>
          <w:lang w:eastAsia="zh-CN"/>
        </w:rPr>
        <w:t>used</w:t>
      </w:r>
      <w:proofErr w:type="gramEnd"/>
      <w:r>
        <w:rPr>
          <w:rFonts w:ascii="Times New Roman" w:hAnsi="Times New Roman" w:cs="Times New Roman"/>
          <w:lang w:eastAsia="zh-CN"/>
        </w:rPr>
        <w:t xml:space="preserve"> and weight was rounded to the nearest pound. Participant height was measured using a </w:t>
      </w:r>
      <w:proofErr w:type="gramStart"/>
      <w:r>
        <w:rPr>
          <w:rFonts w:ascii="Times New Roman" w:hAnsi="Times New Roman" w:cs="Times New Roman"/>
          <w:lang w:eastAsia="zh-CN"/>
        </w:rPr>
        <w:t>vertically-mounted</w:t>
      </w:r>
      <w:proofErr w:type="gramEnd"/>
      <w:r>
        <w:rPr>
          <w:rFonts w:ascii="Times New Roman" w:hAnsi="Times New Roman" w:cs="Times New Roman"/>
          <w:lang w:eastAsia="zh-CN"/>
        </w:rPr>
        <w:t xml:space="preserve"> stadiometer and rounded down to the neatest ¼ inch. Body mass index (BMI) was calculated according to the formula: </w:t>
      </w:r>
      <m:oMath>
        <m:f>
          <m:fPr>
            <m:ctrlPr>
              <w:rPr>
                <w:rFonts w:ascii="Cambria Math" w:hAnsi="Cambria Math" w:cs="Times New Roman"/>
                <w:i/>
              </w:rPr>
            </m:ctrlPr>
          </m:fPr>
          <m:num>
            <m:r>
              <w:rPr>
                <w:rFonts w:ascii="Cambria Math" w:hAnsi="Cambria Math" w:cs="Times New Roman"/>
                <w:lang w:eastAsia="zh-CN"/>
              </w:rPr>
              <m:t>Weight (lbs)</m:t>
            </m:r>
          </m:num>
          <m:den>
            <m:r>
              <w:rPr>
                <w:rFonts w:ascii="Cambria Math" w:hAnsi="Cambria Math" w:cs="Times New Roman"/>
                <w:lang w:eastAsia="zh-CN"/>
              </w:rPr>
              <m:t xml:space="preserve">Height </m:t>
            </m:r>
            <m:sSup>
              <m:sSupPr>
                <m:ctrlPr>
                  <w:rPr>
                    <w:rFonts w:ascii="Cambria Math" w:hAnsi="Cambria Math" w:cs="Times New Roman"/>
                    <w:i/>
                  </w:rPr>
                </m:ctrlPr>
              </m:sSupPr>
              <m:e>
                <m:r>
                  <w:rPr>
                    <w:rFonts w:ascii="Cambria Math" w:hAnsi="Cambria Math" w:cs="Times New Roman"/>
                    <w:lang w:eastAsia="zh-CN"/>
                  </w:rPr>
                  <m:t>(in)</m:t>
                </m:r>
              </m:e>
              <m:sup>
                <m:r>
                  <w:rPr>
                    <w:rFonts w:ascii="Cambria Math" w:hAnsi="Cambria Math" w:cs="Times New Roman"/>
                    <w:lang w:eastAsia="zh-CN"/>
                  </w:rPr>
                  <m:t>2</m:t>
                </m:r>
              </m:sup>
            </m:sSup>
          </m:den>
        </m:f>
        <m:r>
          <w:rPr>
            <w:rFonts w:ascii="Cambria Math" w:hAnsi="Cambria Math" w:cs="Times New Roman"/>
            <w:lang w:eastAsia="zh-CN"/>
          </w:rPr>
          <m:t>×703</m:t>
        </m:r>
      </m:oMath>
      <w:r>
        <w:rPr>
          <w:rFonts w:ascii="Times New Roman" w:hAnsi="Times New Roman" w:cs="Times New Roman"/>
          <w:lang w:eastAsia="zh-CN"/>
        </w:rPr>
        <w:t>. Cigarette smoking status was defined based on categorical self-reported smoking behavior. Current smokers were defined as participants who have smoked on average at least one cigarette per day in the past year; former smokers were defined as participants who have previously smoked on average at least one cigarette per day but has stopped smoking for at least one year; n</w:t>
      </w:r>
      <w:r>
        <w:rPr>
          <w:rFonts w:ascii="Times New Roman" w:hAnsi="Times New Roman" w:cs="Times New Roman"/>
        </w:rPr>
        <w:t xml:space="preserve">ever smokers were </w:t>
      </w:r>
      <w:r w:rsidRPr="00591FCD">
        <w:rPr>
          <w:rFonts w:ascii="Times New Roman" w:hAnsi="Times New Roman" w:cs="Times New Roman"/>
        </w:rPr>
        <w:t xml:space="preserve">defined as participants who never smoked. </w:t>
      </w:r>
      <w:r w:rsidR="00DA6594" w:rsidRPr="00591FCD">
        <w:rPr>
          <w:rFonts w:ascii="Times New Roman" w:hAnsi="Times New Roman" w:cs="Times New Roman"/>
        </w:rPr>
        <w:t>The collection of alcohol consumption was previous detailed. In brief, alcohol consumption data was collected with a stand-alone questionnaire that includes specific questions to collect usual frequency and types of alcoholic beverage (i.e., beer, wine, or liquor), on average, consumed by a participant per week over the past year at each health examination.</w:t>
      </w:r>
      <w:r w:rsidR="00591FCD" w:rsidRPr="00591FCD">
        <w:rPr>
          <w:rFonts w:ascii="Times New Roman" w:hAnsi="Times New Roman" w:cs="Times New Roman"/>
        </w:rPr>
        <w:fldChar w:fldCharType="begin"/>
      </w:r>
      <w:r w:rsidR="00591FCD" w:rsidRPr="00591FCD">
        <w:rPr>
          <w:rFonts w:ascii="Times New Roman" w:hAnsi="Times New Roman" w:cs="Times New Roman"/>
        </w:rPr>
        <w:instrText xml:space="preserve"> ADDIN ZOTERO_ITEM CSL_CITATION {"citationID":"WYFwN3Lw","properties":{"formattedCitation":"\\super 17\\nosupersub{}","plainCitation":"17","noteIndex":0},"citationItems":[{"id":189,"uris":["http://zotero.org/users/local/S7bnMkzI/items/G7SRLP9S"],"itemData":{"id":189,"type":"article-journal","abstract":"Background: Alcohol consumption and cardiovascular disease (CVD) have a complex relation.\nObjectives: We examined the associations between alcohol consumption, fasting plasma proteins, and CVD risk.\nMethods: We performed cross-sectional association analyses of alcohol consumption with 71 CVD-related plasma proteins, and also performed prospective association analyses of alcohol consumption and protein concentrations with 3 CVD risk factors (obesity, hypertension, and diabetes) in 6745 Framingham Heart Study (FHS) participants (mean age 49 y; 53% women).\nResults: A unit increase in log10 transformed alcohol consumption (g/d) was associated with an increased risk of hypertension (HR = 1.14; 95% CI: 1.04, 1.26; P = 0.007), and decreased risks of obesity (HR = 0.80; 95% CI: 0.71, 0.91; P = 4.6 × 10−4) and diabetes (HR: 0.68; 95% CI: 0.58, 0.80; P = 5.1 × 10−6) in a median of 13-y (interquartile = 7, 14) of follow-up. We identified 43 alcohol-associated proteins in a discovery sample (n = 4348, false discovery rate &lt;0.05) and 20 of them were significant (P &lt;0.05/43) in an independent validation sample (n = 2397). Eighteen of the 20 proteins were inversely associated with alcohol consumption. Four of the 20 proteins demonstrated 3-way associations, as expected, with alcohol consumption and CVD risk factors. For example, a greater concentration of APOA1 was associated with higher alcohol consumption (P = 1.2 × 10−65), and it was also associated with a lower risk of diabetes (P = 8.5 × 10−6). However, several others showed unexpected 3-way associations.\nConclusions: We identified 20 alcohol-associated proteins in 6745 FHS samples. These alcohol-associated proteins demonstrated complex relations with the 3 CVD risk factors. Future studies with integration of more proteomic markers and larger sample size are warranted to unravel the complex relation between alcohol consumption and CVD risk. J Nutr 2021;151:2574–2582.","container-title":"The Journal of Nutrition","DOI":"10.1093/jn/nxab186","ISSN":"0022-3166, 1541-6100","issue":"9","language":"en","page":"2574-2582","source":"DOI.org (Crossref)","title":"Associations of Alcohol Consumption with Cardiovascular Disease-Related Proteomic Biomarkers: The Framingham Heart Study","title-short":"Associations of Alcohol Consumption with Cardiovascular Disease-Related Proteomic Biomarkers","volume":"151","author":[{"family":"Sun","given":"Xianbang"},{"family":"Ho","given":"Jennifer E"},{"family":"Gao","given":"He"},{"family":"Evangelou","given":"Evangelos"},{"family":"Yao","given":"Chen"},{"family":"Huan","given":"Tianxiao"},{"family":"Hwang","given":"Shih-Jen"},{"family":"Courchesne","given":"Paul"},{"family":"Larson","given":"Martin G"},{"family":"Levy","given":"Daniel"},{"family":"Ma","given":"Jiantao"},{"family":"Liu","given":"Chunyu"}],"issued":{"date-parts":[["2021",9,4]]}}}],"schema":"https://github.com/citation-style-language/schema/raw/master/csl-citation.json"} </w:instrText>
      </w:r>
      <w:r w:rsidR="00591FCD" w:rsidRPr="00591FCD">
        <w:rPr>
          <w:rFonts w:ascii="Times New Roman" w:hAnsi="Times New Roman" w:cs="Times New Roman"/>
        </w:rPr>
        <w:fldChar w:fldCharType="separate"/>
      </w:r>
      <w:r w:rsidR="00591FCD" w:rsidRPr="00591FCD">
        <w:rPr>
          <w:rFonts w:ascii="Times New Roman" w:hAnsi="Times New Roman" w:cs="Times New Roman"/>
          <w:vertAlign w:val="superscript"/>
        </w:rPr>
        <w:t>17</w:t>
      </w:r>
      <w:r w:rsidR="00591FCD" w:rsidRPr="00591FCD">
        <w:rPr>
          <w:rFonts w:ascii="Times New Roman" w:hAnsi="Times New Roman" w:cs="Times New Roman"/>
        </w:rPr>
        <w:fldChar w:fldCharType="end"/>
      </w:r>
      <w:r w:rsidR="00DA6594">
        <w:rPr>
          <w:rFonts w:ascii="Times New Roman" w:hAnsi="Times New Roman" w:cs="Times New Roman"/>
        </w:rPr>
        <w:t xml:space="preserve"> </w:t>
      </w:r>
    </w:p>
    <w:p w14:paraId="3BE8D5E1" w14:textId="77777777" w:rsidR="00EA3E0A" w:rsidRDefault="00E00610">
      <w:pPr>
        <w:spacing w:line="480" w:lineRule="auto"/>
        <w:rPr>
          <w:rFonts w:ascii="Times New Roman" w:hAnsi="Times New Roman" w:cs="Times New Roman"/>
          <w:i/>
          <w:iCs/>
          <w:u w:val="single"/>
        </w:rPr>
      </w:pPr>
      <w:r>
        <w:rPr>
          <w:rFonts w:ascii="Times New Roman" w:hAnsi="Times New Roman" w:cs="Times New Roman"/>
          <w:i/>
          <w:iCs/>
          <w:u w:val="single"/>
        </w:rPr>
        <w:t xml:space="preserve">Acknowledgements, funding, and disclosures </w:t>
      </w:r>
    </w:p>
    <w:p w14:paraId="6E61F5F2" w14:textId="77777777" w:rsidR="00EA3E0A" w:rsidRDefault="00E00610">
      <w:pPr>
        <w:spacing w:line="480" w:lineRule="auto"/>
        <w:ind w:firstLine="720"/>
        <w:rPr>
          <w:highlight w:val="yellow"/>
        </w:rPr>
      </w:pPr>
      <w:r>
        <w:rPr>
          <w:rFonts w:ascii="Times New Roman" w:hAnsi="Times New Roman" w:cs="Times New Roman"/>
        </w:rPr>
        <w:t>The Framingham Heart Study was supported by NIH contract N01-HC-25195. The analytical component of this project was funded by the Division of Intramural Research, National Heart, Lung, and Blood Institute, National Institutes of Health, Bethesda, MD (D. Levy, Principal Investigator). J. Ma is supported by NIH grant R01AA028263; C. Liu is supported by R01AA028263 and R01HL15569 grants.  The views and opinions expressed in this manuscript are those of the authors and do not necessarily represent the views of the National Heart, Lung, and Blood Institute, the National Institutes of Health, or the U.S. Department of Health and Human Services. All authors declare no conflicts of interest.</w:t>
      </w:r>
      <w:r>
        <w:t xml:space="preserve"> </w:t>
      </w:r>
      <w:bookmarkStart w:id="11" w:name="_Toc102403235"/>
    </w:p>
    <w:p w14:paraId="3F25439E" w14:textId="77777777" w:rsidR="00EA3E0A" w:rsidRDefault="00EA3E0A">
      <w:pPr>
        <w:spacing w:line="480" w:lineRule="auto"/>
      </w:pPr>
    </w:p>
    <w:bookmarkEnd w:id="11"/>
    <w:p w14:paraId="139FE43C" w14:textId="77777777" w:rsidR="008B56F1" w:rsidRPr="0080387E" w:rsidRDefault="008B56F1" w:rsidP="008B56F1">
      <w:pPr>
        <w:spacing w:line="480" w:lineRule="auto"/>
        <w:rPr>
          <w:b/>
          <w:highlight w:val="yellow"/>
        </w:rPr>
      </w:pPr>
      <w:r w:rsidRPr="0080387E">
        <w:rPr>
          <w:rFonts w:ascii="Times New Roman" w:hAnsi="Times New Roman" w:cs="Times New Roman"/>
          <w:b/>
        </w:rPr>
        <w:t>Genetic Epidemiology Network of Arteriopathy (GENOA)</w:t>
      </w:r>
    </w:p>
    <w:p w14:paraId="7803917C" w14:textId="77777777" w:rsidR="008B56F1" w:rsidRPr="003C4972" w:rsidRDefault="008B56F1" w:rsidP="008B56F1">
      <w:pPr>
        <w:spacing w:line="480" w:lineRule="auto"/>
        <w:rPr>
          <w:rFonts w:ascii="Times New Roman" w:hAnsi="Times New Roman" w:cs="Times New Roman"/>
          <w:i/>
          <w:iCs/>
          <w:u w:val="single"/>
        </w:rPr>
      </w:pPr>
      <w:r w:rsidRPr="003C4972">
        <w:rPr>
          <w:rFonts w:ascii="Times New Roman" w:hAnsi="Times New Roman" w:cs="Times New Roman"/>
          <w:i/>
          <w:iCs/>
          <w:u w:val="single"/>
        </w:rPr>
        <w:lastRenderedPageBreak/>
        <w:t>Study description and history</w:t>
      </w:r>
    </w:p>
    <w:p w14:paraId="3BF12B06" w14:textId="18FEE6FA" w:rsidR="008B56F1" w:rsidRPr="003C4972" w:rsidRDefault="008B56F1" w:rsidP="008B56F1">
      <w:pPr>
        <w:spacing w:line="480" w:lineRule="auto"/>
        <w:ind w:firstLine="720"/>
        <w:rPr>
          <w:rFonts w:ascii="Times New Roman" w:hAnsi="Times New Roman" w:cs="Times New Roman"/>
        </w:rPr>
      </w:pPr>
      <w:r w:rsidRPr="003C4972">
        <w:rPr>
          <w:rFonts w:ascii="Times New Roman" w:hAnsi="Times New Roman" w:cs="Times New Roman"/>
        </w:rPr>
        <w:t>The Genetic Epidemiology Network of Arteriopathy (GENOA) study is a community-based study of hypertensive sibships that was designed to investigate the genetics of hypertension and target organ damage in African Americans from Jackson, Mississippi and non-Hispanic whites from Rochester, Minnesota</w:t>
      </w:r>
      <w:r>
        <w:rPr>
          <w:rFonts w:ascii="Times New Roman" w:hAnsi="Times New Roman" w:cs="Times New Roman"/>
        </w:rPr>
        <w:t>.</w:t>
      </w:r>
      <w:r>
        <w:rPr>
          <w:rFonts w:ascii="Times New Roman" w:hAnsi="Times New Roman" w:cs="Times New Roman"/>
        </w:rPr>
        <w:fldChar w:fldCharType="begin" w:fldLock="1"/>
      </w:r>
      <w:r w:rsidR="00591FCD">
        <w:rPr>
          <w:rFonts w:ascii="Times New Roman" w:hAnsi="Times New Roman" w:cs="Times New Roman"/>
        </w:rPr>
        <w:instrText xml:space="preserve"> ADDIN ZOTERO_ITEM CSL_CITATION {"citationID":"Q9sS7O9N","properties":{"formattedCitation":"\\super 18\\nosupersub{}","plainCitation":"18","noteIndex":0},"citationItems":[{"id":"qS4agUuI/3sigWRzr","uris":["http://www.mendeley.com/documents/?uuid=c29534b0-3179-3ce1-b6af-d930b511a502"],"itemData":{"DOI":"10.1016/j.amjmed.2003.12.032","ISSN":"00029343","abstract":"Purpose To assess if the treatment and control of hypertension aggregates in families. Methods The Genetic Epidemiology Network of Arteriopathy (GENOA) study enrolled sibships between 1997 and 1999, including 1329 hypertensive non-Hispanic blacks (1057 sibling pairs) from Jackson, Mississippi, 1133 hypertensive non-Hispanic whites (859 sibling pairs) from Rochester, Minnesota, and 752 hypertensive Hispanic whites (627 sibling pairs) from Starr County, Texas. Hypertension awareness and drug treatment were ascertained at examination; control was defined by blood pressure levels &lt;140/90 mm Hg. As a measure of familial aggregation, odds ratios were calculated to assess concordance between sibling pairs in the treatment and control of hypertension. Results Overall, 90.5% of subjects were aware of their hypertension; 90.6% of those who were aware were treated with antihypertensive drugs and 56.0% of those treated had their hypertension controlled. There was statistically significant sib-sib concordance in the treatment of hypertension (odds ratio [OR] = 1.61; 95% confidence interval [CI]: 1.25 to 2.47; P = 0.003) and in the control of drug-treated hypertension (OR = 1.51; 95% CI: 1.25 to 1.81; P &lt;0.0001). Conclusion These findings suggest that the treatment and control of hypertension aggregates in families. © 2004 by Excerpta Medica Inc.","author":[{"dropping-particle":"","family":"Daniels","given":"Paul R.","non-dropping-particle":"","parse-names":false,"suffix":""},{"dropping-particle":"","family":"Kardia","given":"Sharon L.R.","non-dropping-particle":"","parse-names":false,"suffix":""},{"dropping-particle":"","family":"Hanis","given":"Craig L.","non-dropping-particle":"","parse-names":false,"suffix":""},{"dropping-particle":"","family":"Brown","given":"C. Andrew","non-dropping-particle":"","parse-names":false,"suffix":""},{"dropping-particle":"","family":"Hutchinson","given":"Richard","non-dropping-particle":"","parse-names":false,"suffix":""},{"dropping-particle":"","family":"Boerwinkle","given":"Eric","non-dropping-particle":"","parse-names":false,"suffix":""},{"dropping-particle":"","family":"Turner","given":"Stephen T.","non-dropping-particle":"","parse-names":false,"suffix":""}],"container-title":"American Journal of Medicine","id":"ITEM-1","issue":"10","issued":{"date-parts":[["2004"]]},"title":"Familial aggregation of hypertension treatment and control in the Genetic Epidemiology Network of Arteriopathy (GENOA) study","type":"article-journal","volume":"116"}}],"schema":"https://github.com/citation-style-language/schema/raw/master/csl-citation.json"} </w:instrText>
      </w:r>
      <w:r>
        <w:rPr>
          <w:rFonts w:ascii="Times New Roman" w:hAnsi="Times New Roman" w:cs="Times New Roman"/>
        </w:rPr>
        <w:fldChar w:fldCharType="separate"/>
      </w:r>
      <w:r w:rsidR="00591FCD" w:rsidRPr="00591FCD">
        <w:rPr>
          <w:rFonts w:ascii="Times New Roman" w:hAnsi="Times New Roman" w:cs="Times New Roman"/>
          <w:vertAlign w:val="superscript"/>
        </w:rPr>
        <w:t>18</w:t>
      </w:r>
      <w:r>
        <w:rPr>
          <w:rFonts w:ascii="Times New Roman" w:hAnsi="Times New Roman" w:cs="Times New Roman"/>
        </w:rPr>
        <w:fldChar w:fldCharType="end"/>
      </w:r>
      <w:r>
        <w:rPr>
          <w:rFonts w:ascii="Times New Roman" w:hAnsi="Times New Roman" w:cs="Times New Roman"/>
        </w:rPr>
        <w:t xml:space="preserve"> </w:t>
      </w:r>
      <w:r w:rsidRPr="003C4972">
        <w:rPr>
          <w:rFonts w:ascii="Times New Roman" w:hAnsi="Times New Roman" w:cs="Times New Roman"/>
        </w:rPr>
        <w:t xml:space="preserve">In the initial phase of GENOA (Phase I: 1996-2001), all members of sibships containing ≥ 2 individuals with essential hypertension clinically diagnosed before age 60 were invited to participate, including both hypertensive and </w:t>
      </w:r>
      <w:bookmarkStart w:id="12" w:name="OLE_LINK132"/>
      <w:r w:rsidRPr="003C4972">
        <w:rPr>
          <w:rFonts w:ascii="Times New Roman" w:hAnsi="Times New Roman" w:cs="Times New Roman"/>
        </w:rPr>
        <w:t xml:space="preserve">normotensive </w:t>
      </w:r>
      <w:bookmarkEnd w:id="12"/>
      <w:r w:rsidRPr="003C4972">
        <w:rPr>
          <w:rFonts w:ascii="Times New Roman" w:hAnsi="Times New Roman" w:cs="Times New Roman"/>
        </w:rPr>
        <w:t xml:space="preserve">siblings. </w:t>
      </w:r>
      <w:bookmarkStart w:id="13" w:name="OLE_LINK133"/>
      <w:r w:rsidRPr="003C4972">
        <w:rPr>
          <w:rFonts w:ascii="Times New Roman" w:hAnsi="Times New Roman" w:cs="Times New Roman"/>
        </w:rPr>
        <w:t>Exclusion criteria of the GENOA study were secondary hypertension</w:t>
      </w:r>
      <w:bookmarkEnd w:id="13"/>
      <w:r w:rsidRPr="003C4972">
        <w:rPr>
          <w:rFonts w:ascii="Times New Roman" w:hAnsi="Times New Roman" w:cs="Times New Roman"/>
        </w:rPr>
        <w:t xml:space="preserve">, alcoholism or drug abuse, pregnancy, insulin-dependent diabetes mellitus, or active malignancy. Eighty percent of African Americans (1,482 </w:t>
      </w:r>
      <w:r>
        <w:rPr>
          <w:rFonts w:ascii="Times New Roman" w:hAnsi="Times New Roman" w:cs="Times New Roman"/>
        </w:rPr>
        <w:t>participants</w:t>
      </w:r>
      <w:r w:rsidRPr="003C4972">
        <w:rPr>
          <w:rFonts w:ascii="Times New Roman" w:hAnsi="Times New Roman" w:cs="Times New Roman"/>
        </w:rPr>
        <w:t xml:space="preserve">) and 75% of non-Hispanic whites (1,213 </w:t>
      </w:r>
      <w:r>
        <w:rPr>
          <w:rFonts w:ascii="Times New Roman" w:hAnsi="Times New Roman" w:cs="Times New Roman"/>
        </w:rPr>
        <w:t>participants</w:t>
      </w:r>
      <w:r w:rsidRPr="003C4972">
        <w:rPr>
          <w:rFonts w:ascii="Times New Roman" w:hAnsi="Times New Roman" w:cs="Times New Roman"/>
        </w:rPr>
        <w:t xml:space="preserve">) from the initial study population returned for the second examination (Phase II: 2001-2005). Study visits were made in the morning after an overnight fast of at least eight hours. Demographic information, medical history, clinical characteristics, lifestyle factors, and blood samples were collected in each phase. Written informed consent was obtained from all </w:t>
      </w:r>
      <w:r>
        <w:rPr>
          <w:rFonts w:ascii="Times New Roman" w:hAnsi="Times New Roman" w:cs="Times New Roman"/>
        </w:rPr>
        <w:t>participants</w:t>
      </w:r>
      <w:r w:rsidRPr="003C4972">
        <w:rPr>
          <w:rFonts w:ascii="Times New Roman" w:hAnsi="Times New Roman" w:cs="Times New Roman"/>
        </w:rPr>
        <w:t xml:space="preserve"> and approval was granted by participating institutional review boards. DNA methylation levels were measured only in African American participants.</w:t>
      </w:r>
    </w:p>
    <w:p w14:paraId="2E0C4B17" w14:textId="77777777" w:rsidR="008B56F1" w:rsidRPr="003C4972" w:rsidRDefault="008B56F1" w:rsidP="008B56F1">
      <w:pPr>
        <w:spacing w:line="480" w:lineRule="auto"/>
        <w:rPr>
          <w:rFonts w:ascii="Times New Roman" w:hAnsi="Times New Roman" w:cs="Times New Roman"/>
          <w:i/>
          <w:iCs/>
          <w:u w:val="single"/>
        </w:rPr>
      </w:pPr>
      <w:r w:rsidRPr="003C4972">
        <w:rPr>
          <w:rFonts w:ascii="Times New Roman" w:hAnsi="Times New Roman" w:cs="Times New Roman"/>
          <w:i/>
          <w:iCs/>
          <w:u w:val="single"/>
        </w:rPr>
        <w:t xml:space="preserve">DNA methylation collection, processing, and additional analytical details </w:t>
      </w:r>
    </w:p>
    <w:p w14:paraId="28A976E4" w14:textId="61AD5B61" w:rsidR="008B56F1" w:rsidRPr="003C4972" w:rsidRDefault="008B56F1" w:rsidP="008B56F1">
      <w:pPr>
        <w:spacing w:line="480" w:lineRule="auto"/>
        <w:ind w:firstLine="720"/>
        <w:rPr>
          <w:rFonts w:ascii="Times New Roman" w:hAnsi="Times New Roman" w:cs="Times New Roman"/>
        </w:rPr>
      </w:pPr>
      <w:r w:rsidRPr="003C4972">
        <w:rPr>
          <w:rFonts w:ascii="Times New Roman" w:hAnsi="Times New Roman" w:cs="Times New Roman"/>
        </w:rPr>
        <w:t>A total of 1</w:t>
      </w:r>
      <w:r>
        <w:rPr>
          <w:rFonts w:ascii="Times New Roman" w:hAnsi="Times New Roman" w:cs="Times New Roman"/>
        </w:rPr>
        <w:t>,</w:t>
      </w:r>
      <w:r w:rsidRPr="003C4972">
        <w:rPr>
          <w:rFonts w:ascii="Times New Roman" w:hAnsi="Times New Roman" w:cs="Times New Roman"/>
        </w:rPr>
        <w:t xml:space="preserve">106 samples at Phase I and 304 samples at Phase II were assessed using the Illumina </w:t>
      </w:r>
      <w:proofErr w:type="spellStart"/>
      <w:r w:rsidRPr="003C4972">
        <w:rPr>
          <w:rFonts w:ascii="Times New Roman" w:hAnsi="Times New Roman" w:cs="Times New Roman"/>
        </w:rPr>
        <w:t>HumanMethylationEPIC</w:t>
      </w:r>
      <w:proofErr w:type="spellEnd"/>
      <w:r w:rsidRPr="003C4972">
        <w:rPr>
          <w:rFonts w:ascii="Times New Roman" w:hAnsi="Times New Roman" w:cs="Times New Roman"/>
        </w:rPr>
        <w:t xml:space="preserve"> </w:t>
      </w:r>
      <w:proofErr w:type="spellStart"/>
      <w:r w:rsidRPr="003C4972">
        <w:rPr>
          <w:rFonts w:ascii="Times New Roman" w:hAnsi="Times New Roman" w:cs="Times New Roman"/>
        </w:rPr>
        <w:t>BeadChip</w:t>
      </w:r>
      <w:proofErr w:type="spellEnd"/>
      <w:r w:rsidRPr="003C4972">
        <w:rPr>
          <w:rFonts w:ascii="Times New Roman" w:hAnsi="Times New Roman" w:cs="Times New Roman"/>
        </w:rPr>
        <w:t xml:space="preserve">. First, raw IDAT files were imported using </w:t>
      </w:r>
      <w:proofErr w:type="spellStart"/>
      <w:r w:rsidRPr="003C4972">
        <w:rPr>
          <w:rFonts w:ascii="Times New Roman" w:hAnsi="Times New Roman" w:cs="Times New Roman"/>
          <w:i/>
          <w:iCs/>
        </w:rPr>
        <w:t>minfi</w:t>
      </w:r>
      <w:proofErr w:type="spellEnd"/>
      <w:r w:rsidRPr="003C4972">
        <w:rPr>
          <w:rFonts w:ascii="Times New Roman" w:hAnsi="Times New Roman" w:cs="Times New Roman"/>
        </w:rPr>
        <w:t xml:space="preserve"> R package.</w:t>
      </w:r>
      <w:r>
        <w:rPr>
          <w:rFonts w:ascii="Times New Roman" w:hAnsi="Times New Roman" w:cs="Times New Roman"/>
        </w:rPr>
        <w:fldChar w:fldCharType="begin" w:fldLock="1"/>
      </w:r>
      <w:r w:rsidR="00E73BFA">
        <w:rPr>
          <w:rFonts w:ascii="Times New Roman" w:hAnsi="Times New Roman" w:cs="Times New Roman"/>
        </w:rPr>
        <w:instrText xml:space="preserve"> ADDIN ZOTERO_ITEM CSL_CITATION {"citationID":"SvAg4ZfD","properties":{"formattedCitation":"\\super 9\\nosupersub{}","plainCitation":"9","noteIndex":0},"citationItems":[{"id":"qS4agUuI/KmWklcva","uris":["http://www.mendeley.com/documents/?uuid=2b85adf4-9224-3b3d-8d36-28b7d27a9361"],"itemData":{"DOI":"10.1093/bioinformatics/btu049","ISSN":"14602059","abstract":"Motivation: The recently released Infinium HumanMethylation450 array (the '450k' array) provides a high-throughput assay to quantify DNA methylation (DNAm) at </w:instrText>
      </w:r>
      <w:r w:rsidR="00E73BFA">
        <w:rPr>
          <w:rFonts w:ascii="Cambria Math" w:hAnsi="Cambria Math" w:cs="Cambria Math"/>
        </w:rPr>
        <w:instrText>∼</w:instrText>
      </w:r>
      <w:r w:rsidR="00E73BFA">
        <w:rPr>
          <w:rFonts w:ascii="Times New Roman" w:hAnsi="Times New Roman" w:cs="Times New Roman"/>
        </w:rPr>
        <w:instrText xml:space="preserve">450 000 loci across a range of genomic features. Although less comprehensive than high-throughput sequencing-based techniques, this product is more cost-effective and promises to be the most widely used DNAm high-throughput measurement technology over the next several years. Results: Here we describe a suite of computational tools that incorporate state-of-the-art statistical techniques for the analysis of DNAm data. The software is structured to easily adapt to future versions of the technology. We include methods for preprocessing, quality assessment and detection of differentially methylated regions from the kilobase to the megabase scale. We show how our software provides a powerful and flexible development platform for future methods. We also illustrate how our methods empower the technology to make discoveries previously thought to be possible only with sequencing-based methods. © The Author 2014.","author":[{"dropping-particle":"","family":"Aryee","given":"Martin J.","non-dropping-particle":"","parse-names":false,"suffix":""},{"dropping-particle":"","family":"Jaffe","given":"Andrew E.","non-dropping-particle":"","parse-names":false,"suffix":""},{"dropping-particle":"","family":"Corrada-Bravo","given":"Hector","non-dropping-particle":"","parse-names":false,"suffix":""},{"dropping-particle":"","family":"Ladd-Acosta","given":"Christine","non-dropping-particle":"","parse-names":false,"suffix":""},{"dropping-particle":"","family":"Feinberg","given":"Andrew P.","non-dropping-particle":"","parse-names":false,"suffix":""},{"dropping-particle":"","family":"Hansen","given":"Kasper D.","non-dropping-particle":"","parse-names":false,"suffix":""},{"dropping-particle":"","family":"Irizarry","given":"Rafael A.","non-dropping-particle":"","parse-names":false,"suffix":""}],"container-title":"Bioinformatics","id":"ITEM-1","issue":"10","issued":{"date-parts":[["2014"]]},"title":"Minfi: A flexible and comprehensive Bioconductor package for the analysis of Infinium DNA methylation microarrays","type":"article-journal","volume":"30"}}],"schema":"https://github.com/citation-style-language/schema/raw/master/csl-citation.json"} </w:instrText>
      </w:r>
      <w:r>
        <w:rPr>
          <w:rFonts w:ascii="Times New Roman" w:hAnsi="Times New Roman" w:cs="Times New Roman"/>
        </w:rPr>
        <w:fldChar w:fldCharType="separate"/>
      </w:r>
      <w:r w:rsidR="00E73BFA" w:rsidRPr="00E73BFA">
        <w:rPr>
          <w:rFonts w:ascii="Times New Roman" w:hAnsi="Times New Roman" w:cs="Times New Roman"/>
          <w:vertAlign w:val="superscript"/>
        </w:rPr>
        <w:t>9</w:t>
      </w:r>
      <w:r>
        <w:rPr>
          <w:rFonts w:ascii="Times New Roman" w:hAnsi="Times New Roman" w:cs="Times New Roman"/>
        </w:rPr>
        <w:fldChar w:fldCharType="end"/>
      </w:r>
      <w:r w:rsidRPr="003C4972">
        <w:rPr>
          <w:rFonts w:ascii="Times New Roman" w:hAnsi="Times New Roman" w:cs="Times New Roman"/>
        </w:rPr>
        <w:t xml:space="preserve"> We used the </w:t>
      </w:r>
      <w:proofErr w:type="spellStart"/>
      <w:r w:rsidRPr="003C4972">
        <w:rPr>
          <w:rFonts w:ascii="Times New Roman" w:hAnsi="Times New Roman" w:cs="Times New Roman"/>
          <w:i/>
          <w:iCs/>
        </w:rPr>
        <w:t>shinyMethyl</w:t>
      </w:r>
      <w:proofErr w:type="spellEnd"/>
      <w:r w:rsidRPr="003C4972">
        <w:rPr>
          <w:rFonts w:ascii="Times New Roman" w:hAnsi="Times New Roman" w:cs="Times New Roman"/>
        </w:rPr>
        <w:t xml:space="preserve"> R package</w:t>
      </w:r>
      <w:r w:rsidRPr="003C4972">
        <w:rPr>
          <w:rFonts w:ascii="Times New Roman" w:hAnsi="Times New Roman" w:cs="Times New Roman"/>
        </w:rPr>
        <w:fldChar w:fldCharType="begin" w:fldLock="1"/>
      </w:r>
      <w:r w:rsidR="00591FCD">
        <w:rPr>
          <w:rFonts w:ascii="Times New Roman" w:hAnsi="Times New Roman" w:cs="Times New Roman"/>
        </w:rPr>
        <w:instrText xml:space="preserve"> ADDIN ZOTERO_ITEM CSL_CITATION {"citationID":"dQpEY7KR","properties":{"formattedCitation":"\\super 19\\nosupersub{}","plainCitation":"19","noteIndex":0},"citationItems":[{"id":"qS4agUuI/1ZKzo5B6","uris":["http://www.mendeley.com/documents/?uuid=082ba9e8-ff32-395a-ab7b-7410ae93d201"],"itemData":{"DOI":"10.12688/f1000research.4680.2","ISSN":"1759796X","abstract":"We present shinyMethyl, a Bioconductor package for interactive quality control of DNA methylation data from Illumina 450k arrays. The package summarizes 450k experiments into small exportable R objects from which an interactive interface is launched. Reactive plots allow fast and intuitive quality control assessment of the samples. In addition, exploration of the phenotypic associations is possible through coloring and principal component analysis. Altogether, the package makes it easy to perform quality assessment of large-scale methylation datasets, such as epigenome-wide association studies or the datasets available through The Cancer Genome Atlas portal. The shinyMethyl package is implemented in R and available via Bioconductor. Its development repository is at https://github.com/jfortin1/shinyMethyl.","author":[{"dropping-particle":"","family":"Fortin","given":"Jean Philippe","non-dropping-particle":"","parse-names":false,"suffix":""},{"dropping-particle":"","family":"Fertig","given":"Elana","non-dropping-particle":"","parse-names":false,"suffix":""},{"dropping-particle":"","family":"Hansen","given":"Kasper","non-dropping-particle":"","parse-names":false,"suffix":""}],"container-title":"F1000Research","id":"ITEM-1","issued":{"date-parts":[["2014"]]},"title":"shinyMethyl: Interactive quality control of Illumina 450k DNA methylation arrays in R","type":"article-journal","volume":"3"}}],"schema":"https://github.com/citation-style-language/schema/raw/master/csl-citation.json"} </w:instrText>
      </w:r>
      <w:r w:rsidRPr="003C4972">
        <w:rPr>
          <w:rFonts w:ascii="Times New Roman" w:hAnsi="Times New Roman" w:cs="Times New Roman"/>
        </w:rPr>
        <w:fldChar w:fldCharType="separate"/>
      </w:r>
      <w:r w:rsidR="00591FCD" w:rsidRPr="00591FCD">
        <w:rPr>
          <w:rFonts w:ascii="Times New Roman" w:hAnsi="Times New Roman" w:cs="Times New Roman"/>
          <w:vertAlign w:val="superscript"/>
        </w:rPr>
        <w:t>19</w:t>
      </w:r>
      <w:r w:rsidRPr="003C4972">
        <w:rPr>
          <w:rFonts w:ascii="Times New Roman" w:hAnsi="Times New Roman" w:cs="Times New Roman"/>
        </w:rPr>
        <w:fldChar w:fldCharType="end"/>
      </w:r>
      <w:r w:rsidRPr="003C4972">
        <w:rPr>
          <w:rFonts w:ascii="Times New Roman" w:hAnsi="Times New Roman" w:cs="Times New Roman"/>
        </w:rPr>
        <w:t xml:space="preserve"> to visualize the raw intensity data and identify sex mismatches and outliers, which were removed. We also obtained detection p-value for each sample at each probe, and individual probes with detection p-value &lt;10-16 were considered to be detected successfully.</w:t>
      </w:r>
      <w:r w:rsidRPr="003C4972">
        <w:rPr>
          <w:rFonts w:ascii="Times New Roman" w:hAnsi="Times New Roman" w:cs="Times New Roman"/>
        </w:rPr>
        <w:fldChar w:fldCharType="begin" w:fldLock="1"/>
      </w:r>
      <w:r w:rsidR="00E73BFA">
        <w:rPr>
          <w:rFonts w:ascii="Times New Roman" w:hAnsi="Times New Roman" w:cs="Times New Roman"/>
        </w:rPr>
        <w:instrText xml:space="preserve"> ADDIN ZOTERO_ITEM CSL_CITATION {"citationID":"2CgsCv7w","properties":{"formattedCitation":"\\super 10\\nosupersub{}","plainCitation":"10","noteIndex":0},"citationItems":[{"id":"qS4agUuI/gbPd8DOy","uris":["http://www.mendeley.com/documents/?uuid=600f3fd7-0709-304a-a313-4091135beba3"],"itemData":{"DOI":"10.1186/s13059-015-0600-x","ISSN":"1474760X","abstract":"DNA methylation plays a fundamental role in the regulation of the genome, but the optimal strategy for analysis of genome-wide DNA methylation data remains to be determined. We developed a comprehensive analysis pipeline for epigenome-wide association studies (EWAS) using the Illumina Infinium HumanMethylation450 BeadChip, based on 2,687 individuals, with 36 samples measured in duplicate. We propose new approaches to quality control, data normalisation and batch correction through control-probe adjustment and establish a null hypothesis for EWAS using permutation testing. Our analysis pipeline outperforms existing approaches, enabling accurate identification of methylation quantitative trait loci for hypothesis driven follow-up experiments.","author":[{"dropping-particle":"","family":"Lehne","given":"Benjamin","non-dropping-particle":"","parse-names":false,"suffix":""},{"dropping-particle":"","family":"Drong","given":"Alexander W.","non-dropping-particle":"","parse-names":false,"suffix":""},{"dropping-particle":"","family":"Loh","given":"Marie","non-dropping-particle":"","parse-names":false,"suffix":""},{"dropping-particle":"","family":"Zhang","given":"Weihua","non-dropping-particle":"","parse-names":false,"suffix":""},{"dropping-particle":"","family":"Scott","given":"William R.","non-dropping-particle":"","parse-names":false,"suffix":""},{"dropping-particle":"","family":"Tan","given":"Sian Tsung","non-dropping-particle":"","parse-names":false,"suffix":""},{"dropping-particle":"","family":"Afzal","given":"Uzma","non-dropping-particle":"","parse-names":false,"suffix":""},{"dropping-particle":"","family":"Scott","given":"James","non-dropping-particle":"","parse-names":false,"suffix":""},{"dropping-particle":"","family":"Jarvelin","given":"Marjo Riitta","non-dropping-particle":"","parse-names":false,"suffix":""},{"dropping-particle":"","family":"Elliott","given":"Paul","non-dropping-particle":"","parse-names":false,"suffix":""},{"dropping-particle":"","family":"McCarthy","given":"Mark I.","non-dropping-particle":"","parse-names":false,"suffix":""},{"dropping-particle":"","family":"Kooner","given":"Jaspal S.","non-dropping-particle":"","parse-names":false,"suffix":""},{"dropping-particle":"","family":"Chambers","given":"John C.","non-dropping-particle":"","parse-names":false,"suffix":""}],"container-title":"Genome Biology","id":"ITEM-1","issue":"1","issued":{"date-parts":[["2015"]]},"title":"A coherent approach for analysis of the Illumina HumanMethylation450 BeadChip improves data quality and performance in epigenome-wide association studies","type":"article-journal","volume":"16"}}],"schema":"https://github.com/citation-style-language/schema/raw/master/csl-citation.json"} </w:instrText>
      </w:r>
      <w:r w:rsidRPr="003C4972">
        <w:rPr>
          <w:rFonts w:ascii="Times New Roman" w:hAnsi="Times New Roman" w:cs="Times New Roman"/>
        </w:rPr>
        <w:fldChar w:fldCharType="separate"/>
      </w:r>
      <w:r w:rsidR="00E73BFA" w:rsidRPr="00E73BFA">
        <w:rPr>
          <w:rFonts w:ascii="Times New Roman" w:hAnsi="Times New Roman" w:cs="Times New Roman"/>
          <w:vertAlign w:val="superscript"/>
        </w:rPr>
        <w:t>10</w:t>
      </w:r>
      <w:r w:rsidRPr="003C4972">
        <w:rPr>
          <w:rFonts w:ascii="Times New Roman" w:hAnsi="Times New Roman" w:cs="Times New Roman"/>
        </w:rPr>
        <w:fldChar w:fldCharType="end"/>
      </w:r>
      <w:r w:rsidRPr="003C4972">
        <w:rPr>
          <w:rFonts w:ascii="Times New Roman" w:hAnsi="Times New Roman" w:cs="Times New Roman"/>
        </w:rPr>
        <w:t xml:space="preserve"> Samples and probes with detection rate &lt;10% were removed. Samples with incomplete bisulfite conversion identified using the </w:t>
      </w:r>
      <w:r w:rsidR="002B32D7">
        <w:rPr>
          <w:rFonts w:ascii="Times New Roman" w:hAnsi="Times New Roman" w:cs="Times New Roman"/>
        </w:rPr>
        <w:t>“</w:t>
      </w:r>
      <w:proofErr w:type="spellStart"/>
      <w:r w:rsidRPr="003C4972">
        <w:rPr>
          <w:rFonts w:ascii="Times New Roman" w:hAnsi="Times New Roman" w:cs="Times New Roman"/>
        </w:rPr>
        <w:t>QCinfo</w:t>
      </w:r>
      <w:proofErr w:type="spellEnd"/>
      <w:r w:rsidR="002B32D7">
        <w:rPr>
          <w:rFonts w:ascii="Times New Roman" w:hAnsi="Times New Roman" w:cs="Times New Roman"/>
        </w:rPr>
        <w:t>”</w:t>
      </w:r>
      <w:r w:rsidRPr="003C4972">
        <w:rPr>
          <w:rFonts w:ascii="Times New Roman" w:hAnsi="Times New Roman" w:cs="Times New Roman"/>
        </w:rPr>
        <w:t xml:space="preserve"> function in the </w:t>
      </w:r>
      <w:proofErr w:type="spellStart"/>
      <w:r w:rsidRPr="003C4972">
        <w:rPr>
          <w:rFonts w:ascii="Times New Roman" w:hAnsi="Times New Roman" w:cs="Times New Roman"/>
          <w:i/>
          <w:iCs/>
        </w:rPr>
        <w:t>ENmix</w:t>
      </w:r>
      <w:proofErr w:type="spellEnd"/>
      <w:r w:rsidRPr="003C4972">
        <w:rPr>
          <w:rFonts w:ascii="Times New Roman" w:hAnsi="Times New Roman" w:cs="Times New Roman"/>
        </w:rPr>
        <w:t xml:space="preserve"> R package were removed.</w:t>
      </w:r>
      <w:r w:rsidRPr="003C4972">
        <w:rPr>
          <w:rFonts w:ascii="Times New Roman" w:hAnsi="Times New Roman" w:cs="Times New Roman"/>
        </w:rPr>
        <w:fldChar w:fldCharType="begin" w:fldLock="1"/>
      </w:r>
      <w:r w:rsidR="00591FCD">
        <w:rPr>
          <w:rFonts w:ascii="Times New Roman" w:hAnsi="Times New Roman" w:cs="Times New Roman"/>
        </w:rPr>
        <w:instrText xml:space="preserve"> ADDIN ZOTERO_ITEM CSL_CITATION {"citationID":"JukVzeZW","properties":{"formattedCitation":"\\super 20\\nosupersub{}","plainCitation":"20","noteIndex":0},"citationItems":[{"id":"qS4agUuI/8khRlK8S","uris":["http://www.mendeley.com/documents/?uuid=98e5b980-fd4d-3638-8c39-92b7c7a6e50f"],"itemData":{"DOI":"10.1093/nar/gkv907","ISSN":"13624962","abstract":"The Illumina HumanMethylation450 BeadChip is increasingly utilized in epigenome-wide association studies, however, this array-based measurement of DNA methylation is subject to measurement variation. Appropriate data preprocessing to remove background noise is important for detecting the small changes that may be associated with disease. We developed a novel background correction method, ENmix, that uses a mixture of exponential and truncated normal distributions to flexibly model signal intensity and uses a truncated normal distribution to model background noise. Depending on data availability, we employ three approaches to estimate background normal distribution parameters using (i) internal chip negative controls, (ii) out-ofband Infinium I probe intensities or (iii) combined methylated and unmethylated intensities. We evaluate ENmix against other available methods for both reproducibility among duplicate samples and accuracy of methylation measurement among laboratory control samples. ENmix out-performed other background correction methods for both these measures and substantially reduced the probe-design type bias between Infinium I and II probes. In reanalysis of existing EWAS data we show that ENmix can identify additional CpGs, and results in smaller P-value estimates for previously-validated CpGs. We incorporated the method into R package ENmix, which is freely available from Bioconductor website.","author":[{"dropping-particle":"","family":"Xu","given":"Zongli","non-dropping-particle":"","parse-names":false,"suffix":""},{"dropping-particle":"","family":"Niu","given":"Liang","non-dropping-particle":"","parse-names":false,"suffix":""},{"dropping-particle":"","family":"Li","given":"Leping","non-dropping-particle":"","parse-names":false,"suffix":""},{"dropping-particle":"","family":"Taylor","given":"Jack A.","non-dropping-particle":"","parse-names":false,"suffix":""}],"container-title":"Nucleic Acids Research","id":"ITEM-1","issue":"3","issued":{"date-parts":[["2016"]]},"title":"ENmix: A novel background correction method for Illumina HumanMethylation450 BeadChip","type":"article-journal","volume":"44"}}],"schema":"https://github.com/citation-style-language/schema/raw/master/csl-citation.json"} </w:instrText>
      </w:r>
      <w:r w:rsidRPr="003C4972">
        <w:rPr>
          <w:rFonts w:ascii="Times New Roman" w:hAnsi="Times New Roman" w:cs="Times New Roman"/>
        </w:rPr>
        <w:fldChar w:fldCharType="separate"/>
      </w:r>
      <w:r w:rsidR="00591FCD" w:rsidRPr="00591FCD">
        <w:rPr>
          <w:rFonts w:ascii="Times New Roman" w:hAnsi="Times New Roman" w:cs="Times New Roman"/>
          <w:vertAlign w:val="superscript"/>
        </w:rPr>
        <w:t>20</w:t>
      </w:r>
      <w:r w:rsidRPr="003C4972">
        <w:rPr>
          <w:rFonts w:ascii="Times New Roman" w:hAnsi="Times New Roman" w:cs="Times New Roman"/>
        </w:rPr>
        <w:fldChar w:fldCharType="end"/>
      </w:r>
      <w:r w:rsidRPr="003C4972">
        <w:rPr>
          <w:rFonts w:ascii="Times New Roman" w:hAnsi="Times New Roman" w:cs="Times New Roman"/>
        </w:rPr>
        <w:t xml:space="preserve"> We also checked sample identity using the 59 SNP probes implemented in the EPIC chip and removed mismatched samples. Next, Noob was used for individual background and dye-bias normalization.</w:t>
      </w:r>
      <w:r w:rsidRPr="003C4972">
        <w:rPr>
          <w:rFonts w:ascii="Times New Roman" w:hAnsi="Times New Roman" w:cs="Times New Roman"/>
        </w:rPr>
        <w:fldChar w:fldCharType="begin" w:fldLock="1"/>
      </w:r>
      <w:r w:rsidR="00591FCD">
        <w:rPr>
          <w:rFonts w:ascii="Times New Roman" w:hAnsi="Times New Roman" w:cs="Times New Roman"/>
        </w:rPr>
        <w:instrText xml:space="preserve"> ADDIN ZOTERO_ITEM CSL_CITATION {"citationID":"zJhNVGAZ","properties":{"formattedCitation":"\\super 21\\nosupersub{}","plainCitation":"21","noteIndex":0},"citationItems":[{"id":"qS4agUuI/s3Ahz3UL","uris":["http://www.mendeley.com/documents/?uuid=ce7ca2ae-cfbe-35f3-b1ba-8e69eecf0e05"],"itemData":{"DOI":"10.1093/bioinformatics/btw691","ISSN":"14602059","abstract":"The minfi package is widely used for analyzing Illumina DNA methylation array data. Here we describe modifications to the minfi package required to support the HumanMethylationEPIC ('EPIC') array from Illumina. We discuss methods for the joint analysis and normalization of data from the HumanMethylation450 ('450k') and EPIC platforms. We introduce the single-sample Noob (ssNoob) method, a normalization procedure suitable for incremental preprocessing of individual methylation arrays and conclude that this method should be used when integrating data from multiple generations of Infinium methylation arrays. We show how to use reference 450k datasets to estimate cell type composition of samples on EPIC arrays. The cumulative effect of these updates is to ensure that minfi provides the tools to best integrate existing and forthcoming Illumina methylation array data.","author":[{"dropping-particle":"","family":"Fortin","given":"Jean Philippe","non-dropping-particle":"","parse-names":false,"suffix":""},{"dropping-particle":"","family":"Triche","given":"Timothy J.","non-dropping-particle":"","parse-names":false,"suffix":""},{"dropping-particle":"","family":"Hansen","given":"Kasper D.","non-dropping-particle":"","parse-names":false,"suffix":""}],"container-title":"Bioinformatics","id":"ITEM-1","issue":"4","issued":{"date-parts":[["2017"]]},"title":"Preprocessing, normalization and integration of the Illumina HumanMethylationEPIC array with minfi","type":"article-journal","volume":"33"}}],"schema":"https://github.com/citation-style-language/schema/raw/master/csl-citation.json"} </w:instrText>
      </w:r>
      <w:r w:rsidRPr="003C4972">
        <w:rPr>
          <w:rFonts w:ascii="Times New Roman" w:hAnsi="Times New Roman" w:cs="Times New Roman"/>
        </w:rPr>
        <w:fldChar w:fldCharType="separate"/>
      </w:r>
      <w:r w:rsidR="00591FCD" w:rsidRPr="00591FCD">
        <w:rPr>
          <w:rFonts w:ascii="Times New Roman" w:hAnsi="Times New Roman" w:cs="Times New Roman"/>
          <w:vertAlign w:val="superscript"/>
        </w:rPr>
        <w:t>21</w:t>
      </w:r>
      <w:r w:rsidRPr="003C4972">
        <w:rPr>
          <w:rFonts w:ascii="Times New Roman" w:hAnsi="Times New Roman" w:cs="Times New Roman"/>
        </w:rPr>
        <w:fldChar w:fldCharType="end"/>
      </w:r>
      <w:r w:rsidRPr="003C4972">
        <w:rPr>
          <w:rFonts w:ascii="Times New Roman" w:hAnsi="Times New Roman" w:cs="Times New Roman"/>
        </w:rPr>
        <w:t xml:space="preserve"> Since two types of probes are </w:t>
      </w:r>
      <w:r w:rsidRPr="003C4972">
        <w:rPr>
          <w:rFonts w:ascii="Times New Roman" w:hAnsi="Times New Roman" w:cs="Times New Roman"/>
        </w:rPr>
        <w:lastRenderedPageBreak/>
        <w:t xml:space="preserve">present on the EPIC </w:t>
      </w:r>
      <w:proofErr w:type="spellStart"/>
      <w:r w:rsidRPr="003C4972">
        <w:rPr>
          <w:rFonts w:ascii="Times New Roman" w:hAnsi="Times New Roman" w:cs="Times New Roman"/>
        </w:rPr>
        <w:t>BeadChip</w:t>
      </w:r>
      <w:proofErr w:type="spellEnd"/>
      <w:r w:rsidRPr="003C4972">
        <w:rPr>
          <w:rFonts w:ascii="Times New Roman" w:hAnsi="Times New Roman" w:cs="Times New Roman"/>
        </w:rPr>
        <w:t xml:space="preserve"> (Infinium I and Infinium II), we used the Regression on Correlated Probes (RCP) method to adjust for probe-type bias.</w:t>
      </w:r>
      <w:r w:rsidRPr="003C4972">
        <w:rPr>
          <w:rFonts w:ascii="Times New Roman" w:hAnsi="Times New Roman" w:cs="Times New Roman"/>
        </w:rPr>
        <w:fldChar w:fldCharType="begin" w:fldLock="1"/>
      </w:r>
      <w:r w:rsidR="00591FCD">
        <w:rPr>
          <w:rFonts w:ascii="Times New Roman" w:hAnsi="Times New Roman" w:cs="Times New Roman"/>
        </w:rPr>
        <w:instrText xml:space="preserve"> ADDIN ZOTERO_ITEM CSL_CITATION {"citationID":"HH17r9cf","properties":{"formattedCitation":"\\super 22\\nosupersub{}","plainCitation":"22","noteIndex":0},"citationItems":[{"id":"qS4agUuI/J6poDNqt","uris":["http://www.mendeley.com/documents/?uuid=ff9e8bb6-22bb-3262-9c8c-f9f4f0d61c6f"],"itemData":{"DOI":"10.1093/bioinformatics/btw285","ISSN":"14602059","abstract":"Motivation: The Illumina HumanMethylation450 BeadChip has been extensively utilized in epigenome-wide association studies. This array and its successor, the MethylationEPIC array, use two types of probes - Infinium I (type I) and Infinium II (type II) - in order to increase genome coverage but differences in probe chemistries result in different type I and II distributions of methylation values. Ignoring the difference in distributions between the two probe types may bias downstream analysis. Results: Here, we developed a novel method, called Regression on Correlated Probes (RCP), which uses the existing correlation between pairs of nearby type I and II probes to adjust the beta values of all type II probes. We evaluate the effect of this adjustment on reducing probe design type bias, reducing technical variation in duplicate samples, improving accuracy of measurements against known standards, and retention of biological signal. We find that RCP is statistically significantly better than unadjusted data or adjustment with alternative methods including SWAN and BMIQ. Availability: We incorporated the method into the R package ENmix, which is freely available from the Bioconductor website (https://www.bioconductor.org/packages/release/bioc/html/ENmix.html).","author":[{"dropping-particle":"","family":"Niu","given":"Liang","non-dropping-particle":"","parse-names":false,"suffix":""},{"dropping-particle":"","family":"Xu","given":"Zongli","non-dropping-particle":"","parse-names":false,"suffix":""},{"dropping-particle":"","family":"Taylor","given":"Jack A.","non-dropping-particle":"","parse-names":false,"suffix":""}],"container-title":"Bioinformatics","id":"ITEM-1","issue":"17","issued":{"date-parts":[["2016"]]},"title":"RCP: A novel probe design bias correction method for Illumina Methylation BeadChip","type":"paper-conference","volume":"32"}}],"schema":"https://github.com/citation-style-language/schema/raw/master/csl-citation.json"} </w:instrText>
      </w:r>
      <w:r w:rsidRPr="003C4972">
        <w:rPr>
          <w:rFonts w:ascii="Times New Roman" w:hAnsi="Times New Roman" w:cs="Times New Roman"/>
        </w:rPr>
        <w:fldChar w:fldCharType="separate"/>
      </w:r>
      <w:r w:rsidR="00591FCD" w:rsidRPr="00591FCD">
        <w:rPr>
          <w:rFonts w:ascii="Times New Roman" w:hAnsi="Times New Roman" w:cs="Times New Roman"/>
          <w:vertAlign w:val="superscript"/>
        </w:rPr>
        <w:t>22</w:t>
      </w:r>
      <w:r w:rsidRPr="003C4972">
        <w:rPr>
          <w:rFonts w:ascii="Times New Roman" w:hAnsi="Times New Roman" w:cs="Times New Roman"/>
        </w:rPr>
        <w:fldChar w:fldCharType="end"/>
      </w:r>
      <w:r w:rsidRPr="003C4972">
        <w:rPr>
          <w:rFonts w:ascii="Times New Roman" w:hAnsi="Times New Roman" w:cs="Times New Roman"/>
        </w:rPr>
        <w:t xml:space="preserve"> After exclusions, a total of 857</w:t>
      </w:r>
      <w:r>
        <w:rPr>
          <w:rFonts w:ascii="Times New Roman" w:hAnsi="Times New Roman" w:cs="Times New Roman"/>
        </w:rPr>
        <w:t>,</w:t>
      </w:r>
      <w:r w:rsidRPr="003C4972">
        <w:rPr>
          <w:rFonts w:ascii="Times New Roman" w:hAnsi="Times New Roman" w:cs="Times New Roman"/>
        </w:rPr>
        <w:t>121 probes in 1</w:t>
      </w:r>
      <w:r>
        <w:rPr>
          <w:rFonts w:ascii="Times New Roman" w:hAnsi="Times New Roman" w:cs="Times New Roman"/>
        </w:rPr>
        <w:t>,</w:t>
      </w:r>
      <w:r w:rsidRPr="003C4972">
        <w:rPr>
          <w:rFonts w:ascii="Times New Roman" w:hAnsi="Times New Roman" w:cs="Times New Roman"/>
        </w:rPr>
        <w:t>100 samples at Phase I and 294 samples at Phase II were available for analysis.</w:t>
      </w:r>
    </w:p>
    <w:p w14:paraId="0842D1E3" w14:textId="77777777" w:rsidR="008B56F1" w:rsidRPr="003C4972" w:rsidRDefault="008B56F1" w:rsidP="008B56F1">
      <w:pPr>
        <w:spacing w:line="480" w:lineRule="auto"/>
        <w:ind w:firstLine="720"/>
        <w:rPr>
          <w:rFonts w:ascii="Times New Roman" w:hAnsi="Times New Roman" w:cs="Times New Roman"/>
        </w:rPr>
      </w:pPr>
      <w:r>
        <w:rPr>
          <w:rFonts w:ascii="Times New Roman" w:hAnsi="Times New Roman" w:cs="Times New Roman"/>
        </w:rPr>
        <w:t>In</w:t>
      </w:r>
      <w:r w:rsidRPr="003C4972">
        <w:rPr>
          <w:rFonts w:ascii="Times New Roman" w:hAnsi="Times New Roman" w:cs="Times New Roman"/>
        </w:rPr>
        <w:t xml:space="preserve"> cross-sectional and prospective analyses, familial relationships within GENOA were </w:t>
      </w:r>
      <w:proofErr w:type="gramStart"/>
      <w:r w:rsidRPr="003C4972">
        <w:rPr>
          <w:rFonts w:ascii="Times New Roman" w:hAnsi="Times New Roman" w:cs="Times New Roman"/>
        </w:rPr>
        <w:t>taken into account</w:t>
      </w:r>
      <w:proofErr w:type="gramEnd"/>
      <w:r>
        <w:rPr>
          <w:rFonts w:ascii="Times New Roman" w:hAnsi="Times New Roman" w:cs="Times New Roman"/>
        </w:rPr>
        <w:t xml:space="preserve"> by including</w:t>
      </w:r>
      <w:r w:rsidRPr="003C4972">
        <w:rPr>
          <w:rFonts w:ascii="Times New Roman" w:hAnsi="Times New Roman" w:cs="Times New Roman"/>
        </w:rPr>
        <w:t xml:space="preserve"> a random effect for family ID in GEE models used to assess relationships between the ERS and blood pressure traits. The SAS (v9.4 TS1M2) procedure GENMOD was used for this purpose. Blood pressures were analyzed as normally distributed linear traits, and hypertension was analyzed as binomially distributed with logit link.</w:t>
      </w:r>
    </w:p>
    <w:p w14:paraId="067AA8C4" w14:textId="77777777" w:rsidR="008B56F1" w:rsidRPr="003C4972" w:rsidRDefault="008B56F1" w:rsidP="008B56F1">
      <w:pPr>
        <w:spacing w:line="480" w:lineRule="auto"/>
        <w:rPr>
          <w:rFonts w:ascii="Times New Roman" w:hAnsi="Times New Roman" w:cs="Times New Roman"/>
          <w:i/>
          <w:iCs/>
          <w:u w:val="single"/>
        </w:rPr>
      </w:pPr>
      <w:r w:rsidRPr="003C4972">
        <w:rPr>
          <w:rFonts w:ascii="Times New Roman" w:hAnsi="Times New Roman" w:cs="Times New Roman"/>
          <w:i/>
          <w:iCs/>
          <w:u w:val="single"/>
        </w:rPr>
        <w:t xml:space="preserve">Clinical phenotype collection and measurement </w:t>
      </w:r>
    </w:p>
    <w:p w14:paraId="2AA91CA1" w14:textId="5D9BFBC2" w:rsidR="008B56F1" w:rsidRPr="003C4972" w:rsidRDefault="008B56F1" w:rsidP="008B56F1">
      <w:pPr>
        <w:spacing w:line="480" w:lineRule="auto"/>
        <w:ind w:firstLine="720"/>
        <w:rPr>
          <w:rFonts w:ascii="Times New Roman" w:hAnsi="Times New Roman" w:cs="Times New Roman"/>
        </w:rPr>
      </w:pPr>
      <w:r w:rsidRPr="003C4972">
        <w:rPr>
          <w:rFonts w:ascii="Times New Roman" w:hAnsi="Times New Roman" w:cs="Times New Roman"/>
        </w:rPr>
        <w:t>The study sample consisted of 1</w:t>
      </w:r>
      <w:r>
        <w:rPr>
          <w:rFonts w:ascii="Times New Roman" w:hAnsi="Times New Roman" w:cs="Times New Roman"/>
        </w:rPr>
        <w:t>,</w:t>
      </w:r>
      <w:r w:rsidRPr="003C4972">
        <w:rPr>
          <w:rFonts w:ascii="Times New Roman" w:hAnsi="Times New Roman" w:cs="Times New Roman"/>
        </w:rPr>
        <w:t>053 participants with methylation data and no self-reported history of heart attack, myocardial infarction, or heart surgery at Phase I. For follow-up longitudinal models, 1</w:t>
      </w:r>
      <w:r>
        <w:rPr>
          <w:rFonts w:ascii="Times New Roman" w:hAnsi="Times New Roman" w:cs="Times New Roman"/>
        </w:rPr>
        <w:t>,</w:t>
      </w:r>
      <w:r w:rsidRPr="003C4972">
        <w:rPr>
          <w:rFonts w:ascii="Times New Roman" w:hAnsi="Times New Roman" w:cs="Times New Roman"/>
        </w:rPr>
        <w:t xml:space="preserve">037 </w:t>
      </w:r>
      <w:r>
        <w:rPr>
          <w:rFonts w:ascii="Times New Roman" w:hAnsi="Times New Roman" w:cs="Times New Roman"/>
        </w:rPr>
        <w:t>participants</w:t>
      </w:r>
      <w:r w:rsidRPr="003C4972">
        <w:rPr>
          <w:rFonts w:ascii="Times New Roman" w:hAnsi="Times New Roman" w:cs="Times New Roman"/>
        </w:rPr>
        <w:t xml:space="preserve"> had blood pressure data at Phase II. Excluding those with hypertension at Phase I, </w:t>
      </w:r>
      <w:r>
        <w:rPr>
          <w:rFonts w:ascii="Times New Roman" w:hAnsi="Times New Roman" w:cs="Times New Roman"/>
        </w:rPr>
        <w:t xml:space="preserve">a total of </w:t>
      </w:r>
      <w:r w:rsidRPr="003C4972">
        <w:rPr>
          <w:rFonts w:ascii="Times New Roman" w:hAnsi="Times New Roman" w:cs="Times New Roman"/>
        </w:rPr>
        <w:t xml:space="preserve">325 were </w:t>
      </w:r>
      <w:r>
        <w:rPr>
          <w:rFonts w:ascii="Times New Roman" w:hAnsi="Times New Roman" w:cs="Times New Roman"/>
        </w:rPr>
        <w:t>used</w:t>
      </w:r>
      <w:r w:rsidRPr="003C4972">
        <w:rPr>
          <w:rFonts w:ascii="Times New Roman" w:hAnsi="Times New Roman" w:cs="Times New Roman"/>
        </w:rPr>
        <w:t xml:space="preserve"> for incident hypertension analysis. All covariates were taken from Phase I.</w:t>
      </w:r>
    </w:p>
    <w:p w14:paraId="34BC1385" w14:textId="544A5A51" w:rsidR="008B56F1" w:rsidRPr="000D3D5F" w:rsidRDefault="008B56F1" w:rsidP="008B56F1">
      <w:pPr>
        <w:spacing w:line="480" w:lineRule="auto"/>
        <w:ind w:firstLine="720"/>
        <w:rPr>
          <w:rFonts w:ascii="Times New Roman" w:hAnsi="Times New Roman" w:cs="Times New Roman"/>
          <w:lang w:eastAsia="zh-CN"/>
        </w:rPr>
      </w:pPr>
      <w:r w:rsidRPr="003C4972">
        <w:rPr>
          <w:rFonts w:ascii="Times New Roman" w:hAnsi="Times New Roman" w:cs="Times New Roman"/>
        </w:rPr>
        <w:t>Blood pressure measures were taken as the average of the last two (out of 3) measurements taken during the exam</w:t>
      </w:r>
      <w:r>
        <w:rPr>
          <w:rFonts w:ascii="Times New Roman" w:hAnsi="Times New Roman" w:cs="Times New Roman"/>
        </w:rPr>
        <w:t>. S</w:t>
      </w:r>
      <w:r w:rsidRPr="003C4972">
        <w:rPr>
          <w:rFonts w:ascii="Times New Roman" w:hAnsi="Times New Roman" w:cs="Times New Roman"/>
        </w:rPr>
        <w:t>ystolic and diastolic averages were adjusted by 15 mmHg and 10 mmHg, respectively, for those on antihypertensive medication. Smoking status was categorized as never (smoked fewer than 100 cigarettes in lifetime), former (</w:t>
      </w:r>
      <w:r w:rsidRPr="00591FCD">
        <w:rPr>
          <w:rFonts w:ascii="Times New Roman" w:hAnsi="Times New Roman" w:cs="Times New Roman"/>
        </w:rPr>
        <w:t xml:space="preserve">smoked 100 cigarettes but do not currently smoke), and current (currently smoke). Height (cm) and weight (kg) were measured at in-person exams and converted to inches and pounds, respectively. </w:t>
      </w:r>
      <w:r w:rsidR="000D3D5F" w:rsidRPr="00591FCD">
        <w:rPr>
          <w:rFonts w:ascii="Times New Roman" w:hAnsi="Times New Roman" w:cs="Times New Roman"/>
        </w:rPr>
        <w:t>Alcohol consumption was calculated as the number of drinks per week based on aggregated measurements of a variety of alcoholic drinks.</w:t>
      </w:r>
      <w:r w:rsidR="00591FCD">
        <w:rPr>
          <w:rFonts w:ascii="Times New Roman" w:hAnsi="Times New Roman" w:cs="Times New Roman"/>
        </w:rPr>
        <w:fldChar w:fldCharType="begin"/>
      </w:r>
      <w:r w:rsidR="00591FCD">
        <w:rPr>
          <w:rFonts w:ascii="Times New Roman" w:hAnsi="Times New Roman" w:cs="Times New Roman"/>
        </w:rPr>
        <w:instrText xml:space="preserve"> ADDIN ZOTERO_ITEM CSL_CITATION {"citationID":"mH4C3BoX","properties":{"formattedCitation":"\\super 23\\nosupersub{}","plainCitation":"23","noteIndex":0},"citationItems":[{"id":160,"uris":["http://zotero.org/users/local/S7bnMkzI/items/RT68S8PC"],"itemData":{"id":160,"type":"article-journal","abstract":"DNA methylation (DNAm) clocks are important biomarkers of cellular aging and are associated with a variety of age-related chronic diseases and all-cause mortality. Examining the relationship between education and lifestyle risk factors for age-related diseases and multiple DNAm clocks can increase the understanding of how risk factors contribute to aging at the cellular level. This study explored the association between education or lifestyle risk factors for age-related diseases and the acceleration of four DNAm clocks, including intrinsic (IEAA) and extrinsic epigenetic age acceleration (EEAA), PhenoAge acceleration (PhenoAA), and GrimAge acceleration (GrimAA) in the African American participants of the Genetic Epidemiology Network of Arteriopathy. We performed both cross-sectional and longitudinal analyses. In cross-secti</w:instrText>
      </w:r>
      <w:r w:rsidR="00591FCD">
        <w:rPr>
          <w:rFonts w:ascii="Times New Roman" w:hAnsi="Times New Roman" w:cs="Times New Roman"/>
          <w:lang w:eastAsia="zh-CN"/>
        </w:rPr>
        <w:instrText xml:space="preserve">onal analyses, gender, education, BMI, smoking, and alcohol consumption were all independently associated with GrimAA, whereas only some of them were associated with other clocks. The eﬀect of smoking and education on GrimAA varied by gender. Longitudinal analyses suggest that age and BMI continued to increase GrimAA, and that age and current smoking continued to increase PhenoAA after controlling DNAm clocks at baseline. In conclusion, education and common lifestyle risk factors were associated with multiple DNAm clocks. However, the association with each risk factor varied by clock, which suggests that diﬀerent clocks may capture adverse eﬀects from diﬀerent environmental stimuli.","container-title":"International Journal of Environmental Research and Public Health","DOI":"10.3390/ijerph16173141","ISSN":"1660-4601","issue":"17","journalAbbreviation":"IJERPH","language":"en","page":"3141","source":"DOI.org (Crossref)","title":"Education and Lifestyle Factors Are Associated with DNA Methylation Clocks in Older African Americans","volume":"16","author":[{"family":"Zhao","given":"Wei"},{"family":"Ammous","given":"Farah"},{"family":"Ratliff","given":"Scott"},{"family":"Liu","given":"Jiaxuan"},{"family":"Yu","given":"Miao"},{"family":"Mosley","given":"Thomas H."},{"family":"Kardia","given":"Sharon L. R."},{"family":"Smith","given":"Jennifer A."}],"issued":{"date-parts":[["2019",8,28]]}}}],"schema":"https://github.com/citation-style-language/schema/raw/master/csl-citation.json"} </w:instrText>
      </w:r>
      <w:r w:rsidR="00591FCD">
        <w:rPr>
          <w:rFonts w:ascii="Times New Roman" w:hAnsi="Times New Roman" w:cs="Times New Roman"/>
        </w:rPr>
        <w:fldChar w:fldCharType="separate"/>
      </w:r>
      <w:r w:rsidR="00591FCD" w:rsidRPr="00591FCD">
        <w:rPr>
          <w:rFonts w:ascii="Times New Roman" w:hAnsi="Times New Roman" w:cs="Times New Roman"/>
          <w:vertAlign w:val="superscript"/>
          <w:lang w:eastAsia="zh-CN"/>
        </w:rPr>
        <w:t>23</w:t>
      </w:r>
      <w:r w:rsidR="00591FCD">
        <w:rPr>
          <w:rFonts w:ascii="Times New Roman" w:hAnsi="Times New Roman" w:cs="Times New Roman"/>
        </w:rPr>
        <w:fldChar w:fldCharType="end"/>
      </w:r>
      <w:r w:rsidR="00591FCD" w:rsidRPr="000D3D5F">
        <w:rPr>
          <w:rFonts w:ascii="Times New Roman" w:hAnsi="Times New Roman" w:cs="Times New Roman"/>
          <w:lang w:eastAsia="zh-CN"/>
        </w:rPr>
        <w:t xml:space="preserve"> </w:t>
      </w:r>
    </w:p>
    <w:p w14:paraId="2E45B6A6" w14:textId="77777777" w:rsidR="008B56F1" w:rsidRPr="003C4972" w:rsidRDefault="008B56F1" w:rsidP="008B56F1">
      <w:pPr>
        <w:spacing w:line="480" w:lineRule="auto"/>
        <w:rPr>
          <w:rFonts w:ascii="Times New Roman" w:hAnsi="Times New Roman" w:cs="Times New Roman"/>
          <w:i/>
          <w:iCs/>
          <w:u w:val="single"/>
          <w:lang w:eastAsia="zh-CN"/>
        </w:rPr>
      </w:pPr>
      <w:r w:rsidRPr="003C4972">
        <w:rPr>
          <w:rFonts w:ascii="Times New Roman" w:hAnsi="Times New Roman" w:cs="Times New Roman"/>
          <w:i/>
          <w:iCs/>
          <w:u w:val="single"/>
          <w:lang w:eastAsia="zh-CN"/>
        </w:rPr>
        <w:t xml:space="preserve">Acknowledgements, funding, and disclosures </w:t>
      </w:r>
    </w:p>
    <w:p w14:paraId="437CD645" w14:textId="77777777" w:rsidR="008B56F1" w:rsidRPr="003C4972" w:rsidRDefault="008B56F1" w:rsidP="007707D9">
      <w:pPr>
        <w:spacing w:line="480" w:lineRule="auto"/>
        <w:ind w:firstLine="720"/>
        <w:rPr>
          <w:rFonts w:ascii="Times New Roman" w:hAnsi="Times New Roman" w:cs="Times New Roman"/>
          <w:lang w:eastAsia="zh-CN"/>
        </w:rPr>
      </w:pPr>
      <w:r w:rsidRPr="003C4972">
        <w:rPr>
          <w:rFonts w:ascii="Times New Roman" w:hAnsi="Times New Roman" w:cs="Times New Roman"/>
          <w:lang w:eastAsia="zh-CN"/>
        </w:rPr>
        <w:t xml:space="preserve">Support for the Genetic Epidemiology Network of Arteriopathy (GENOA) was provided by </w:t>
      </w:r>
      <w:bookmarkStart w:id="14" w:name="OLE_LINK27"/>
      <w:r w:rsidRPr="003C4972">
        <w:rPr>
          <w:rFonts w:ascii="Times New Roman" w:hAnsi="Times New Roman" w:cs="Times New Roman"/>
          <w:lang w:eastAsia="zh-CN"/>
        </w:rPr>
        <w:t xml:space="preserve">the National Heart, </w:t>
      </w:r>
      <w:proofErr w:type="gramStart"/>
      <w:r w:rsidRPr="003C4972">
        <w:rPr>
          <w:rFonts w:ascii="Times New Roman" w:hAnsi="Times New Roman" w:cs="Times New Roman"/>
          <w:lang w:eastAsia="zh-CN"/>
        </w:rPr>
        <w:t>Lung</w:t>
      </w:r>
      <w:proofErr w:type="gramEnd"/>
      <w:r w:rsidRPr="003C4972">
        <w:rPr>
          <w:rFonts w:ascii="Times New Roman" w:hAnsi="Times New Roman" w:cs="Times New Roman"/>
          <w:lang w:eastAsia="zh-CN"/>
        </w:rPr>
        <w:t xml:space="preserve"> and Blood Institute (U10 HL054457, RC1 HL100185, R01 HL087660, R01 </w:t>
      </w:r>
      <w:r w:rsidRPr="003C4972">
        <w:rPr>
          <w:rFonts w:ascii="Times New Roman" w:hAnsi="Times New Roman" w:cs="Times New Roman"/>
          <w:lang w:eastAsia="zh-CN"/>
        </w:rPr>
        <w:lastRenderedPageBreak/>
        <w:t>HL119443, R01 HL141292, and R01 HL133221).</w:t>
      </w:r>
      <w:bookmarkEnd w:id="14"/>
      <w:r w:rsidRPr="003C4972">
        <w:rPr>
          <w:rFonts w:ascii="Times New Roman" w:hAnsi="Times New Roman" w:cs="Times New Roman"/>
          <w:lang w:eastAsia="zh-CN"/>
        </w:rPr>
        <w:t xml:space="preserve"> We would also like to thank the families that participated in the GENOA study.</w:t>
      </w:r>
    </w:p>
    <w:p w14:paraId="36283BA9" w14:textId="77777777" w:rsidR="00EA3E0A" w:rsidRDefault="00EA3E0A" w:rsidP="007707D9">
      <w:pPr>
        <w:spacing w:line="480" w:lineRule="auto"/>
        <w:rPr>
          <w:lang w:eastAsia="zh-CN"/>
        </w:rPr>
      </w:pPr>
      <w:bookmarkStart w:id="15" w:name="_Toc102403236"/>
    </w:p>
    <w:p w14:paraId="40858741" w14:textId="2CFCB4EB" w:rsidR="00EA3E0A" w:rsidRDefault="00E00610" w:rsidP="007707D9">
      <w:pPr>
        <w:spacing w:line="480" w:lineRule="auto"/>
        <w:rPr>
          <w:b/>
        </w:rPr>
      </w:pPr>
      <w:r>
        <w:rPr>
          <w:rFonts w:ascii="Times New Roman" w:hAnsi="Times New Roman" w:cs="Times New Roman"/>
          <w:b/>
          <w:lang w:eastAsia="zh-CN"/>
        </w:rPr>
        <w:t>Health and Retirement Stu</w:t>
      </w:r>
      <w:r>
        <w:rPr>
          <w:rFonts w:ascii="Times New Roman" w:hAnsi="Times New Roman" w:cs="Times New Roman"/>
          <w:b/>
        </w:rPr>
        <w:t>dy</w:t>
      </w:r>
      <w:bookmarkEnd w:id="15"/>
      <w:r>
        <w:rPr>
          <w:rFonts w:ascii="Times New Roman" w:hAnsi="Times New Roman" w:cs="Times New Roman"/>
          <w:b/>
        </w:rPr>
        <w:t xml:space="preserve"> </w:t>
      </w:r>
      <w:r w:rsidR="007A5077">
        <w:rPr>
          <w:rFonts w:ascii="Times New Roman" w:hAnsi="Times New Roman" w:cs="Times New Roman"/>
          <w:b/>
        </w:rPr>
        <w:t>(HRS)</w:t>
      </w:r>
    </w:p>
    <w:p w14:paraId="5DA29FAE" w14:textId="77777777" w:rsidR="00EA3E0A" w:rsidRDefault="00E00610" w:rsidP="007707D9">
      <w:pPr>
        <w:spacing w:line="480" w:lineRule="auto"/>
        <w:rPr>
          <w:rFonts w:ascii="Times New Roman" w:hAnsi="Times New Roman" w:cs="Times New Roman"/>
          <w:i/>
          <w:iCs/>
          <w:u w:val="single"/>
        </w:rPr>
      </w:pPr>
      <w:r>
        <w:rPr>
          <w:rFonts w:ascii="Times New Roman" w:hAnsi="Times New Roman" w:cs="Times New Roman"/>
          <w:i/>
          <w:iCs/>
          <w:u w:val="single"/>
        </w:rPr>
        <w:t xml:space="preserve">Study description and history </w:t>
      </w:r>
    </w:p>
    <w:p w14:paraId="42D4B299" w14:textId="41A82659" w:rsidR="00EA3E0A" w:rsidRDefault="00E00610" w:rsidP="007707D9">
      <w:pPr>
        <w:spacing w:line="480" w:lineRule="auto"/>
        <w:ind w:firstLine="720"/>
        <w:rPr>
          <w:rFonts w:ascii="Times New Roman" w:hAnsi="Times New Roman" w:cs="Times New Roman"/>
        </w:rPr>
      </w:pPr>
      <w:r>
        <w:rPr>
          <w:rFonts w:ascii="Times New Roman" w:hAnsi="Times New Roman" w:cs="Times New Roman"/>
        </w:rPr>
        <w:t>The Health and Retirement Study (HRS) is a longitudinal survey of a representative sample of Americans over the age of 50.</w:t>
      </w:r>
      <w:r>
        <w:rPr>
          <w:rFonts w:ascii="Times New Roman" w:hAnsi="Times New Roman" w:cs="Times New Roman"/>
        </w:rPr>
        <w:fldChar w:fldCharType="begin" w:fldLock="1"/>
      </w:r>
      <w:r w:rsidR="00591FCD">
        <w:rPr>
          <w:rFonts w:ascii="Times New Roman" w:hAnsi="Times New Roman" w:cs="Times New Roman"/>
        </w:rPr>
        <w:instrText xml:space="preserve"> ADDIN ZOTERO_ITEM CSL_CITATION {"citationID":"B4lVJcrI","properties":{"formattedCitation":"\\super 24\\nosupersub{}","plainCitation":"24","noteIndex":0},"citationItems":[{"id":"qS4agUuI/UefRKFm8","uris":["http://www.mendeley.com/documents/?uuid=26abf3ce-6cee-3924-a527-127bb6dcc5d7"],"itemData":{"DOI":"10.1093/ije/dyu067","ISSN":"14643685","abstract":"The Health and Retirement Study (HRS) is a nationally representative longitudinal survey of more than 37 000 individuals over age 50 in 23 000 households in the USA. The survey, which has been fielded every 2 years since 1992, was established to provide a national resource for data on the changing health and economic circumstances associated with ageing at both individual and population levels. Its multidisciplinary approach is focused on four broad topics-income and wealth; health, cognition and use of healthcare services; work and retirement; and family connections. HRS data are also linked at the individual level to administrative records from Social Security and Medicare, Veteran's Administration, the National Death Index and employer-provided pension plan information. Since 2006, data collection has expanded to include biomarkers and genetics as well as much greater depth in psychology and social context. This blend of economic, health and psychosocial information provides unprecedented potential to study increasingly complex questions about ageing and retirement. The HRS has been a leading force for rapid release of data while simultaneously protecting the confidentiality of respondents. Three categories of data-public, sensitive and restricted-can be accessed through procedures described on the HRS website (hrsonline.isr.umich.edu). © The Author 2014; all rights reserved. Published by Oxford University Press on behalf of the International Epidemiological Association.","author":[{"dropping-particle":"","family":"Sonnega","given":"Amanda","non-dropping-particle":"","parse-names":false,"suffix":""},{"dropping-particle":"","family":"Faul","given":"Jessica D.","non-dropping-particle":"","parse-names":false,"suffix":""},{"dropping-particle":"","family":"Ofstedal","given":"Mary Beth","non-dropping-particle":"","parse-names":false,"suffix":""},{"dropping-particle":"","family":"Langa","given":"Kenneth M.","non-dropping-particle":"","parse-names":false,"suffix":""},{"dropping-particle":"","family":"Phillips","given":"John W.R.","non-dropping-particle":"","parse-names":false,"suffix":""},{"dropping-particle":"","family":"Weir","given":"David R.","non-dropping-particle":"","parse-names":false,"suffix":""}],"container-title":"International Journal of Epidemiology","id":"ITEM-1","issue":"2","issued":{"date-parts":[["2014"]]},"title":"Cohort profile: The Health and Retirement Study (HRS)","type":"article-journal","volume":"43"}}],"schema":"https://github.com/citation-style-language/schema/raw/master/csl-citation.json"} </w:instrText>
      </w:r>
      <w:r>
        <w:rPr>
          <w:rFonts w:ascii="Times New Roman" w:hAnsi="Times New Roman" w:cs="Times New Roman"/>
        </w:rPr>
        <w:fldChar w:fldCharType="separate"/>
      </w:r>
      <w:r w:rsidR="00591FCD" w:rsidRPr="00591FCD">
        <w:rPr>
          <w:rFonts w:ascii="Times New Roman" w:hAnsi="Times New Roman" w:cs="Times New Roman"/>
          <w:vertAlign w:val="superscript"/>
        </w:rPr>
        <w:t>24</w:t>
      </w:r>
      <w:r>
        <w:rPr>
          <w:rFonts w:ascii="Times New Roman" w:hAnsi="Times New Roman" w:cs="Times New Roman"/>
        </w:rPr>
        <w:fldChar w:fldCharType="end"/>
      </w:r>
      <w:r>
        <w:rPr>
          <w:rFonts w:ascii="Times New Roman" w:hAnsi="Times New Roman" w:cs="Times New Roman"/>
        </w:rPr>
        <w:t xml:space="preserve"> Over 42,000 persons in 26,000 households have been interviewed since 1992. The study interviews </w:t>
      </w:r>
      <w:bookmarkStart w:id="16" w:name="OLE_LINK134"/>
      <w:r>
        <w:rPr>
          <w:rFonts w:ascii="Times New Roman" w:hAnsi="Times New Roman" w:cs="Times New Roman"/>
        </w:rPr>
        <w:t xml:space="preserve">respondents </w:t>
      </w:r>
      <w:bookmarkEnd w:id="16"/>
      <w:r>
        <w:rPr>
          <w:rFonts w:ascii="Times New Roman" w:hAnsi="Times New Roman" w:cs="Times New Roman"/>
        </w:rPr>
        <w:t xml:space="preserve">every two years about income and wealth, health and use of health services, work and retirement, and family connections. The sample is refreshed periodically with a new cohort of respondents to offset attrition and death and maintain ~20,000 individuals per sample wave. Starting in 2006, half of the core sample is randomly assigned to a face-to-face interview enhanced with physical and biological measures and a mail-back psychosocial questionnaire. The other half is interviewed by telephone. Each interview mode then alternates between the two half-samples in subsequent waves.  </w:t>
      </w:r>
    </w:p>
    <w:p w14:paraId="74D46FFF" w14:textId="77777777" w:rsidR="00EA3E0A" w:rsidRDefault="00E00610">
      <w:pPr>
        <w:spacing w:line="480" w:lineRule="auto"/>
        <w:rPr>
          <w:rFonts w:ascii="Times New Roman" w:hAnsi="Times New Roman" w:cs="Times New Roman"/>
          <w:i/>
          <w:iCs/>
          <w:u w:val="single"/>
        </w:rPr>
      </w:pPr>
      <w:r>
        <w:rPr>
          <w:rFonts w:ascii="Times New Roman" w:hAnsi="Times New Roman" w:cs="Times New Roman"/>
          <w:i/>
          <w:iCs/>
          <w:u w:val="single"/>
        </w:rPr>
        <w:t>DNA methylation collection, processing, and additional analytical details</w:t>
      </w:r>
    </w:p>
    <w:p w14:paraId="14D9705E" w14:textId="4418F590" w:rsidR="00EA3E0A" w:rsidRDefault="00E00610">
      <w:pPr>
        <w:spacing w:line="480" w:lineRule="auto"/>
        <w:ind w:firstLine="720"/>
        <w:rPr>
          <w:rFonts w:ascii="Times New Roman" w:hAnsi="Times New Roman" w:cs="Times New Roman"/>
          <w:color w:val="FF0000"/>
        </w:rPr>
      </w:pPr>
      <w:r>
        <w:rPr>
          <w:rFonts w:ascii="Times New Roman" w:hAnsi="Times New Roman" w:cs="Times New Roman"/>
          <w:i/>
          <w:iCs/>
          <w:u w:val="single"/>
        </w:rPr>
        <w:t xml:space="preserve"> </w:t>
      </w:r>
      <w:r>
        <w:rPr>
          <w:rFonts w:ascii="Times New Roman" w:hAnsi="Times New Roman" w:cs="Times New Roman"/>
        </w:rPr>
        <w:t xml:space="preserve">As part of the Venous Blood Study (VBS), an </w:t>
      </w:r>
      <w:bookmarkStart w:id="17" w:name="OLE_LINK135"/>
      <w:r>
        <w:rPr>
          <w:rFonts w:ascii="Times New Roman" w:hAnsi="Times New Roman" w:cs="Times New Roman"/>
        </w:rPr>
        <w:t xml:space="preserve">ancillary </w:t>
      </w:r>
      <w:bookmarkEnd w:id="17"/>
      <w:r>
        <w:rPr>
          <w:rFonts w:ascii="Times New Roman" w:hAnsi="Times New Roman" w:cs="Times New Roman"/>
        </w:rPr>
        <w:t xml:space="preserve">study of HRS, </w:t>
      </w:r>
      <w:bookmarkStart w:id="18" w:name="OLE_LINK136"/>
      <w:r>
        <w:rPr>
          <w:rFonts w:ascii="Times New Roman" w:hAnsi="Times New Roman" w:cs="Times New Roman"/>
        </w:rPr>
        <w:t xml:space="preserve">venous </w:t>
      </w:r>
      <w:bookmarkEnd w:id="18"/>
      <w:r>
        <w:rPr>
          <w:rFonts w:ascii="Times New Roman" w:hAnsi="Times New Roman" w:cs="Times New Roman"/>
        </w:rPr>
        <w:t xml:space="preserve">blood was collected in the 2016 wave. For a total of 4,103 respondents, DNA methylation was assessed from the blood samples using the Illumina </w:t>
      </w:r>
      <w:proofErr w:type="spellStart"/>
      <w:r>
        <w:rPr>
          <w:rFonts w:ascii="Times New Roman" w:hAnsi="Times New Roman" w:cs="Times New Roman"/>
        </w:rPr>
        <w:t>HumanMethylationEPIC</w:t>
      </w:r>
      <w:proofErr w:type="spellEnd"/>
      <w:r>
        <w:rPr>
          <w:rFonts w:ascii="Times New Roman" w:hAnsi="Times New Roman" w:cs="Times New Roman"/>
        </w:rPr>
        <w:t xml:space="preserve"> </w:t>
      </w:r>
      <w:proofErr w:type="spellStart"/>
      <w:r>
        <w:rPr>
          <w:rFonts w:ascii="Times New Roman" w:hAnsi="Times New Roman" w:cs="Times New Roman"/>
        </w:rPr>
        <w:t>BeadChip</w:t>
      </w:r>
      <w:proofErr w:type="spellEnd"/>
      <w:r>
        <w:rPr>
          <w:rFonts w:ascii="Times New Roman" w:hAnsi="Times New Roman" w:cs="Times New Roman"/>
        </w:rPr>
        <w:t xml:space="preserve">. Data were imported using the </w:t>
      </w:r>
      <w:proofErr w:type="spellStart"/>
      <w:r>
        <w:rPr>
          <w:rFonts w:ascii="Times New Roman" w:hAnsi="Times New Roman" w:cs="Times New Roman"/>
          <w:i/>
          <w:iCs/>
        </w:rPr>
        <w:t>minfi</w:t>
      </w:r>
      <w:proofErr w:type="spellEnd"/>
      <w:r>
        <w:rPr>
          <w:rFonts w:ascii="Times New Roman" w:hAnsi="Times New Roman" w:cs="Times New Roman"/>
        </w:rPr>
        <w:t xml:space="preserve"> R package.</w:t>
      </w:r>
      <w:r>
        <w:rPr>
          <w:rFonts w:ascii="Times New Roman" w:hAnsi="Times New Roman" w:cs="Times New Roman"/>
        </w:rPr>
        <w:fldChar w:fldCharType="begin" w:fldLock="1"/>
      </w:r>
      <w:r w:rsidR="00E73BFA">
        <w:rPr>
          <w:rFonts w:ascii="Times New Roman" w:hAnsi="Times New Roman" w:cs="Times New Roman"/>
        </w:rPr>
        <w:instrText xml:space="preserve"> ADDIN ZOTERO_ITEM CSL_CITATION {"citationID":"hzIFfJHd","properties":{"formattedCitation":"\\super 9\\nosupersub{}","plainCitation":"9","noteIndex":0},"citationItems":[{"id":"qS4agUuI/KmWklcva","uris":["http://www.mendeley.com/documents/?uuid=2b85adf4-9224-3b3d-8d36-28b7d27a9361"],"itemData":{"DOI":"10.1093/bioinformatics/btu049","ISSN":"14602059","abstract":"Motivation: The recently released Infinium HumanMethylation450 array (the '450k' array) provides a high-throughput assay to quantify DNA methylation (DNAm) at </w:instrText>
      </w:r>
      <w:r w:rsidR="00E73BFA">
        <w:rPr>
          <w:rFonts w:ascii="Cambria Math" w:hAnsi="Cambria Math" w:cs="Cambria Math"/>
        </w:rPr>
        <w:instrText>∼</w:instrText>
      </w:r>
      <w:r w:rsidR="00E73BFA">
        <w:rPr>
          <w:rFonts w:ascii="Times New Roman" w:hAnsi="Times New Roman" w:cs="Times New Roman"/>
        </w:rPr>
        <w:instrText xml:space="preserve">450 000 loci across a range of genomic features. Although less comprehensive than high-throughput sequencing-based techniques, this product is more cost-effective and promises to be the most widely used DNAm high-throughput measurement technology over the next several years. Results: Here we describe a suite of computational tools that incorporate state-of-the-art statistical techniques for the analysis of DNAm data. The software is structured to easily adapt to future versions of the technology. We include methods for preprocessing, quality assessment and detection of differentially methylated regions from the kilobase to the megabase scale. We show how our software provides a powerful and flexible development platform for future methods. We also illustrate how our methods empower the technology to make discoveries previously thought to be possible only with sequencing-based methods. © The Author 2014.","author":[{"dropping-particle":"","family":"Aryee","given":"Martin J.","non-dropping-particle":"","parse-names":false,"suffix":""},{"dropping-particle":"","family":"Jaffe","given":"Andrew E.","non-dropping-particle":"","parse-names":false,"suffix":""},{"dropping-particle":"","family":"Corrada-Bravo","given":"Hector","non-dropping-particle":"","parse-names":false,"suffix":""},{"dropping-particle":"","family":"Ladd-Acosta","given":"Christine","non-dropping-particle":"","parse-names":false,"suffix":""},{"dropping-particle":"","family":"Feinberg","given":"Andrew P.","non-dropping-particle":"","parse-names":false,"suffix":""},{"dropping-particle":"","family":"Hansen","given":"Kasper D.","non-dropping-particle":"","parse-names":false,"suffix":""},{"dropping-particle":"","family":"Irizarry","given":"Rafael A.","non-dropping-particle":"","parse-names":false,"suffix":""}],"container-title":"Bioinformatics","id":"ITEM-1","issue":"10","issued":{"date-parts":[["2014"]]},"title":"Minfi: A flexible and comprehensive Bioconductor package for the analysis of Infinium DNA methylation microarrays","type":"article-journal","volume":"30"}}],"schema":"https://github.com/citation-style-language/schema/raw/master/csl-citation.json"} </w:instrText>
      </w:r>
      <w:r>
        <w:rPr>
          <w:rFonts w:ascii="Times New Roman" w:hAnsi="Times New Roman" w:cs="Times New Roman"/>
        </w:rPr>
        <w:fldChar w:fldCharType="separate"/>
      </w:r>
      <w:r w:rsidR="00E73BFA" w:rsidRPr="00E73BFA">
        <w:rPr>
          <w:rFonts w:ascii="Times New Roman" w:hAnsi="Times New Roman" w:cs="Times New Roman"/>
          <w:vertAlign w:val="superscript"/>
        </w:rPr>
        <w:t>9</w:t>
      </w:r>
      <w:r>
        <w:rPr>
          <w:rFonts w:ascii="Times New Roman" w:hAnsi="Times New Roman" w:cs="Times New Roman"/>
        </w:rPr>
        <w:fldChar w:fldCharType="end"/>
      </w:r>
      <w:r>
        <w:rPr>
          <w:rFonts w:ascii="Times New Roman" w:hAnsi="Times New Roman" w:cs="Times New Roman"/>
        </w:rPr>
        <w:t xml:space="preserve"> Sex mismatches and with an average median intensity &lt;8.5 were removed. A detection p-value&lt;0.01 was used to remove samples and probes with detection rate &lt;5%. Sample identity was assessed using 59 SNP probes on the EPIC chip, but no additional samples were removed. After exclusions, a total of 836,660 probes in 4,018 samples were available for analysis. </w:t>
      </w:r>
    </w:p>
    <w:p w14:paraId="74B87AD2" w14:textId="77777777" w:rsidR="00EA3E0A" w:rsidRDefault="00E00610">
      <w:pPr>
        <w:spacing w:line="480" w:lineRule="auto"/>
        <w:ind w:firstLine="720"/>
        <w:rPr>
          <w:rFonts w:ascii="Times New Roman" w:hAnsi="Times New Roman" w:cs="Times New Roman"/>
        </w:rPr>
      </w:pPr>
      <w:r>
        <w:rPr>
          <w:rFonts w:ascii="Times New Roman" w:hAnsi="Times New Roman" w:cs="Times New Roman"/>
        </w:rPr>
        <w:lastRenderedPageBreak/>
        <w:t>With regards to cross-sectional and prospective analyses between the ERS and blood pressure traits, blood pressures were analyzed as normally distributed linear traits with the SAS (v9.4 TS1M2) procedure GENMOD, and hypertension was analyzed as binomially distributed with logit link using the SAS procedure LOGISTIC.</w:t>
      </w:r>
    </w:p>
    <w:p w14:paraId="644CBEBA" w14:textId="77777777" w:rsidR="00EA3E0A" w:rsidRDefault="00E00610">
      <w:pPr>
        <w:spacing w:line="480" w:lineRule="auto"/>
        <w:rPr>
          <w:rFonts w:ascii="Times New Roman" w:hAnsi="Times New Roman" w:cs="Times New Roman"/>
          <w:i/>
          <w:iCs/>
          <w:u w:val="single"/>
        </w:rPr>
      </w:pPr>
      <w:r>
        <w:rPr>
          <w:rFonts w:ascii="Times New Roman" w:hAnsi="Times New Roman" w:cs="Times New Roman"/>
          <w:i/>
          <w:iCs/>
          <w:u w:val="single"/>
        </w:rPr>
        <w:t xml:space="preserve">Clinical phenotype collection and measurement </w:t>
      </w:r>
    </w:p>
    <w:p w14:paraId="6F3DC9E6" w14:textId="3974DE92" w:rsidR="00EA3E0A" w:rsidRDefault="00E00610">
      <w:pPr>
        <w:spacing w:line="480" w:lineRule="auto"/>
        <w:ind w:firstLine="720"/>
        <w:rPr>
          <w:rFonts w:ascii="Times New Roman" w:hAnsi="Times New Roman" w:cs="Times New Roman"/>
        </w:rPr>
      </w:pPr>
      <w:r>
        <w:rPr>
          <w:rFonts w:ascii="Times New Roman" w:hAnsi="Times New Roman" w:cs="Times New Roman"/>
        </w:rPr>
        <w:t xml:space="preserve">The study samples consisted of 1348 participants from the 2016 wave (concurrent with methylation) and 1196 participants from the 2018 wave that had methylation data and no self-reported history of heart attack, coronary heart disease, angina, congestive heart failure, or other heart problems at the 2016 wave. Blood pressure measures were taken as the average of three measurements taken during the face-to-face </w:t>
      </w:r>
      <w:r w:rsidRPr="00591FCD">
        <w:rPr>
          <w:rFonts w:ascii="Times New Roman" w:hAnsi="Times New Roman" w:cs="Times New Roman"/>
        </w:rPr>
        <w:t xml:space="preserve">interview, and both systolic and diastolic averages were adjusted by 15 mmHg and 10 mmHg, respectively, for those on antihypertensive medication. Smoking status was categorized as never, former, and current. </w:t>
      </w:r>
      <w:r w:rsidR="003C2C4E" w:rsidRPr="00591FCD">
        <w:rPr>
          <w:rFonts w:ascii="Times New Roman" w:hAnsi="Times New Roman" w:cs="Times New Roman"/>
        </w:rPr>
        <w:t>At each wave, participants were asked if they ever drank alcohol. For the ones who answered yes, they were asked, on average, how many days and the number drinks of alcohol they consumed in the last three months.</w:t>
      </w:r>
      <w:r w:rsidR="00591FCD" w:rsidRPr="00591FCD">
        <w:rPr>
          <w:rFonts w:ascii="Times New Roman" w:hAnsi="Times New Roman" w:cs="Times New Roman"/>
        </w:rPr>
        <w:fldChar w:fldCharType="begin"/>
      </w:r>
      <w:r w:rsidR="00591FCD" w:rsidRPr="00591FCD">
        <w:rPr>
          <w:rFonts w:ascii="Times New Roman" w:hAnsi="Times New Roman" w:cs="Times New Roman"/>
        </w:rPr>
        <w:instrText xml:space="preserve"> ADDIN ZOTERO_ITEM CSL_CITATION {"citationID":"vWX3oz7k","properties":{"formattedCitation":"\\super 25\\nosupersub{}","plainCitation":"25","noteIndex":0},"citationItems":[{"id":577,"uris":["http://zotero.org/users/local/S7bnMkzI/items/9MMDMZ9C"],"itemData":{"id":577,"type":"article-journal","abstract":"BACKGROUND: Alcohol consumption in later life has increased in the past decade, and the relationship between alcohol consumption and mortality is controversial. Recent studies suggest little, if any, health benefit to alcohol. Yet most rely on single-time point consumption assessments and minimal confounder adjustments.\nMETHODS: We report on 16 years of follow-up from the Health and Retirement Study (HRS) cohorts born 1931 to 1941 (N = 7,904, baseline mean age = 61, SD = 3.18). Respondents were queried about drinking frequency/quantity. Mortality was established via exit interviews and confirmed with the national death index. Time-varying confounders included but were not limited to household assets, smoking, body mass index, health/functioning, depression, chronic disease; time-invariant confounders included baseline age, education, sex, and race.\nRESULTS: After adjustment, current abstainers had the highest risk of subsequent mortality, consistent with sick quitters, and moderate (men: HR = 0.74, 95% CI: 0.60 to 0.91; women: HR = 0.82, 95% CI: 0.63 to 1.07) drinking was associated with a lower mortality rate compared with occasional drinking, though smokers and men evidenced less of an inverse association. Quantitative bias analyses indicated that omitted confounders would need to be associated with ~4-fold increases in mortality rates for men and ~9-fold increases for women to change the results.\nCONCLUSIONS: There are consistent associations between moderate/occasional drinking and lower mortality, though residual confounding remains a threat to validity. Continued efforts to conduct large-scale observational studies of alcohol consumption and mortality are needed to characterize the changing patterns of consumption in older age.","container-title":"Alcoholism, Clinical and Experimental Research","DOI":"10.1111/acer.14125","ISSN":"1530-0277","issue":"8","journalAbbreviation":"Alcohol Clin Exp Res","language":"eng","note":"PMID: 31276233\nPMCID: PMC6677628","page":"1734-1746","source":"PubMed","title":"Alcohol Consumption in Later Life and Mortality in the United States: Results from 9 Waves of the Health and Retirement Study","title-short":"Alcohol Consumption in Later Life and Mortality in the United States","volume":"43","author":[{"family":"Keyes","given":"Katherine M."},{"family":"Calvo","given":"Esteban"},{"family":"Ornstein","given":"Katherine A."},{"family":"Rutherford","given":"Caroline"},{"family":"Fox","given":"Matthew P."},{"family":"Staudinger","given":"Ursula M."},{"family":"Fried","given":"Linda P."}],"issued":{"date-parts":[["2019",8]]}}}],"schema":"https://github.com/citation-style-language/schema/raw/master/csl-citation.json"} </w:instrText>
      </w:r>
      <w:r w:rsidR="00591FCD" w:rsidRPr="00591FCD">
        <w:rPr>
          <w:rFonts w:ascii="Times New Roman" w:hAnsi="Times New Roman" w:cs="Times New Roman"/>
        </w:rPr>
        <w:fldChar w:fldCharType="separate"/>
      </w:r>
      <w:r w:rsidR="00591FCD" w:rsidRPr="00591FCD">
        <w:rPr>
          <w:rFonts w:ascii="Times New Roman" w:hAnsi="Times New Roman" w:cs="Times New Roman"/>
          <w:vertAlign w:val="superscript"/>
        </w:rPr>
        <w:t>25</w:t>
      </w:r>
      <w:r w:rsidR="00591FCD" w:rsidRPr="00591FCD">
        <w:rPr>
          <w:rFonts w:ascii="Times New Roman" w:hAnsi="Times New Roman" w:cs="Times New Roman"/>
        </w:rPr>
        <w:fldChar w:fldCharType="end"/>
      </w:r>
      <w:r w:rsidR="003C2C4E" w:rsidRPr="00591FCD">
        <w:rPr>
          <w:rFonts w:ascii="Times New Roman" w:hAnsi="Times New Roman" w:cs="Times New Roman"/>
        </w:rPr>
        <w:t xml:space="preserve"> </w:t>
      </w:r>
      <w:r w:rsidRPr="00591FCD">
        <w:rPr>
          <w:rFonts w:ascii="Times New Roman" w:hAnsi="Times New Roman" w:cs="Times New Roman"/>
        </w:rPr>
        <w:t>Height (in) and</w:t>
      </w:r>
      <w:r>
        <w:rPr>
          <w:rFonts w:ascii="Times New Roman" w:hAnsi="Times New Roman" w:cs="Times New Roman"/>
        </w:rPr>
        <w:t xml:space="preserve"> weight (</w:t>
      </w:r>
      <w:proofErr w:type="spellStart"/>
      <w:r>
        <w:rPr>
          <w:rFonts w:ascii="Times New Roman" w:hAnsi="Times New Roman" w:cs="Times New Roman"/>
        </w:rPr>
        <w:t>lbs</w:t>
      </w:r>
      <w:proofErr w:type="spellEnd"/>
      <w:r>
        <w:rPr>
          <w:rFonts w:ascii="Times New Roman" w:hAnsi="Times New Roman" w:cs="Times New Roman"/>
        </w:rPr>
        <w:t>) were measured at face-to-face examinations.</w:t>
      </w:r>
    </w:p>
    <w:p w14:paraId="30775EB6" w14:textId="77777777" w:rsidR="00EA3E0A" w:rsidRDefault="00E00610">
      <w:pPr>
        <w:spacing w:line="480" w:lineRule="auto"/>
        <w:rPr>
          <w:rFonts w:ascii="Times New Roman" w:hAnsi="Times New Roman" w:cs="Times New Roman"/>
          <w:i/>
          <w:iCs/>
          <w:u w:val="single"/>
        </w:rPr>
      </w:pPr>
      <w:r>
        <w:rPr>
          <w:rFonts w:ascii="Times New Roman" w:hAnsi="Times New Roman" w:cs="Times New Roman"/>
          <w:i/>
          <w:iCs/>
          <w:u w:val="single"/>
        </w:rPr>
        <w:t>Acknowledgements, funding, and disclosures</w:t>
      </w:r>
    </w:p>
    <w:p w14:paraId="6E794428" w14:textId="77777777" w:rsidR="00EA3E0A" w:rsidRDefault="00E00610" w:rsidP="007707D9">
      <w:pPr>
        <w:spacing w:line="480" w:lineRule="auto"/>
        <w:ind w:firstLine="720"/>
        <w:rPr>
          <w:rFonts w:ascii="Times New Roman" w:hAnsi="Times New Roman" w:cs="Times New Roman"/>
        </w:rPr>
      </w:pPr>
      <w:bookmarkStart w:id="19" w:name="OLE_LINK28"/>
      <w:r>
        <w:rPr>
          <w:rFonts w:ascii="Times New Roman" w:hAnsi="Times New Roman" w:cs="Times New Roman"/>
        </w:rPr>
        <w:t>HRS is supported by the National Institute on Aging (NIA U01AG009740). The HRS DNA methylation was measured by the University of Minnesota Genomics Center (UMGC).</w:t>
      </w:r>
      <w:bookmarkEnd w:id="19"/>
      <w:r>
        <w:rPr>
          <w:rFonts w:ascii="Times New Roman" w:hAnsi="Times New Roman" w:cs="Times New Roman"/>
        </w:rPr>
        <w:t xml:space="preserve"> Sample coordination, plate design, and quality control was performed by the University of Minnesota Advanced Research and Diagnostics Laboratory (ARDL).</w:t>
      </w:r>
      <w:bookmarkStart w:id="20" w:name="_Toc102403237"/>
    </w:p>
    <w:p w14:paraId="3D389CC8" w14:textId="77777777" w:rsidR="00EA3E0A" w:rsidRDefault="00EA3E0A" w:rsidP="007707D9">
      <w:pPr>
        <w:spacing w:line="480" w:lineRule="auto"/>
        <w:rPr>
          <w:rFonts w:ascii="Times New Roman" w:hAnsi="Times New Roman" w:cs="Times New Roman"/>
        </w:rPr>
      </w:pPr>
    </w:p>
    <w:p w14:paraId="3FE36E03" w14:textId="77777777" w:rsidR="00EA3E0A" w:rsidRDefault="00E00610" w:rsidP="007707D9">
      <w:pPr>
        <w:spacing w:line="480" w:lineRule="auto"/>
        <w:rPr>
          <w:rFonts w:ascii="Times New Roman" w:hAnsi="Times New Roman" w:cs="Times New Roman"/>
          <w:b/>
        </w:rPr>
      </w:pPr>
      <w:r>
        <w:rPr>
          <w:rFonts w:ascii="Times New Roman" w:hAnsi="Times New Roman" w:cs="Times New Roman"/>
          <w:b/>
        </w:rPr>
        <w:t>Multi-Ethnic Study of Atherosclerosis (MESA)</w:t>
      </w:r>
      <w:bookmarkEnd w:id="20"/>
    </w:p>
    <w:p w14:paraId="13003C43" w14:textId="77777777" w:rsidR="00EA3E0A" w:rsidRDefault="00E00610" w:rsidP="007707D9">
      <w:pPr>
        <w:spacing w:line="480" w:lineRule="auto"/>
        <w:rPr>
          <w:rFonts w:ascii="Times New Roman" w:hAnsi="Times New Roman" w:cs="Times New Roman"/>
          <w:i/>
          <w:iCs/>
          <w:u w:val="single"/>
        </w:rPr>
      </w:pPr>
      <w:r>
        <w:rPr>
          <w:rFonts w:ascii="Times New Roman" w:hAnsi="Times New Roman" w:cs="Times New Roman"/>
          <w:i/>
          <w:iCs/>
          <w:u w:val="single"/>
        </w:rPr>
        <w:t xml:space="preserve">Study description and history </w:t>
      </w:r>
    </w:p>
    <w:p w14:paraId="0B14A1A5" w14:textId="77777777" w:rsidR="00EA3E0A" w:rsidRDefault="00E00610" w:rsidP="007707D9">
      <w:pPr>
        <w:spacing w:line="480" w:lineRule="auto"/>
        <w:ind w:firstLine="720"/>
        <w:rPr>
          <w:rFonts w:ascii="Times New Roman" w:hAnsi="Times New Roman" w:cs="Times New Roman"/>
        </w:rPr>
      </w:pPr>
      <w:r>
        <w:rPr>
          <w:rFonts w:ascii="Times New Roman" w:hAnsi="Times New Roman" w:cs="Times New Roman"/>
        </w:rPr>
        <w:lastRenderedPageBreak/>
        <w:t xml:space="preserve">The Multi-Ethnic Study of Atherosclerosis (MESA) is a study of the characteristics of subclinical cardiovascular disease and the risk factors that predict progression to clinically overt cardiovascular disease or progression of the subclinical disease. MESA consisted of a diverse, population-based sample of an initial 6,814 asymptomatic men and women aged 45-84. 38 percent of the recruited participants were white, 28 percent African American, 22 percent Hispanic, and 12 percent Asian, predominantly of Chinese descent. Participants were recruited from six field centers across the United States: Wake Forest University, Columbia University, Johns Hopkins University, University of Minnesota, Northwestern University and University of California - Los Angeles. This study was approved by the IRB of each study site, and written informed consent was obtained from all participants (IRB: #00009029). Each participant received an extensive physical exam and determination of coronary calcification, ventricular mass and function, flow-mediated endothelial vasodilation, carotid intimal-medial wall thickness and </w:t>
      </w:r>
      <w:bookmarkStart w:id="21" w:name="OLE_LINK137"/>
      <w:r>
        <w:rPr>
          <w:rFonts w:ascii="Times New Roman" w:hAnsi="Times New Roman" w:cs="Times New Roman"/>
        </w:rPr>
        <w:t xml:space="preserve">presence of echogenic </w:t>
      </w:r>
      <w:proofErr w:type="spellStart"/>
      <w:r>
        <w:rPr>
          <w:rFonts w:ascii="Times New Roman" w:hAnsi="Times New Roman" w:cs="Times New Roman"/>
        </w:rPr>
        <w:t>lucencies</w:t>
      </w:r>
      <w:proofErr w:type="spellEnd"/>
      <w:r>
        <w:rPr>
          <w:rFonts w:ascii="Times New Roman" w:hAnsi="Times New Roman" w:cs="Times New Roman"/>
        </w:rPr>
        <w:t xml:space="preserve"> in the carotid artery</w:t>
      </w:r>
      <w:bookmarkEnd w:id="21"/>
      <w:r>
        <w:rPr>
          <w:rFonts w:ascii="Times New Roman" w:hAnsi="Times New Roman" w:cs="Times New Roman"/>
        </w:rPr>
        <w:t>, lower extremity vascular insufficiency, arterial wave forms, electrocardiographic (ECG) measures, standard coronary risk factors, sociodemographic factors, lifestyle factors, and psychosocial factors. Selected repetition of subclinical disease measures and risk factors at follow-up visits allowed study of the progression of disease. Participants are being followed for identification and characterization of cardiovascular disease events, including acute myocardial infarction and other forms of coronary heart disease (CHD), stroke, and congestive heart failure; for cardiovascular disease interventions; and for mortality. The first examination took place over two years, from July 2000 - July 2002. It was followed by five examination periods that were 17-20 months in length, including the latest completed exam 6 (2016-2018) with high cohort retention.</w:t>
      </w:r>
    </w:p>
    <w:p w14:paraId="3189FF79" w14:textId="77777777" w:rsidR="00EA3E0A" w:rsidRDefault="00E00610">
      <w:pPr>
        <w:spacing w:line="480" w:lineRule="auto"/>
        <w:rPr>
          <w:rFonts w:ascii="Times New Roman" w:hAnsi="Times New Roman" w:cs="Times New Roman"/>
          <w:i/>
          <w:iCs/>
          <w:u w:val="single"/>
        </w:rPr>
      </w:pPr>
      <w:r>
        <w:rPr>
          <w:rFonts w:ascii="Times New Roman" w:hAnsi="Times New Roman" w:cs="Times New Roman"/>
          <w:i/>
          <w:iCs/>
          <w:u w:val="single"/>
        </w:rPr>
        <w:t xml:space="preserve">DNA methylation collection, processing, and additional analytical details </w:t>
      </w:r>
    </w:p>
    <w:p w14:paraId="161A9835" w14:textId="5909410D" w:rsidR="00EA3E0A" w:rsidRDefault="00E00610">
      <w:pPr>
        <w:spacing w:line="480" w:lineRule="auto"/>
        <w:ind w:firstLine="720"/>
        <w:rPr>
          <w:rFonts w:ascii="Times New Roman" w:hAnsi="Times New Roman" w:cs="Times New Roman"/>
        </w:rPr>
      </w:pPr>
      <w:r>
        <w:rPr>
          <w:rFonts w:ascii="Times New Roman" w:hAnsi="Times New Roman" w:cs="Times New Roman"/>
        </w:rPr>
        <w:t xml:space="preserve">Microarray technology was used to assay methylation at CpG sites in genomic DNA samples. The assays were performed using the Illumina EPIC array, which targets over 850,000 CpG sites. DNA samples were treated with bisulfite to measure 5-methylcytosine (5-mC) and 5-hydroxymethylcytosine (5-hmC): ~200 of these matched samples </w:t>
      </w:r>
      <w:proofErr w:type="gramStart"/>
      <w:r>
        <w:rPr>
          <w:rFonts w:ascii="Times New Roman" w:hAnsi="Times New Roman" w:cs="Times New Roman"/>
        </w:rPr>
        <w:t>were</w:t>
      </w:r>
      <w:proofErr w:type="gramEnd"/>
      <w:r>
        <w:rPr>
          <w:rFonts w:ascii="Times New Roman" w:hAnsi="Times New Roman" w:cs="Times New Roman"/>
        </w:rPr>
        <w:t xml:space="preserve"> also treated with an oxidizing reagent to distinguish </w:t>
      </w:r>
      <w:r>
        <w:rPr>
          <w:rFonts w:ascii="Times New Roman" w:hAnsi="Times New Roman" w:cs="Times New Roman"/>
        </w:rPr>
        <w:lastRenderedPageBreak/>
        <w:t>between 5-mC and 5-hmC. Beta values will be corrected for background and normalized by standard procedures (e.g.</w:t>
      </w:r>
      <w:r w:rsidR="003E7E08">
        <w:rPr>
          <w:rFonts w:ascii="Times New Roman" w:hAnsi="Times New Roman" w:cs="Times New Roman"/>
        </w:rPr>
        <w:t>,</w:t>
      </w:r>
      <w:r>
        <w:rPr>
          <w:rFonts w:ascii="Times New Roman" w:hAnsi="Times New Roman" w:cs="Times New Roman"/>
        </w:rPr>
        <w:t xml:space="preserve"> BMIQ, SWAN, DASEN). Quality control procedures will include removing sites with detection p-values p &gt; 0.05 in more than 5-20% of samples and removing samples with detection p-values p &gt; 0.05 in &gt; 5% of sites.</w:t>
      </w:r>
    </w:p>
    <w:p w14:paraId="154DD52A" w14:textId="764F1C30" w:rsidR="00EA3E0A" w:rsidRDefault="00E00610">
      <w:pPr>
        <w:spacing w:line="480" w:lineRule="auto"/>
        <w:ind w:firstLine="720"/>
        <w:rPr>
          <w:rFonts w:ascii="Times New Roman" w:hAnsi="Times New Roman" w:cs="Times New Roman"/>
        </w:rPr>
      </w:pPr>
      <w:r>
        <w:rPr>
          <w:rFonts w:ascii="Times New Roman" w:hAnsi="Times New Roman" w:cs="Times New Roman"/>
        </w:rPr>
        <w:t> </w:t>
      </w:r>
      <w:proofErr w:type="spellStart"/>
      <w:r>
        <w:rPr>
          <w:rFonts w:ascii="Times New Roman" w:hAnsi="Times New Roman" w:cs="Times New Roman"/>
        </w:rPr>
        <w:t>DNAm</w:t>
      </w:r>
      <w:proofErr w:type="spellEnd"/>
      <w:r>
        <w:rPr>
          <w:rFonts w:ascii="Times New Roman" w:hAnsi="Times New Roman" w:cs="Times New Roman"/>
        </w:rPr>
        <w:t xml:space="preserve"> was estimated as the proportion of methylated beads relative to combined unmethylated and methylated beads for a specific CpG site defined as the β value (ranging from 0 [unmethylated] to 1 [methylated]). All methylation data were normalized using beta-mixture quantile normalization. Technical covariates included chip and row to adjust for batch effects and cell composition, which was estimated using the reference-based Houseman method.</w:t>
      </w:r>
      <w:r>
        <w:rPr>
          <w:rFonts w:ascii="Times New Roman" w:hAnsi="Times New Roman" w:cs="Times New Roman"/>
        </w:rPr>
        <w:fldChar w:fldCharType="begin" w:fldLock="1"/>
      </w:r>
      <w:r w:rsidR="00E73BFA">
        <w:rPr>
          <w:rFonts w:ascii="Times New Roman" w:hAnsi="Times New Roman" w:cs="Times New Roman"/>
        </w:rPr>
        <w:instrText xml:space="preserve"> ADDIN ZOTERO_ITEM CSL_CITATION {"citationID":"NEbSouhW","properties":{"formattedCitation":"\\super 4\\nosupersub{}","plainCitation":"4","noteIndex":0},"citationItems":[{"id":"qS4agUuI/C3H0zMJa","uris":["http://www.mendeley.com/documents/?uuid=69abab58-40d2-38a3-badb-48a3491953ba"],"itemData":{"DOI":"10.1186/1471-2105-13-86","ISSN":"14712105","abstract":"Background: There has been a long-standing need in biomedical research for a method that quantifies the normally mixed composition of leukocytes beyond what is possible by simple histological or flow cytometric assessments. The latter is restricted by the labile nature of protein epitopes, requirements for cell processing, and timely cell analysis. In a diverse array of diseases and following numerous immune-toxic exposures, leukocyte composition will critically inform the underlying immuno-biology to most chronic medical conditions. Emerging research demonstrates that DNA methylation is responsible for cellular differentiation, and when measured in whole peripheral blood, serves to distinguish cancer cases from controls.Results: Here we present a method, similar to regression calibration, for inferring changes in the distribution of white blood cells between different subpopulations (e.g. cases and controls) using DNA methylation signatures, in combination with a previously obtained external validation set consisting of signatures from purified leukocyte samples. We validate the fundamental idea in a cell mixture reconstruction experiment, then demonstrate our method on DNA methylation data sets from several studies, including data from a Head and Neck Squamous Cell Carcinoma (HNSCC) study and an ovarian cancer study. Our method produces results consistent with prior biological findings, thereby validating the approach.Conclusions: Our method, in combination with an appropriate external validation set, promises new opportunities for large-scale immunological studies of both disease states and noxious exposures. © 2012 Houseman et al.; licensee BioMed Central Ltd.","author":[{"dropping-particle":"","family":"Houseman","given":"Eugene A.","non-dropping-particle":"","parse-names":false,"suffix":""},{"dropping-particle":"","family":"Accomando","given":"William P.","non-dropping-particle":"","parse-names":false,"suffix":""},{"dropping-particle":"","family":"Koestler","given":"Devin C.","non-dropping-particle":"","parse-names":false,"suffix":""},{"dropping-particle":"","family":"Christensen","given":"Brock C.","non-dropping-particle":"","parse-names":false,"suffix":""},{"dropping-particle":"","family":"Marsit","given":"Carmen J.","non-dropping-particle":"","parse-names":false,"suffix":""},{"dropping-particle":"","family":"Nelson","given":"Heather H.","non-dropping-particle":"","parse-names":false,"suffix":""},{"dropping-particle":"","family":"Wiencke","given":"John K.","non-dropping-particle":"","parse-names":false,"suffix":""},{"dropping-particle":"","family":"Kelsey","given":"Karl T.","non-dropping-particle":"","parse-names":false,"suffix":""}],"container-title":"BMC Bioinformatics","id":"ITEM-1","issue":"1","issued":{"date-parts":[["2012"]]},"title":"DNA methylation arrays as surrogate measures of cell mixture distribution","type":"article-journal","volume":"13"}}],"schema":"https://github.com/citation-style-language/schema/raw/master/csl-citation.json"} </w:instrText>
      </w:r>
      <w:r>
        <w:rPr>
          <w:rFonts w:ascii="Times New Roman" w:hAnsi="Times New Roman" w:cs="Times New Roman"/>
        </w:rPr>
        <w:fldChar w:fldCharType="separate"/>
      </w:r>
      <w:r w:rsidR="00E73BFA" w:rsidRPr="00E73BFA">
        <w:rPr>
          <w:rFonts w:ascii="Times New Roman" w:hAnsi="Times New Roman" w:cs="Times New Roman"/>
          <w:vertAlign w:val="superscript"/>
        </w:rPr>
        <w:t>4</w:t>
      </w:r>
      <w:r>
        <w:rPr>
          <w:rFonts w:ascii="Times New Roman" w:hAnsi="Times New Roman" w:cs="Times New Roman"/>
        </w:rPr>
        <w:fldChar w:fldCharType="end"/>
      </w:r>
    </w:p>
    <w:p w14:paraId="65F770AA" w14:textId="77777777" w:rsidR="00EA3E0A" w:rsidRDefault="00E00610">
      <w:pPr>
        <w:spacing w:line="480" w:lineRule="auto"/>
        <w:rPr>
          <w:rFonts w:ascii="Times New Roman" w:hAnsi="Times New Roman" w:cs="Times New Roman"/>
          <w:i/>
          <w:iCs/>
          <w:u w:val="single"/>
        </w:rPr>
      </w:pPr>
      <w:r>
        <w:rPr>
          <w:rFonts w:ascii="Times New Roman" w:hAnsi="Times New Roman" w:cs="Times New Roman"/>
          <w:i/>
          <w:iCs/>
          <w:u w:val="single"/>
        </w:rPr>
        <w:t xml:space="preserve">Clinical phenotype collection and measurement </w:t>
      </w:r>
    </w:p>
    <w:p w14:paraId="60AA23BD" w14:textId="17C2D5FF" w:rsidR="00EA3E0A" w:rsidRDefault="00E00610">
      <w:pPr>
        <w:spacing w:line="480" w:lineRule="auto"/>
        <w:ind w:firstLine="720"/>
        <w:rPr>
          <w:rFonts w:ascii="Times New Roman" w:hAnsi="Times New Roman" w:cs="Times New Roman"/>
        </w:rPr>
      </w:pPr>
      <w:r>
        <w:rPr>
          <w:rFonts w:ascii="Times New Roman" w:hAnsi="Times New Roman" w:cs="Times New Roman"/>
        </w:rPr>
        <w:t>The study sample consisted of</w:t>
      </w:r>
      <w:r w:rsidR="007707D9">
        <w:rPr>
          <w:rFonts w:ascii="Times New Roman" w:hAnsi="Times New Roman" w:cs="Times New Roman"/>
        </w:rPr>
        <w:t xml:space="preserve"> </w:t>
      </w:r>
      <w:r>
        <w:rPr>
          <w:rFonts w:ascii="Times New Roman" w:hAnsi="Times New Roman" w:cs="Times New Roman"/>
        </w:rPr>
        <w:t>935 participants with methylation data and no self-reported history of CHD at Exam1. For follow-up longitudinal models,</w:t>
      </w:r>
      <w:r w:rsidR="007707D9">
        <w:rPr>
          <w:rFonts w:ascii="Times New Roman" w:hAnsi="Times New Roman" w:cs="Times New Roman"/>
        </w:rPr>
        <w:t xml:space="preserve"> </w:t>
      </w:r>
      <w:r>
        <w:rPr>
          <w:rFonts w:ascii="Times New Roman" w:hAnsi="Times New Roman" w:cs="Times New Roman"/>
        </w:rPr>
        <w:t>935 of these had blood pressure data at exam 5. Excluding those with hypertension at Exam1, 566 (203 incident cases) were left for incident hypertension analysis. All covariates were taken from Exam1.</w:t>
      </w:r>
    </w:p>
    <w:p w14:paraId="6BE2962F" w14:textId="03C80ED8" w:rsidR="00991FD9" w:rsidRDefault="00E00610" w:rsidP="00871BBD">
      <w:pPr>
        <w:spacing w:line="480" w:lineRule="auto"/>
        <w:ind w:firstLine="720"/>
        <w:rPr>
          <w:rFonts w:ascii="Times New Roman" w:hAnsi="Times New Roman" w:cs="Times New Roman"/>
        </w:rPr>
      </w:pPr>
      <w:r>
        <w:rPr>
          <w:rFonts w:ascii="Times New Roman" w:hAnsi="Times New Roman" w:cs="Times New Roman"/>
        </w:rPr>
        <w:t xml:space="preserve">Systolic and diastolic BP (SBP, DBP) were measured at each exam following a standard protocol. Participants rested for 5 minutes and then three measurements were taken at 2-minute intervals using an automated </w:t>
      </w:r>
      <w:proofErr w:type="spellStart"/>
      <w:r>
        <w:rPr>
          <w:rFonts w:ascii="Times New Roman" w:hAnsi="Times New Roman" w:cs="Times New Roman"/>
        </w:rPr>
        <w:t>oscillometric</w:t>
      </w:r>
      <w:proofErr w:type="spellEnd"/>
      <w:r>
        <w:rPr>
          <w:rFonts w:ascii="Times New Roman" w:hAnsi="Times New Roman" w:cs="Times New Roman"/>
        </w:rPr>
        <w:t xml:space="preserve"> sphygmomanometer. The second and third measurements were </w:t>
      </w:r>
      <w:proofErr w:type="gramStart"/>
      <w:r>
        <w:rPr>
          <w:rFonts w:ascii="Times New Roman" w:hAnsi="Times New Roman" w:cs="Times New Roman"/>
        </w:rPr>
        <w:t>averaged</w:t>
      </w:r>
      <w:proofErr w:type="gramEnd"/>
      <w:r>
        <w:rPr>
          <w:rFonts w:ascii="Times New Roman" w:hAnsi="Times New Roman" w:cs="Times New Roman"/>
        </w:rPr>
        <w:t xml:space="preserve"> and this value was used for analysis. To account for treatment effects of antihypertensive medication use, we added 15 mmHg to the observed SBP and 10 mmHg to the observed DBP values among participants reporting antihypertensive medication use. Smoking status was categorized as never, former, and current. Height (cm) and weight (</w:t>
      </w:r>
      <w:proofErr w:type="spellStart"/>
      <w:r>
        <w:rPr>
          <w:rFonts w:ascii="Times New Roman" w:hAnsi="Times New Roman" w:cs="Times New Roman"/>
        </w:rPr>
        <w:t>lbs</w:t>
      </w:r>
      <w:proofErr w:type="spellEnd"/>
      <w:r>
        <w:rPr>
          <w:rFonts w:ascii="Times New Roman" w:hAnsi="Times New Roman" w:cs="Times New Roman"/>
        </w:rPr>
        <w:t>) were measured at in-</w:t>
      </w:r>
      <w:r w:rsidRPr="00E42BF3">
        <w:rPr>
          <w:rFonts w:ascii="Times New Roman" w:hAnsi="Times New Roman" w:cs="Times New Roman"/>
        </w:rPr>
        <w:t>person exams.</w:t>
      </w:r>
      <w:r w:rsidR="00871BBD" w:rsidRPr="00E42BF3">
        <w:rPr>
          <w:rFonts w:ascii="Times New Roman" w:hAnsi="Times New Roman" w:cs="Times New Roman"/>
        </w:rPr>
        <w:t xml:space="preserve"> The information on the collection of alcohol consumption was previously collected.</w:t>
      </w:r>
      <w:r w:rsidR="00E42BF3" w:rsidRPr="00E42BF3">
        <w:rPr>
          <w:rFonts w:ascii="Times New Roman" w:hAnsi="Times New Roman" w:cs="Times New Roman"/>
        </w:rPr>
        <w:fldChar w:fldCharType="begin"/>
      </w:r>
      <w:r w:rsidR="00E42BF3" w:rsidRPr="00E42BF3">
        <w:rPr>
          <w:rFonts w:ascii="Times New Roman" w:hAnsi="Times New Roman" w:cs="Times New Roman"/>
        </w:rPr>
        <w:instrText xml:space="preserve"> ADDIN ZOTERO_ITEM CSL_CITATION {"citationID":"6cts59TG","properties":{"formattedCitation":"\\super 26\\nosupersub{}","plainCitation":"26","noteIndex":0},"citationItems":[{"id":580,"uris":["http://zotero.org/users/local/S7bnMkzI/items/3E6TTA8T"],"itemData":{"id":580,"type":"article-journal","abstract":"Background The relationship between alcohol consumption and ectopic fat distribution, both known factors for cardiovascular disease, remains understudied. Therefore, we aimed to examine the association between alcohol consumption and ectopic adiposity in adults at risk for cardiovascular disease. Methods and Results In this cross-sectional analysis, we categorized alcohol intake among participants in MESA (Multi-Ethnic Study of Atherosclerosis) as follows (</w:instrText>
      </w:r>
      <w:r w:rsidR="00E42BF3" w:rsidRPr="00E42BF3">
        <w:rPr>
          <w:rFonts w:ascii="Times New Roman" w:hAnsi="Times New Roman" w:cs="Times New Roman" w:hint="eastAsia"/>
        </w:rPr>
        <w:instrText xml:space="preserve">drinks/day): &lt;1 (light drinking), 1 to 2 (moderate drinking), &gt;2 (heavy drinking), former drinking, and lifetime abstention. Binge drinking was defined as consuming </w:instrText>
      </w:r>
      <w:r w:rsidR="00E42BF3" w:rsidRPr="00E42BF3">
        <w:rPr>
          <w:rFonts w:ascii="Times New Roman" w:hAnsi="Times New Roman" w:cs="Times New Roman" w:hint="eastAsia"/>
        </w:rPr>
        <w:instrText>≥</w:instrText>
      </w:r>
      <w:r w:rsidR="00E42BF3" w:rsidRPr="00E42BF3">
        <w:rPr>
          <w:rFonts w:ascii="Times New Roman" w:hAnsi="Times New Roman" w:cs="Times New Roman" w:hint="eastAsia"/>
        </w:rPr>
        <w:instrText>5 drinks on 1 occasion in the past month. Visceral, subcutaneous, and intermuscular fat a</w:instrText>
      </w:r>
      <w:r w:rsidR="00E42BF3" w:rsidRPr="00E42BF3">
        <w:rPr>
          <w:rFonts w:ascii="Times New Roman" w:hAnsi="Times New Roman" w:cs="Times New Roman"/>
        </w:rPr>
        <w:instrText xml:space="preserve">rea, pericardial fat volume, and hepatic fat attenuation were measured using noncontrast computed tomography. Using multivariable linear regression, we examined the associations between categories of alcohol consumption and natural log-transformed fat in ectopic depots. We included 6756 MESA participants (62.1±10.2 years; 47.2% women), of whom 6734 and 1934 had chest computed tomography (pericardial and hepatic fat) and abdominal computed tomography (subcutaneous, intermuscular, and visceral fat), respectively. In adjusted analysis, heavy drinking, relative to lifetime abstention, was associated with a higher (relative percent difference) pericardial 15.1 [95% CI, 7.1-27.7], hepatic 3.4 [95% CI, 0.1-6.8], visceral 2.5 [95% CI, -10.4 to 17.2], and intermuscular 5.2 [95% CI, -6.6 to 18.4] fat but lower subcutaneous fat -3.5 [95% CI, -15.5 to 10.2]). The associations between alcohol consumption and ectopic adiposity exhibited a J-shaped pattern. Binge drinking, relative to light-to-moderate drinking, was also associated with higher ectopic fat. Conclusions Alcohol consumption had a J-shaped association with ectopic adiposity. Both heavy alcohol intake and binge alcohol drinking were associated with higher ectopic fat.","container-title":"Journal of the American Heart Association","DOI":"10.1161/JAHA.123.030470","ISSN":"2047-9980","issue":"18","journalAbbreviation":"J Am Heart Assoc","language":"eng","note":"PMID: 37681576\nPMCID: PMC10547290","page":"e030470","source":"PubMed","title":"Association Between Alcohol Consumption and Ectopic Fat in the Multi-Ethnic Study of Atherosclerosis","volume":"12","author":[{"family":"Kazibwe","given":"Richard"},{"family":"Chevli","given":"Parag A."},{"family":"Evans","given":"Joni K."},{"family":"Allison","given":"Matthew"},{"family":"Michos","given":"Erin D."},{"family":"Wood","given":"Alexis C."},{"family":"Ding","given":"Jingzhong"},{"family":"Shapiro","given":"Michael D."},{"family":"Mongraw-Chaffin","given":"Morgana"}],"issued":{"date-parts":[["2023",9,19]]}}}],"schema":"https://github.com/citation-style-language/schema/raw/master/csl-citation.json"} </w:instrText>
      </w:r>
      <w:r w:rsidR="00E42BF3" w:rsidRPr="00E42BF3">
        <w:rPr>
          <w:rFonts w:ascii="Times New Roman" w:hAnsi="Times New Roman" w:cs="Times New Roman"/>
        </w:rPr>
        <w:fldChar w:fldCharType="separate"/>
      </w:r>
      <w:r w:rsidR="00E42BF3" w:rsidRPr="00E42BF3">
        <w:rPr>
          <w:rFonts w:ascii="Times New Roman" w:hAnsi="Times New Roman" w:cs="Times New Roman"/>
          <w:vertAlign w:val="superscript"/>
        </w:rPr>
        <w:t>26</w:t>
      </w:r>
      <w:r w:rsidR="00E42BF3" w:rsidRPr="00E42BF3">
        <w:rPr>
          <w:rFonts w:ascii="Times New Roman" w:hAnsi="Times New Roman" w:cs="Times New Roman"/>
        </w:rPr>
        <w:fldChar w:fldCharType="end"/>
      </w:r>
      <w:r w:rsidR="00871BBD" w:rsidRPr="00E42BF3">
        <w:rPr>
          <w:rFonts w:ascii="Times New Roman" w:hAnsi="Times New Roman" w:cs="Times New Roman"/>
        </w:rPr>
        <w:t xml:space="preserve"> In brief, alcohol consumption was collected by trained personnel using personal‐history questionnaire. The participants were asked the following questions:</w:t>
      </w:r>
      <w:r w:rsidR="001E0899">
        <w:rPr>
          <w:rFonts w:ascii="Times New Roman" w:hAnsi="Times New Roman" w:cs="Times New Roman"/>
        </w:rPr>
        <w:t xml:space="preserve"> </w:t>
      </w:r>
      <w:r w:rsidR="00991FD9" w:rsidRPr="00E42BF3">
        <w:rPr>
          <w:rFonts w:ascii="Times New Roman" w:hAnsi="Times New Roman" w:cs="Times New Roman"/>
        </w:rPr>
        <w:t xml:space="preserve">“Have you ever consumed alcoholic beverages?” If yes, the following question was, “Do you presently </w:t>
      </w:r>
      <w:r w:rsidR="00991FD9" w:rsidRPr="00E42BF3">
        <w:rPr>
          <w:rFonts w:ascii="Times New Roman" w:hAnsi="Times New Roman" w:cs="Times New Roman"/>
        </w:rPr>
        <w:lastRenderedPageBreak/>
        <w:t xml:space="preserve">drink alcoholic beverages?” </w:t>
      </w:r>
      <w:r w:rsidR="00871BBD" w:rsidRPr="00E42BF3">
        <w:rPr>
          <w:rFonts w:ascii="Times New Roman" w:hAnsi="Times New Roman" w:cs="Times New Roman"/>
        </w:rPr>
        <w:t xml:space="preserve">For those who reported former drinking were asked </w:t>
      </w:r>
      <w:r w:rsidR="00991FD9" w:rsidRPr="00E42BF3">
        <w:rPr>
          <w:rFonts w:ascii="Times New Roman" w:hAnsi="Times New Roman" w:cs="Times New Roman"/>
        </w:rPr>
        <w:t>about the usual numb</w:t>
      </w:r>
      <w:r w:rsidR="00871BBD" w:rsidRPr="00E42BF3">
        <w:rPr>
          <w:rFonts w:ascii="Times New Roman" w:hAnsi="Times New Roman" w:cs="Times New Roman"/>
        </w:rPr>
        <w:t xml:space="preserve">er of drinks consumed per week </w:t>
      </w:r>
      <w:r w:rsidR="00991FD9" w:rsidRPr="00E42BF3">
        <w:rPr>
          <w:rFonts w:ascii="Times New Roman" w:hAnsi="Times New Roman" w:cs="Times New Roman"/>
        </w:rPr>
        <w:t>before they stopped dri</w:t>
      </w:r>
      <w:r w:rsidR="00871BBD" w:rsidRPr="00E42BF3">
        <w:rPr>
          <w:rFonts w:ascii="Times New Roman" w:hAnsi="Times New Roman" w:cs="Times New Roman"/>
        </w:rPr>
        <w:t>nking</w:t>
      </w:r>
      <w:r w:rsidR="00991FD9" w:rsidRPr="00E42BF3">
        <w:rPr>
          <w:rFonts w:ascii="Times New Roman" w:hAnsi="Times New Roman" w:cs="Times New Roman"/>
        </w:rPr>
        <w:t>. Those who reported current drinking also were asked about the number of drinks consumed during the past 24 hours and the largest number of drinks consumed in 1 day in the past month.</w:t>
      </w:r>
    </w:p>
    <w:p w14:paraId="381FC819" w14:textId="77777777" w:rsidR="00EA3E0A" w:rsidRDefault="00E00610">
      <w:pPr>
        <w:spacing w:line="480" w:lineRule="auto"/>
        <w:rPr>
          <w:rFonts w:ascii="Times New Roman" w:hAnsi="Times New Roman" w:cs="Times New Roman"/>
          <w:i/>
          <w:iCs/>
          <w:u w:val="single"/>
        </w:rPr>
      </w:pPr>
      <w:r>
        <w:rPr>
          <w:rFonts w:ascii="Times New Roman" w:hAnsi="Times New Roman" w:cs="Times New Roman"/>
          <w:i/>
          <w:iCs/>
          <w:u w:val="single"/>
        </w:rPr>
        <w:t>Acknowledgements, funding, and disclosures</w:t>
      </w:r>
    </w:p>
    <w:p w14:paraId="364C3CBA" w14:textId="4707AD0A" w:rsidR="00EA3E0A" w:rsidRDefault="00E00610" w:rsidP="001E0899">
      <w:pPr>
        <w:spacing w:line="480" w:lineRule="auto"/>
        <w:ind w:firstLine="720"/>
        <w:rPr>
          <w:rFonts w:ascii="Times New Roman" w:eastAsia="Times New Roman" w:hAnsi="Times New Roman" w:cs="Times New Roman"/>
          <w:color w:val="000000"/>
        </w:rPr>
      </w:pPr>
      <w:r>
        <w:rPr>
          <w:rFonts w:ascii="Times New Roman" w:hAnsi="Times New Roman" w:cs="Times New Roman"/>
        </w:rPr>
        <w:t>Whole genome sequencing (WGS) for the Trans-Omics in Precision Medicine (</w:t>
      </w:r>
      <w:proofErr w:type="spellStart"/>
      <w:r>
        <w:rPr>
          <w:rFonts w:ascii="Times New Roman" w:hAnsi="Times New Roman" w:cs="Times New Roman"/>
        </w:rPr>
        <w:t>TOPMed</w:t>
      </w:r>
      <w:proofErr w:type="spellEnd"/>
      <w:r>
        <w:rPr>
          <w:rFonts w:ascii="Times New Roman" w:hAnsi="Times New Roman" w:cs="Times New Roman"/>
        </w:rPr>
        <w:t xml:space="preserve">) program was supported by the National Heart, </w:t>
      </w:r>
      <w:proofErr w:type="gramStart"/>
      <w:r>
        <w:rPr>
          <w:rFonts w:ascii="Times New Roman" w:hAnsi="Times New Roman" w:cs="Times New Roman"/>
        </w:rPr>
        <w:t>Lung</w:t>
      </w:r>
      <w:proofErr w:type="gramEnd"/>
      <w:r>
        <w:rPr>
          <w:rFonts w:ascii="Times New Roman" w:hAnsi="Times New Roman" w:cs="Times New Roman"/>
        </w:rPr>
        <w:t xml:space="preserve"> and Blood Institute (NHLBI). WGS for “NHLBI </w:t>
      </w:r>
      <w:proofErr w:type="spellStart"/>
      <w:r>
        <w:rPr>
          <w:rFonts w:ascii="Times New Roman" w:hAnsi="Times New Roman" w:cs="Times New Roman"/>
        </w:rPr>
        <w:t>TOPMed</w:t>
      </w:r>
      <w:proofErr w:type="spellEnd"/>
      <w:r>
        <w:rPr>
          <w:rFonts w:ascii="Times New Roman" w:hAnsi="Times New Roman" w:cs="Times New Roman"/>
        </w:rPr>
        <w:t>: Multi-Ethnic Study of Atherosclerosis (MESA)” (phs001416.v</w:t>
      </w:r>
      <w:proofErr w:type="gramStart"/>
      <w:r>
        <w:rPr>
          <w:rFonts w:ascii="Times New Roman" w:hAnsi="Times New Roman" w:cs="Times New Roman"/>
        </w:rPr>
        <w:t>1.p</w:t>
      </w:r>
      <w:proofErr w:type="gramEnd"/>
      <w:r>
        <w:rPr>
          <w:rFonts w:ascii="Times New Roman" w:hAnsi="Times New Roman" w:cs="Times New Roman"/>
        </w:rPr>
        <w:t xml:space="preserve">1) was performed at the Broad Institute of MIT and Harvard (3U54HG003067-13S1). Centralized read mapping and genotype calling, along with variant quality metrics and filtering were provided by the </w:t>
      </w:r>
      <w:proofErr w:type="spellStart"/>
      <w:r>
        <w:rPr>
          <w:rFonts w:ascii="Times New Roman" w:hAnsi="Times New Roman" w:cs="Times New Roman"/>
        </w:rPr>
        <w:t>TOPMed</w:t>
      </w:r>
      <w:proofErr w:type="spellEnd"/>
      <w:r>
        <w:rPr>
          <w:rFonts w:ascii="Times New Roman" w:hAnsi="Times New Roman" w:cs="Times New Roman"/>
        </w:rPr>
        <w:t xml:space="preserve"> Informatics Research Center (3R01HL-117626-02S1). Phenotype harmonization, data management, sample-identity QC, and general study coordination, were provided by the </w:t>
      </w:r>
      <w:proofErr w:type="spellStart"/>
      <w:r>
        <w:rPr>
          <w:rFonts w:ascii="Times New Roman" w:hAnsi="Times New Roman" w:cs="Times New Roman"/>
        </w:rPr>
        <w:t>TOPMed</w:t>
      </w:r>
      <w:proofErr w:type="spellEnd"/>
      <w:r>
        <w:rPr>
          <w:rFonts w:ascii="Times New Roman" w:hAnsi="Times New Roman" w:cs="Times New Roman"/>
        </w:rPr>
        <w:t xml:space="preserve"> Data Coordinating Center (3R01HL-120393-02S1), and </w:t>
      </w:r>
      <w:proofErr w:type="spellStart"/>
      <w:r>
        <w:rPr>
          <w:rFonts w:ascii="Times New Roman" w:hAnsi="Times New Roman" w:cs="Times New Roman"/>
        </w:rPr>
        <w:t>TOPMed</w:t>
      </w:r>
      <w:proofErr w:type="spellEnd"/>
      <w:r>
        <w:rPr>
          <w:rFonts w:ascii="Times New Roman" w:hAnsi="Times New Roman" w:cs="Times New Roman"/>
        </w:rPr>
        <w:t xml:space="preserve"> MESA Multi-Omics (HHSN2682015000031/HSN26800004). The MESA projects are conducted and supported by the National Heart, Lung, and Blood Institute (NHLBI) in collaboration with MESA investigators. Support for MESA is provided by contracts </w:t>
      </w:r>
      <w:bookmarkStart w:id="22" w:name="OLE_LINK29"/>
      <w:r>
        <w:rPr>
          <w:rFonts w:ascii="Times New Roman" w:hAnsi="Times New Roman" w:cs="Times New Roman"/>
        </w:rPr>
        <w:t>75N92020D00001, HHSN268201500003I, N01-HC-95159, 75N92020D00005, N01-HC-95160, 75N92020D00002, N01-HC-95161, 75N92020D00003, N01-HC-95162, 75N92020D00006, N01-HC-95163, 75N92020D00004, N01-HC-95164, 75N92020D00007, N01-HC-95165, N01-HC-95166, N01-HC-95167, N01-HC-95168, N01-HC-95169, UL1-TR-000040, UL1-TR-001079, UL1-TR-001420, UL1TR001881, DK063491, and R01HL105756.</w:t>
      </w:r>
      <w:bookmarkEnd w:id="22"/>
      <w:r>
        <w:rPr>
          <w:rFonts w:ascii="Times New Roman" w:hAnsi="Times New Roman" w:cs="Times New Roman"/>
        </w:rPr>
        <w:t xml:space="preserve"> The authors thank the other investigators, the staff, and the participants of the MESA study for their valuable contributions. A fill list of participating MESA investigators and institutes can be found at </w:t>
      </w:r>
      <w:hyperlink r:id="rId8" w:history="1">
        <w:r>
          <w:rPr>
            <w:rStyle w:val="Hyperlink"/>
            <w:rFonts w:ascii="Times New Roman" w:hAnsi="Times New Roman" w:cs="Times New Roman"/>
          </w:rPr>
          <w:t>http://www.mesa-nhlbi.org</w:t>
        </w:r>
      </w:hyperlink>
      <w:r>
        <w:rPr>
          <w:rFonts w:ascii="Times New Roman" w:hAnsi="Times New Roman" w:cs="Times New Roman"/>
          <w:color w:val="000000"/>
        </w:rPr>
        <w:t>. This study also supported in part by NIH contract R01HL155569.</w:t>
      </w:r>
      <w:r>
        <w:rPr>
          <w:rFonts w:ascii="Times New Roman" w:eastAsia="Times New Roman" w:hAnsi="Times New Roman" w:cs="Times New Roman"/>
        </w:rPr>
        <w:t xml:space="preserve"> </w:t>
      </w:r>
      <w:bookmarkStart w:id="23" w:name="_Toc102403238"/>
    </w:p>
    <w:p w14:paraId="25C276A6" w14:textId="77777777" w:rsidR="00EA3E0A" w:rsidRDefault="00EA3E0A" w:rsidP="001E0899">
      <w:pPr>
        <w:spacing w:line="480" w:lineRule="auto"/>
        <w:rPr>
          <w:rFonts w:ascii="Times New Roman" w:eastAsia="Times New Roman" w:hAnsi="Times New Roman" w:cs="Times New Roman"/>
          <w:color w:val="000000"/>
        </w:rPr>
      </w:pPr>
    </w:p>
    <w:p w14:paraId="304E984B" w14:textId="77777777" w:rsidR="00EA3E0A" w:rsidRDefault="00E00610" w:rsidP="001E0899">
      <w:pPr>
        <w:spacing w:line="480" w:lineRule="auto"/>
        <w:rPr>
          <w:b/>
          <w:i/>
          <w:iCs/>
          <w:u w:val="single"/>
        </w:rPr>
      </w:pPr>
      <w:r>
        <w:rPr>
          <w:rFonts w:ascii="Times New Roman" w:hAnsi="Times New Roman" w:cs="Times New Roman"/>
          <w:b/>
        </w:rPr>
        <w:t>Rhineland Study</w:t>
      </w:r>
      <w:bookmarkEnd w:id="23"/>
      <w:r>
        <w:rPr>
          <w:rFonts w:ascii="Times New Roman" w:hAnsi="Times New Roman" w:cs="Times New Roman"/>
          <w:b/>
        </w:rPr>
        <w:t xml:space="preserve"> </w:t>
      </w:r>
    </w:p>
    <w:p w14:paraId="523554DB" w14:textId="77777777" w:rsidR="00965C5D" w:rsidRPr="003C4972" w:rsidRDefault="00965C5D" w:rsidP="001E0899">
      <w:pPr>
        <w:spacing w:line="480" w:lineRule="auto"/>
        <w:rPr>
          <w:rFonts w:ascii="Times New Roman" w:hAnsi="Times New Roman" w:cs="Times New Roman"/>
          <w:i/>
          <w:iCs/>
          <w:u w:val="single"/>
        </w:rPr>
      </w:pPr>
      <w:r w:rsidRPr="003C4972">
        <w:rPr>
          <w:rFonts w:ascii="Times New Roman" w:hAnsi="Times New Roman" w:cs="Times New Roman"/>
          <w:i/>
          <w:iCs/>
          <w:u w:val="single"/>
        </w:rPr>
        <w:lastRenderedPageBreak/>
        <w:t>Study description and history</w:t>
      </w:r>
    </w:p>
    <w:p w14:paraId="630526B4" w14:textId="78A86A40" w:rsidR="00965C5D" w:rsidRPr="003C4972" w:rsidRDefault="00965C5D" w:rsidP="001E0899">
      <w:pPr>
        <w:spacing w:line="480" w:lineRule="auto"/>
        <w:ind w:firstLine="720"/>
        <w:rPr>
          <w:rFonts w:ascii="Times New Roman" w:hAnsi="Times New Roman" w:cs="Times New Roman"/>
        </w:rPr>
      </w:pPr>
      <w:r w:rsidRPr="003C4972">
        <w:rPr>
          <w:rFonts w:ascii="Times New Roman" w:hAnsi="Times New Roman" w:cs="Times New Roman"/>
        </w:rPr>
        <w:t xml:space="preserve">The Rhineland Study is an ongoing single-center, population-based cohort study that recruits people aged 30 years and above from two geographically defined areas in Bonn, Germany. The only exclusion criterion is insufficient command of the German language to provide informed consent. Persons living in the recruitment areas are predominantly German from Caucasian descent. A primary objective of the Rhineland Study is to identify determinants and markers of healthy aging with a deep-phenotyping approach. At baseline, participants complete an 8-hour in-depth multi-domain phenotypic assessment and various types of biomaterials (blood, urine, stool, and hair) are collected. Approval to undertake the study was obtained from </w:t>
      </w:r>
      <w:bookmarkStart w:id="24" w:name="OLE_LINK31"/>
      <w:r w:rsidRPr="003C4972">
        <w:rPr>
          <w:rFonts w:ascii="Times New Roman" w:hAnsi="Times New Roman" w:cs="Times New Roman"/>
        </w:rPr>
        <w:t>the ethics committee of the University of Bonn, Medical Faculty</w:t>
      </w:r>
      <w:bookmarkEnd w:id="24"/>
      <w:r w:rsidRPr="003C4972">
        <w:rPr>
          <w:rFonts w:ascii="Times New Roman" w:hAnsi="Times New Roman" w:cs="Times New Roman"/>
        </w:rPr>
        <w:t>. We obtained written informed consent from all participants in accordance with the Declaration of Helsinki</w:t>
      </w:r>
      <w:r w:rsidR="005E68E7">
        <w:rPr>
          <w:rFonts w:ascii="Times New Roman" w:hAnsi="Times New Roman" w:cs="Times New Roman"/>
        </w:rPr>
        <w:t>.</w:t>
      </w:r>
    </w:p>
    <w:p w14:paraId="57AABCBA" w14:textId="77777777" w:rsidR="00965C5D" w:rsidRPr="003C4972" w:rsidRDefault="00965C5D" w:rsidP="00965C5D">
      <w:pPr>
        <w:spacing w:line="480" w:lineRule="auto"/>
        <w:rPr>
          <w:rFonts w:ascii="Times New Roman" w:hAnsi="Times New Roman" w:cs="Times New Roman"/>
          <w:i/>
          <w:iCs/>
          <w:u w:val="single"/>
        </w:rPr>
      </w:pPr>
      <w:r w:rsidRPr="003C4972">
        <w:rPr>
          <w:rFonts w:ascii="Times New Roman" w:hAnsi="Times New Roman" w:cs="Times New Roman"/>
          <w:i/>
          <w:iCs/>
          <w:u w:val="single"/>
        </w:rPr>
        <w:t>DNA methylation collection, processing, and additional analytical details</w:t>
      </w:r>
    </w:p>
    <w:p w14:paraId="4C1716A4" w14:textId="36621F81" w:rsidR="00965C5D" w:rsidRPr="0080387E" w:rsidRDefault="00965C5D" w:rsidP="00965C5D">
      <w:pPr>
        <w:spacing w:line="480" w:lineRule="auto"/>
        <w:ind w:firstLine="720"/>
        <w:rPr>
          <w:rFonts w:ascii="Times New Roman" w:hAnsi="Times New Roman" w:cs="Times New Roman"/>
        </w:rPr>
      </w:pPr>
      <w:r w:rsidRPr="003C4972">
        <w:rPr>
          <w:rFonts w:ascii="Times New Roman" w:hAnsi="Times New Roman" w:cs="Times New Roman"/>
        </w:rPr>
        <w:t xml:space="preserve">Genomic DNA was extracted from buffy coat fractions of anti-coagulated blood samples using </w:t>
      </w:r>
      <w:proofErr w:type="spellStart"/>
      <w:r w:rsidRPr="003C4972">
        <w:rPr>
          <w:rFonts w:ascii="Times New Roman" w:hAnsi="Times New Roman" w:cs="Times New Roman"/>
        </w:rPr>
        <w:t>Chemagic</w:t>
      </w:r>
      <w:proofErr w:type="spellEnd"/>
      <w:r w:rsidRPr="003C4972">
        <w:rPr>
          <w:rFonts w:ascii="Times New Roman" w:hAnsi="Times New Roman" w:cs="Times New Roman"/>
        </w:rPr>
        <w:t xml:space="preserve"> DNA buffy coat kit (PerkinElmer, Germany), and was subsequently bisulfite converted using the DNA methylation kit according to the manufacturer’s instructions. DNA methylation levels were measured using Illumina’s Human </w:t>
      </w:r>
      <w:proofErr w:type="spellStart"/>
      <w:r w:rsidRPr="003C4972">
        <w:rPr>
          <w:rFonts w:ascii="Times New Roman" w:hAnsi="Times New Roman" w:cs="Times New Roman"/>
        </w:rPr>
        <w:t>MethylationEPIC</w:t>
      </w:r>
      <w:proofErr w:type="spellEnd"/>
      <w:r w:rsidRPr="003C4972">
        <w:rPr>
          <w:rFonts w:ascii="Times New Roman" w:hAnsi="Times New Roman" w:cs="Times New Roman"/>
        </w:rPr>
        <w:t xml:space="preserve"> </w:t>
      </w:r>
      <w:proofErr w:type="spellStart"/>
      <w:r w:rsidRPr="003C4972">
        <w:rPr>
          <w:rFonts w:ascii="Times New Roman" w:hAnsi="Times New Roman" w:cs="Times New Roman"/>
        </w:rPr>
        <w:t>BeadChip</w:t>
      </w:r>
      <w:proofErr w:type="spellEnd"/>
      <w:r w:rsidRPr="003C4972">
        <w:rPr>
          <w:rFonts w:ascii="Times New Roman" w:hAnsi="Times New Roman" w:cs="Times New Roman"/>
        </w:rPr>
        <w:t xml:space="preserve">. The methylation level for each probe was derived as a beta value representing the fractional level of DNA methylation at that probe. Sample-level and probe-level quality control was performed using the </w:t>
      </w:r>
      <w:proofErr w:type="spellStart"/>
      <w:r w:rsidRPr="003C4972">
        <w:rPr>
          <w:rFonts w:ascii="Times New Roman" w:hAnsi="Times New Roman" w:cs="Times New Roman"/>
          <w:i/>
          <w:iCs/>
        </w:rPr>
        <w:t>minfi</w:t>
      </w:r>
      <w:proofErr w:type="spellEnd"/>
      <w:r w:rsidRPr="003C4972">
        <w:rPr>
          <w:rFonts w:ascii="Times New Roman" w:hAnsi="Times New Roman" w:cs="Times New Roman"/>
        </w:rPr>
        <w:t xml:space="preserve"> package in R (version 3.5.0).</w:t>
      </w:r>
      <w:r w:rsidRPr="003C4972">
        <w:rPr>
          <w:rFonts w:ascii="Times New Roman" w:hAnsi="Times New Roman" w:cs="Times New Roman"/>
        </w:rPr>
        <w:fldChar w:fldCharType="begin" w:fldLock="1"/>
      </w:r>
      <w:r w:rsidR="00591FCD">
        <w:rPr>
          <w:rFonts w:ascii="Times New Roman" w:hAnsi="Times New Roman" w:cs="Times New Roman"/>
        </w:rPr>
        <w:instrText xml:space="preserve"> ADDIN ZOTERO_ITEM CSL_CITATION {"citationID":"6JrYsccG","properties":{"formattedCitation":"\\super 21\\nosupersub{}","plainCitation":"21","noteIndex":0},"citationItems":[{"id":"qS4agUuI/s3Ahz3UL","uris":["http://www.mendeley.com/documents/?uuid=ce7ca2ae-cfbe-35f3-b1ba-8e69eecf0e05"],"itemData":{"DOI":"10.1093/bioinformatics/btw691","ISSN":"14602059","abstract":"The minfi package is widely used for analyzing Illumina DNA methylation array data. Here we describe modifications to the minfi package required to support the HumanMethylationEPIC ('EPIC') array from Illumina. We discuss methods for the joint analysis and normalization of data from the HumanMethylation450 ('450k') and EPIC platforms. We introduce the single-sample Noob (ssNoob) method, a normalization procedure suitable for incremental preprocessing of individual methylation arrays and conclude that this method should be used when integrating data from multiple generations of Infinium methylation arrays. We show how to use reference 450k datasets to estimate cell type composition of samples on EPIC arrays. The cumulative effect of these updates is to ensure that minfi provides the tools to best integrate existing and forthcoming Illumina methylation array data.","author":[{"dropping-particle":"","family":"Fortin","given":"Jean Philippe","non-dropping-particle":"","parse-names":false,"suffix":""},{"dropping-particle":"","family":"Triche","given":"Timothy J.","non-dropping-particle":"","parse-names":false,"suffix":""},{"dropping-particle":"","family":"Hansen","given":"Kasper D.","non-dropping-particle":"","parse-names":false,"suffix":""}],"container-title":"Bioinformatics","id":"ITEM-1","issue":"4","issued":{"date-parts":[["2017"]]},"title":"Preprocessing, normalization and integration of the Illumina HumanMethylationEPIC array with minfi","type":"article-journal","volume":"33"}}],"schema":"https://github.com/citation-style-language/schema/raw/master/csl-citation.json"} </w:instrText>
      </w:r>
      <w:r w:rsidRPr="003C4972">
        <w:rPr>
          <w:rFonts w:ascii="Times New Roman" w:hAnsi="Times New Roman" w:cs="Times New Roman"/>
        </w:rPr>
        <w:fldChar w:fldCharType="separate"/>
      </w:r>
      <w:r w:rsidR="00591FCD" w:rsidRPr="00591FCD">
        <w:rPr>
          <w:rFonts w:ascii="Times New Roman" w:hAnsi="Times New Roman" w:cs="Times New Roman"/>
          <w:vertAlign w:val="superscript"/>
        </w:rPr>
        <w:t>21</w:t>
      </w:r>
      <w:r w:rsidRPr="003C4972">
        <w:rPr>
          <w:rFonts w:ascii="Times New Roman" w:hAnsi="Times New Roman" w:cs="Times New Roman"/>
        </w:rPr>
        <w:fldChar w:fldCharType="end"/>
      </w:r>
      <w:r w:rsidRPr="003C4972">
        <w:rPr>
          <w:rFonts w:ascii="Times New Roman" w:hAnsi="Times New Roman" w:cs="Times New Roman"/>
        </w:rPr>
        <w:t xml:space="preserve"> Samples with sex mismatch or a missing rate at &gt;</w:t>
      </w:r>
      <w:r>
        <w:rPr>
          <w:rFonts w:ascii="Times New Roman" w:hAnsi="Times New Roman" w:cs="Times New Roman"/>
        </w:rPr>
        <w:t xml:space="preserve"> </w:t>
      </w:r>
      <w:r w:rsidRPr="003C4972">
        <w:rPr>
          <w:rFonts w:ascii="Times New Roman" w:hAnsi="Times New Roman" w:cs="Times New Roman"/>
        </w:rPr>
        <w:t>1% across all probes were excluded. Probes with a missing rate &gt;</w:t>
      </w:r>
      <w:r>
        <w:rPr>
          <w:rFonts w:ascii="Times New Roman" w:hAnsi="Times New Roman" w:cs="Times New Roman"/>
        </w:rPr>
        <w:t xml:space="preserve"> </w:t>
      </w:r>
      <w:r w:rsidRPr="003C4972">
        <w:rPr>
          <w:rFonts w:ascii="Times New Roman" w:hAnsi="Times New Roman" w:cs="Times New Roman"/>
        </w:rPr>
        <w:t>1% (at a detection p-value &gt;</w:t>
      </w:r>
      <w:r>
        <w:rPr>
          <w:rFonts w:ascii="Times New Roman" w:hAnsi="Times New Roman" w:cs="Times New Roman"/>
        </w:rPr>
        <w:t xml:space="preserve"> </w:t>
      </w:r>
      <w:r w:rsidRPr="003C4972">
        <w:rPr>
          <w:rFonts w:ascii="Times New Roman" w:hAnsi="Times New Roman" w:cs="Times New Roman"/>
        </w:rPr>
        <w:t>0.01) were also excluded following previously published recommendation guidelines for analyzing methylation data.</w:t>
      </w:r>
      <w:r w:rsidRPr="003C4972">
        <w:rPr>
          <w:rFonts w:ascii="Times New Roman" w:hAnsi="Times New Roman" w:cs="Times New Roman"/>
        </w:rPr>
        <w:fldChar w:fldCharType="begin" w:fldLock="1"/>
      </w:r>
      <w:r w:rsidR="00E42BF3">
        <w:rPr>
          <w:rFonts w:ascii="Times New Roman" w:hAnsi="Times New Roman" w:cs="Times New Roman"/>
        </w:rPr>
        <w:instrText xml:space="preserve"> ADDIN ZOTERO_ITEM CSL_CITATION {"citationID":"9l9cu6b2","properties":{"formattedCitation":"\\super 27\\nosupersub{}","plainCitation":"27","noteIndex":0},"citationItems":[{"id":"qS4agUuI/4VqQMaqI","uris":["http://www.mendeley.com/documents/?uuid=418a0b95-2eb8-3e31-bc6c-8f4acedaad6c"],"itemData":{"DOI":"10.1007/978-1-4939-7481-8_16","ISSN":"10643745","abstract":"The Illumina Infinium BeadChips are a powerful array-based platform for genome-wide DNA methylation profiling at approximately 485,000 (450K) and 850,000 (EPIC) CpG sites across the genome. The platform is used in many large-scale population-based epigenetic studies of complex diseases, environmental exposures, or other experimental conditions. This chapter provides an overview of the key steps in analyzing Illumina BeadChip data. We describe key preprocessing steps including data extraction and quality control as well as normalization strategies. We further present principles and guidelines for conducting association analysis at the individual CpG level as well as more sophisticated pathway-based association tests.","author":[{"dropping-particle":"","family":"Wu","given":"Michael C.","non-dropping-particle":"","parse-names":false,"suffix":""},{"dropping-particle":"","family":"Kuan","given":"Pei Fen","non-dropping-particle":"","parse-names":false,"suffix":""}],"container-title":"Methods in Molecular Biology","id":"ITEM-1","issued":{"date-parts":[["2018"]]},"title":"A guide to illumina beadchip data analysis","type":"chapter","volume":"1708"}}],"schema":"https://github.com/citation-style-language/schema/raw/master/csl-citation.json"} </w:instrText>
      </w:r>
      <w:r w:rsidRPr="003C4972">
        <w:rPr>
          <w:rFonts w:ascii="Times New Roman" w:hAnsi="Times New Roman" w:cs="Times New Roman"/>
        </w:rPr>
        <w:fldChar w:fldCharType="separate"/>
      </w:r>
      <w:r w:rsidR="00E42BF3" w:rsidRPr="00E42BF3">
        <w:rPr>
          <w:rFonts w:ascii="Times New Roman" w:hAnsi="Times New Roman" w:cs="Times New Roman"/>
          <w:vertAlign w:val="superscript"/>
        </w:rPr>
        <w:t>27</w:t>
      </w:r>
      <w:r w:rsidRPr="003C4972">
        <w:rPr>
          <w:rFonts w:ascii="Times New Roman" w:hAnsi="Times New Roman" w:cs="Times New Roman"/>
        </w:rPr>
        <w:fldChar w:fldCharType="end"/>
      </w:r>
    </w:p>
    <w:p w14:paraId="2CCC8113" w14:textId="77777777" w:rsidR="00965C5D" w:rsidRPr="003C4972" w:rsidRDefault="00965C5D" w:rsidP="00965C5D">
      <w:pPr>
        <w:spacing w:line="480" w:lineRule="auto"/>
        <w:rPr>
          <w:rFonts w:ascii="Times New Roman" w:hAnsi="Times New Roman" w:cs="Times New Roman"/>
          <w:i/>
          <w:iCs/>
          <w:u w:val="single"/>
        </w:rPr>
      </w:pPr>
      <w:r w:rsidRPr="003C4972">
        <w:rPr>
          <w:rFonts w:ascii="Times New Roman" w:hAnsi="Times New Roman" w:cs="Times New Roman"/>
          <w:i/>
          <w:iCs/>
          <w:u w:val="single"/>
        </w:rPr>
        <w:t>Clinical phenotype collection and measurement</w:t>
      </w:r>
    </w:p>
    <w:p w14:paraId="2BB5C431" w14:textId="55FC7200" w:rsidR="0034152C" w:rsidRPr="0034152C" w:rsidRDefault="0034152C" w:rsidP="00E75D52">
      <w:pPr>
        <w:spacing w:after="120" w:line="480" w:lineRule="auto"/>
        <w:ind w:firstLine="720"/>
        <w:rPr>
          <w:rFonts w:ascii="Times New Roman" w:hAnsi="Times New Roman" w:cs="Times New Roman"/>
          <w:lang w:val="en-GB"/>
        </w:rPr>
      </w:pPr>
      <w:r w:rsidRPr="00EB7997">
        <w:rPr>
          <w:rFonts w:ascii="Times New Roman" w:hAnsi="Times New Roman" w:cs="Times New Roman"/>
          <w:lang w:val="en-GB"/>
        </w:rPr>
        <w:t>Alcohol intake was assessed using a self-administered semi-quantitative food frequency questionnaire (FFQ). The questionnaire was originally developed for the European Prospective Investigation into Cancer and Nutrition (EPIC) study in Potsdam</w:t>
      </w:r>
      <w:r w:rsidR="003E6D6C">
        <w:rPr>
          <w:rFonts w:ascii="Times New Roman" w:hAnsi="Times New Roman" w:cs="Times New Roman"/>
          <w:lang w:val="en-GB"/>
        </w:rPr>
        <w:fldChar w:fldCharType="begin"/>
      </w:r>
      <w:r w:rsidR="003E6D6C">
        <w:rPr>
          <w:rFonts w:ascii="Times New Roman" w:hAnsi="Times New Roman" w:cs="Times New Roman"/>
          <w:lang w:val="en-GB"/>
        </w:rPr>
        <w:instrText xml:space="preserve"> ADDIN ZOTERO_ITEM CSL_CITATION {"citationID":"25ghFJwn","properties":{"formattedCitation":"\\super 28\\nosupersub{}","plainCitation":"28","noteIndex":0},"citationItems":[{"id":583,"uris":["http://zotero.org/users/local/S7bnMkzI/items/MENFKTB5"],"itemData":{"id":583,"type":"article-journal","abstract":"For epidemiological studies, a simple semiquantitative FFQ was developed to assess the frequency of intake of food items demonstrated with graphically displayed portion sizes. As a validation study, a random sample of 393 participants in the European Prospective Investigation into Cancer and Nutrition (EPIC)-Potsdam Study completed 2 unannounced 24-h dietary recalls (24HDR) and the FFQ during 1 y. To calculate food and nutrient intakes, we compared the use of fitted portion sizes with the use of predefined portion sizes. Fitted portion sizes were calculated by summing food intakes over the 2 24HDR and dividing the sum by the frequency of intake reported in the FFQ for each FFQ food item, leading to similar mean intakes for FFQ and 24HDR. As predefined portion sizes, amounts that had been used in previous dietary assessments in EPIC-Potsdam were used. Mean intake of 12 food groups was 102% for men or women with fitted portion sizes and 79% for men and 95% for women with predefined portion sizes of intake measured with 2 24HDR. However, deattenuated, energy-adjusted correlation coefficients between FFQ and 24HDR were not better for 19 nutrients by the use of fitted portion sizes, with a mean correlation coefficient of 0.53 for men and 0.56 for women. Mean correlation coefficients for food groups also were similar for fitted and predefined portion sizes. Fitting portion sizes using recent reference data from a random sample of study participants improved the quantitative assessment of food and nutrient intake, but not ranking of study participants, compared with predefining portion sizes based on prior knowledge.","container-title":"The Journal of Nutrition","DOI":"10.1093/jn/137.12.2781","ISSN":"1541-6100","issue":"12","journalAbbreviation":"J Nutr","language":"eng","note":"PMID: 18029499","page":"2781-2786","source":"PubMed","title":"Fitting portion sizes in a self-administered food frequency questionnaire","volume":"137","author":[{"family":"Nöthlings","given":"Ute"},{"family":"Hoffmann","given":"Kurt"},{"family":"Bergmann","given":"Manuela M."},{"family":"Boeing","given":"Heiner"}],"issued":{"date-parts":[["2007",12]]}}}],"schema":"https://github.com/citation-style-language/schema/raw/master/csl-citation.json"} </w:instrText>
      </w:r>
      <w:r w:rsidR="003E6D6C">
        <w:rPr>
          <w:rFonts w:ascii="Times New Roman" w:hAnsi="Times New Roman" w:cs="Times New Roman"/>
          <w:lang w:val="en-GB"/>
        </w:rPr>
        <w:fldChar w:fldCharType="separate"/>
      </w:r>
      <w:r w:rsidR="003E6D6C" w:rsidRPr="003E6D6C">
        <w:rPr>
          <w:rFonts w:ascii="Times New Roman" w:hAnsi="Times New Roman" w:cs="Times New Roman"/>
          <w:vertAlign w:val="superscript"/>
        </w:rPr>
        <w:t>28</w:t>
      </w:r>
      <w:r w:rsidR="003E6D6C">
        <w:rPr>
          <w:rFonts w:ascii="Times New Roman" w:hAnsi="Times New Roman" w:cs="Times New Roman"/>
          <w:lang w:val="en-GB"/>
        </w:rPr>
        <w:fldChar w:fldCharType="end"/>
      </w:r>
      <w:r w:rsidRPr="00EB7997">
        <w:rPr>
          <w:rFonts w:ascii="Times New Roman" w:hAnsi="Times New Roman" w:cs="Times New Roman"/>
          <w:lang w:val="en-GB"/>
        </w:rPr>
        <w:t xml:space="preserve"> and adapted for the Rhineland Study. </w:t>
      </w:r>
      <w:r w:rsidRPr="00EB7997">
        <w:rPr>
          <w:rFonts w:ascii="Times New Roman" w:hAnsi="Times New Roman" w:cs="Times New Roman"/>
          <w:lang w:val="en-GB"/>
        </w:rPr>
        <w:lastRenderedPageBreak/>
        <w:t>Participants were queried about their regular consumption of food and beverages, including various alcoholic drinks such as beer, wine, liqueurs, and spirits, over the past 12 months</w:t>
      </w:r>
      <w:r w:rsidRPr="00EB7997">
        <w:rPr>
          <w:rFonts w:ascii="Times New Roman" w:hAnsi="Times New Roman" w:cs="Times New Roman"/>
          <w:color w:val="222222"/>
          <w:shd w:val="clear" w:color="auto" w:fill="FFFFFF"/>
        </w:rPr>
        <w:t xml:space="preserve">. </w:t>
      </w:r>
      <w:r w:rsidRPr="00EB7997">
        <w:rPr>
          <w:rFonts w:ascii="Times New Roman" w:hAnsi="Times New Roman" w:cs="Times New Roman"/>
        </w:rPr>
        <w:t xml:space="preserve">For each alcoholic beverage, respondents had seven frequency options to choose from, ranging from </w:t>
      </w:r>
      <w:r w:rsidR="008F3A0B">
        <w:rPr>
          <w:rFonts w:ascii="Times New Roman" w:hAnsi="Times New Roman" w:cs="Times New Roman"/>
        </w:rPr>
        <w:t>“</w:t>
      </w:r>
      <w:r w:rsidRPr="00EB7997">
        <w:rPr>
          <w:rFonts w:ascii="Times New Roman" w:hAnsi="Times New Roman" w:cs="Times New Roman"/>
        </w:rPr>
        <w:t>never</w:t>
      </w:r>
      <w:r w:rsidR="008F3A0B">
        <w:rPr>
          <w:rFonts w:ascii="Times New Roman" w:hAnsi="Times New Roman" w:cs="Times New Roman"/>
        </w:rPr>
        <w:t>”</w:t>
      </w:r>
      <w:r w:rsidRPr="00EB7997">
        <w:rPr>
          <w:rFonts w:ascii="Times New Roman" w:hAnsi="Times New Roman" w:cs="Times New Roman"/>
        </w:rPr>
        <w:t xml:space="preserve"> to </w:t>
      </w:r>
      <w:r w:rsidR="008F3A0B">
        <w:rPr>
          <w:rFonts w:ascii="Times New Roman" w:hAnsi="Times New Roman" w:cs="Times New Roman"/>
        </w:rPr>
        <w:t>“</w:t>
      </w:r>
      <w:r w:rsidRPr="00EB7997">
        <w:rPr>
          <w:rFonts w:ascii="Times New Roman" w:hAnsi="Times New Roman" w:cs="Times New Roman"/>
        </w:rPr>
        <w:t>3 times per day or more.</w:t>
      </w:r>
      <w:r w:rsidR="008F3A0B">
        <w:rPr>
          <w:rFonts w:ascii="Times New Roman" w:hAnsi="Times New Roman" w:cs="Times New Roman"/>
        </w:rPr>
        <w:t>”</w:t>
      </w:r>
      <w:r w:rsidRPr="00EB7997">
        <w:rPr>
          <w:rFonts w:ascii="Times New Roman" w:hAnsi="Times New Roman" w:cs="Times New Roman"/>
        </w:rPr>
        <w:t xml:space="preserve"> Additionally, participants were asked to indicate the typical number of standard portion sizes they consumed for each type of alcoholic beverage, with five options available (1/2, 1, 2, 3, 4, or more). </w:t>
      </w:r>
      <w:r w:rsidRPr="00EB7997">
        <w:rPr>
          <w:rFonts w:ascii="Times New Roman" w:hAnsi="Times New Roman" w:cs="Times New Roman"/>
          <w:lang w:val="en-GB"/>
        </w:rPr>
        <w:t>Daily total alcohol intake in g/day for each participant was calculated as the sum of alcohol content across all beverages consumed.</w:t>
      </w:r>
      <w:r w:rsidR="00EB7997" w:rsidRPr="00EB7997">
        <w:rPr>
          <w:rFonts w:ascii="Times New Roman" w:hAnsi="Times New Roman" w:cs="Times New Roman"/>
          <w:lang w:val="en-GB"/>
        </w:rPr>
        <w:fldChar w:fldCharType="begin"/>
      </w:r>
      <w:r w:rsidR="003E6D6C">
        <w:rPr>
          <w:rFonts w:ascii="Times New Roman" w:hAnsi="Times New Roman" w:cs="Times New Roman"/>
          <w:lang w:val="en-GB"/>
        </w:rPr>
        <w:instrText xml:space="preserve"> ADDIN ZOTERO_ITEM CSL_CITATION {"citationID":"6GJ6Gpgc","properties":{"formattedCitation":"\\super 28\\nosupersub{}","plainCitation":"28","noteIndex":0},"citationItems":[{"id":583,"uris":["http://zotero.org/users/local/S7bnMkzI/items/MENFKTB5"],"itemData":{"id":583,"type":"article-journal","abstract":"For epidemiological studies, a simple semiquantitative FFQ was developed to assess the frequency of intake of food items demonstrated with graphically displayed portion sizes. As a validation study, a random sample of 393 participants in the European Prospective Investigation into Cancer and Nutrition (EPIC)-Potsdam Study completed 2 unannounced 24-h dietary recalls (24HDR) and the FFQ during 1 y. To calculate food and nutrient intakes, we compared the use of fitted portion sizes with the use of predefined portion sizes. Fitted portion sizes were calculated by summing food intakes over the 2 24HDR and dividing the sum by the frequency of intake reported in the FFQ for each FFQ food item, leading to similar mean intakes for FFQ and 24HDR. As predefined portion sizes, amounts that had been used in previous dietary assessments in EPIC-Potsdam were used. Mean intake of 12 food groups was 102% for men or women with fitted portion sizes and 79% for men and 95% for women with predefined portion sizes of intake measured with 2 24HDR. However, deattenuated, energy-adjusted correlation coefficients between FFQ and 24HDR were not better for 19 nutrients by the use of fitted portion sizes, with a mean correlation coefficient of 0.53 for men and 0.56 for women. Mean correlation coefficients for food groups also were similar for fitted and predefined portion sizes. Fitting portion sizes using recent reference data from a random sample of study participants improved the quantitative assessment of food and nutrient intake, but not ranking of study participants, compared with predefining portion sizes based on prior knowledge.","container-title":"The Journal of Nutrition","DOI":"10.1093/jn/137.12.2781","ISSN":"1541-6100","issue":"12","journalAbbreviation":"J Nutr","language":"eng","note":"PMID: 18029499","page":"2781-2786","source":"PubMed","title":"Fitting portion sizes in a self-administered food frequency questionnaire","volume":"137","author":[{"family":"Nöthlings","given":"Ute"},{"family":"Hoffmann","given":"Kurt"},{"family":"Bergmann","given":"Manuela M."},{"family":"Boeing","given":"Heiner"}],"issued":{"date-parts":[["2007",12]]}}}],"schema":"https://github.com/citation-style-language/schema/raw/master/csl-citation.json"} </w:instrText>
      </w:r>
      <w:r w:rsidR="00EB7997" w:rsidRPr="00EB7997">
        <w:rPr>
          <w:rFonts w:ascii="Times New Roman" w:hAnsi="Times New Roman" w:cs="Times New Roman"/>
          <w:lang w:val="en-GB"/>
        </w:rPr>
        <w:fldChar w:fldCharType="separate"/>
      </w:r>
      <w:r w:rsidR="003E6D6C" w:rsidRPr="003E6D6C">
        <w:rPr>
          <w:rFonts w:ascii="Times New Roman" w:hAnsi="Times New Roman" w:cs="Times New Roman"/>
          <w:vertAlign w:val="superscript"/>
        </w:rPr>
        <w:t>28</w:t>
      </w:r>
      <w:r w:rsidR="00EB7997" w:rsidRPr="00EB7997">
        <w:rPr>
          <w:rFonts w:ascii="Times New Roman" w:hAnsi="Times New Roman" w:cs="Times New Roman"/>
          <w:lang w:val="en-GB"/>
        </w:rPr>
        <w:fldChar w:fldCharType="end"/>
      </w:r>
      <w:r w:rsidR="00DC2AE8" w:rsidRPr="00EB7997">
        <w:rPr>
          <w:rFonts w:ascii="Times New Roman" w:hAnsi="Times New Roman" w:cs="Times New Roman"/>
          <w:lang w:val="en-GB"/>
        </w:rPr>
        <w:t xml:space="preserve"> </w:t>
      </w:r>
      <w:r w:rsidR="00DC2AE8" w:rsidRPr="00EB7997">
        <w:rPr>
          <w:rFonts w:ascii="Times New Roman" w:hAnsi="Times New Roman" w:cs="Times New Roman"/>
        </w:rPr>
        <w:t xml:space="preserve">Systolic blood pressure (SBP, mmHg) and diastolic blood pressure (DBP, mmHg) were measured three times (separated by ten-minute intervals), using an </w:t>
      </w:r>
      <w:proofErr w:type="spellStart"/>
      <w:r w:rsidR="00DC2AE8" w:rsidRPr="00EB7997">
        <w:rPr>
          <w:rFonts w:ascii="Times New Roman" w:hAnsi="Times New Roman" w:cs="Times New Roman"/>
        </w:rPr>
        <w:t>oscillometric</w:t>
      </w:r>
      <w:proofErr w:type="spellEnd"/>
      <w:r w:rsidR="00DC2AE8" w:rsidRPr="00EB7997">
        <w:rPr>
          <w:rFonts w:ascii="Times New Roman" w:hAnsi="Times New Roman" w:cs="Times New Roman"/>
        </w:rPr>
        <w:t xml:space="preserve"> blood pressure device (Omron 705 IT). The measurements were performed while people were sitting in a resting chair in a quiet environment, and the average of the second and third measurements was used for further calculation. In this analysis, to account for the treatment effects of antihypertensive medication use, we added 15 mmHg to the measured SBP and 10 mmHg to the measured DBP values among participants reporting antihypertensive medication use. Smoking status was defined as </w:t>
      </w:r>
      <w:r w:rsidR="009C5125">
        <w:rPr>
          <w:rFonts w:ascii="Times New Roman" w:hAnsi="Times New Roman" w:cs="Times New Roman"/>
        </w:rPr>
        <w:t>“</w:t>
      </w:r>
      <w:r w:rsidR="00DC2AE8" w:rsidRPr="00EB7997">
        <w:rPr>
          <w:rFonts w:ascii="Times New Roman" w:hAnsi="Times New Roman" w:cs="Times New Roman"/>
        </w:rPr>
        <w:t>current smoker</w:t>
      </w:r>
      <w:proofErr w:type="gramStart"/>
      <w:r w:rsidR="009C5125">
        <w:rPr>
          <w:rFonts w:ascii="Times New Roman" w:hAnsi="Times New Roman" w:cs="Times New Roman"/>
        </w:rPr>
        <w:t>”</w:t>
      </w:r>
      <w:proofErr w:type="gramEnd"/>
      <w:r w:rsidR="00DC2AE8" w:rsidRPr="00EB7997">
        <w:rPr>
          <w:rFonts w:ascii="Times New Roman" w:hAnsi="Times New Roman" w:cs="Times New Roman"/>
        </w:rPr>
        <w:t xml:space="preserve"> or </w:t>
      </w:r>
      <w:r w:rsidR="009C5125">
        <w:rPr>
          <w:rFonts w:ascii="Times New Roman" w:hAnsi="Times New Roman" w:cs="Times New Roman"/>
        </w:rPr>
        <w:t>“</w:t>
      </w:r>
      <w:r w:rsidR="00DC2AE8" w:rsidRPr="00EB7997">
        <w:rPr>
          <w:rFonts w:ascii="Times New Roman" w:hAnsi="Times New Roman" w:cs="Times New Roman"/>
        </w:rPr>
        <w:t>non-current smoker</w:t>
      </w:r>
      <w:r w:rsidR="009C5125">
        <w:rPr>
          <w:rFonts w:ascii="Times New Roman" w:hAnsi="Times New Roman" w:cs="Times New Roman"/>
        </w:rPr>
        <w:t>”</w:t>
      </w:r>
      <w:r w:rsidR="00DC2AE8" w:rsidRPr="00EB7997">
        <w:rPr>
          <w:rFonts w:ascii="Times New Roman" w:hAnsi="Times New Roman" w:cs="Times New Roman"/>
        </w:rPr>
        <w:t xml:space="preserve"> based on self-report. Missing smoking values were imputed based on cotinine metabolite levels: individuals with a cotinine level exceeding the non-current smoker sample-defined 97.5 percentile were classified as current smokers.</w:t>
      </w:r>
    </w:p>
    <w:p w14:paraId="3C80742B" w14:textId="6AA3CEA6" w:rsidR="00965C5D" w:rsidRPr="003C4972" w:rsidRDefault="00965C5D" w:rsidP="00965C5D">
      <w:pPr>
        <w:spacing w:line="480" w:lineRule="auto"/>
        <w:ind w:firstLine="720"/>
        <w:rPr>
          <w:rFonts w:ascii="Times New Roman" w:hAnsi="Times New Roman" w:cs="Times New Roman"/>
        </w:rPr>
      </w:pPr>
      <w:r w:rsidRPr="003C4972">
        <w:rPr>
          <w:rFonts w:ascii="Times New Roman" w:hAnsi="Times New Roman" w:cs="Times New Roman"/>
        </w:rPr>
        <w:t>For the current analyses, we used baseline data of the first 4</w:t>
      </w:r>
      <w:r w:rsidR="00F96EC2">
        <w:rPr>
          <w:rFonts w:ascii="Times New Roman" w:hAnsi="Times New Roman" w:cs="Times New Roman"/>
        </w:rPr>
        <w:t>,</w:t>
      </w:r>
      <w:r w:rsidRPr="003C4972">
        <w:rPr>
          <w:rFonts w:ascii="Times New Roman" w:hAnsi="Times New Roman" w:cs="Times New Roman"/>
        </w:rPr>
        <w:t>435 participants of the Rhineland Study with methylation data. We excluded one sample with ERS outlier, 16 samples with energy intake lower than 800 kcal/day or higher than 6000 kcal/day and 65 samples that had missing values in blood pressure traits. We further excluded participants with cardiovascular diseases (n</w:t>
      </w:r>
      <w:r>
        <w:rPr>
          <w:rFonts w:ascii="Times New Roman" w:hAnsi="Times New Roman" w:cs="Times New Roman"/>
        </w:rPr>
        <w:t xml:space="preserve"> = </w:t>
      </w:r>
      <w:r w:rsidRPr="003C4972">
        <w:rPr>
          <w:rFonts w:ascii="Times New Roman" w:hAnsi="Times New Roman" w:cs="Times New Roman"/>
        </w:rPr>
        <w:t>386). The final analysis sample comprised 3</w:t>
      </w:r>
      <w:r>
        <w:rPr>
          <w:rFonts w:ascii="Times New Roman" w:hAnsi="Times New Roman" w:cs="Times New Roman"/>
        </w:rPr>
        <w:t>,</w:t>
      </w:r>
      <w:r w:rsidRPr="003C4972">
        <w:rPr>
          <w:rFonts w:ascii="Times New Roman" w:hAnsi="Times New Roman" w:cs="Times New Roman"/>
        </w:rPr>
        <w:t>968 participants.</w:t>
      </w:r>
    </w:p>
    <w:p w14:paraId="26F56D4A" w14:textId="77777777" w:rsidR="00965C5D" w:rsidRPr="003C4972" w:rsidRDefault="00965C5D" w:rsidP="00965C5D">
      <w:pPr>
        <w:spacing w:line="480" w:lineRule="auto"/>
        <w:rPr>
          <w:rFonts w:ascii="Times New Roman" w:hAnsi="Times New Roman" w:cs="Times New Roman"/>
          <w:i/>
          <w:iCs/>
          <w:u w:val="single"/>
        </w:rPr>
      </w:pPr>
      <w:r w:rsidRPr="003C4972">
        <w:rPr>
          <w:rFonts w:ascii="Times New Roman" w:hAnsi="Times New Roman" w:cs="Times New Roman"/>
          <w:i/>
          <w:iCs/>
          <w:u w:val="single"/>
        </w:rPr>
        <w:t xml:space="preserve">Acknowledgements, funding, and disclosures </w:t>
      </w:r>
    </w:p>
    <w:p w14:paraId="306E774A" w14:textId="6AFBBD22" w:rsidR="00965C5D" w:rsidRPr="003C4972" w:rsidRDefault="00965C5D" w:rsidP="00965C5D">
      <w:pPr>
        <w:spacing w:line="480" w:lineRule="auto"/>
        <w:ind w:firstLine="720"/>
        <w:rPr>
          <w:rFonts w:ascii="Times New Roman" w:hAnsi="Times New Roman" w:cs="Times New Roman"/>
        </w:rPr>
      </w:pPr>
      <w:r w:rsidRPr="003C4972">
        <w:rPr>
          <w:rFonts w:ascii="Times New Roman" w:hAnsi="Times New Roman" w:cs="Times New Roman"/>
        </w:rPr>
        <w:t xml:space="preserve">The nutrition and omics analyses in the Rhineland Study were supported by </w:t>
      </w:r>
      <w:bookmarkStart w:id="25" w:name="OLE_LINK30"/>
      <w:r w:rsidRPr="003C4972">
        <w:rPr>
          <w:rFonts w:ascii="Times New Roman" w:hAnsi="Times New Roman" w:cs="Times New Roman"/>
        </w:rPr>
        <w:t>the Diet-Body-Brain Competence Cluster in Nutrition Research funded by the Federal Ministry of Education and Research (grant numbers 01EA1410C and FKZ:01EA1809C)</w:t>
      </w:r>
      <w:r>
        <w:rPr>
          <w:rFonts w:ascii="Times New Roman" w:hAnsi="Times New Roman" w:cs="Times New Roman"/>
        </w:rPr>
        <w:t>.</w:t>
      </w:r>
      <w:bookmarkEnd w:id="25"/>
      <w:r>
        <w:rPr>
          <w:rFonts w:ascii="Times New Roman" w:hAnsi="Times New Roman" w:cs="Times New Roman"/>
        </w:rPr>
        <w:t xml:space="preserve"> This work was further support</w:t>
      </w:r>
      <w:r w:rsidR="00A91D50">
        <w:rPr>
          <w:rFonts w:ascii="Times New Roman" w:hAnsi="Times New Roman" w:cs="Times New Roman"/>
        </w:rPr>
        <w:t>ed</w:t>
      </w:r>
      <w:r>
        <w:rPr>
          <w:rFonts w:ascii="Times New Roman" w:hAnsi="Times New Roman" w:cs="Times New Roman"/>
        </w:rPr>
        <w:t xml:space="preserve"> through </w:t>
      </w:r>
      <w:r w:rsidRPr="003C4972">
        <w:rPr>
          <w:rFonts w:ascii="Times New Roman" w:hAnsi="Times New Roman" w:cs="Times New Roman"/>
        </w:rPr>
        <w:t xml:space="preserve">SFB 1454– </w:t>
      </w:r>
      <w:r>
        <w:rPr>
          <w:rFonts w:ascii="Times New Roman" w:hAnsi="Times New Roman" w:cs="Times New Roman"/>
        </w:rPr>
        <w:lastRenderedPageBreak/>
        <w:t xml:space="preserve">project number </w:t>
      </w:r>
      <w:r w:rsidRPr="003C4972">
        <w:rPr>
          <w:rFonts w:ascii="Times New Roman" w:hAnsi="Times New Roman" w:cs="Times New Roman"/>
        </w:rPr>
        <w:t xml:space="preserve">432325352 by the Deutsche </w:t>
      </w:r>
      <w:proofErr w:type="spellStart"/>
      <w:r w:rsidRPr="003C4972">
        <w:rPr>
          <w:rFonts w:ascii="Times New Roman" w:hAnsi="Times New Roman" w:cs="Times New Roman"/>
        </w:rPr>
        <w:t>Forschungsgemeinschaft</w:t>
      </w:r>
      <w:proofErr w:type="spellEnd"/>
      <w:r w:rsidRPr="003C4972">
        <w:rPr>
          <w:rFonts w:ascii="Times New Roman" w:hAnsi="Times New Roman" w:cs="Times New Roman"/>
        </w:rPr>
        <w:t xml:space="preserve"> (DFG, German Research Foundation</w:t>
      </w:r>
      <w:r>
        <w:rPr>
          <w:rFonts w:ascii="Times New Roman" w:hAnsi="Times New Roman" w:cs="Times New Roman"/>
        </w:rPr>
        <w:t xml:space="preserve">). </w:t>
      </w:r>
      <w:r w:rsidRPr="003C4972">
        <w:rPr>
          <w:rFonts w:ascii="Times New Roman" w:hAnsi="Times New Roman" w:cs="Times New Roman"/>
        </w:rPr>
        <w:t>The authors declare no conflicts of interest.</w:t>
      </w:r>
    </w:p>
    <w:p w14:paraId="18E32FB2" w14:textId="77777777" w:rsidR="00EA3E0A" w:rsidRDefault="00EA3E0A">
      <w:bookmarkStart w:id="26" w:name="_Toc102403239"/>
    </w:p>
    <w:p w14:paraId="5EA98306" w14:textId="77777777" w:rsidR="00EA3E0A" w:rsidRDefault="00E00610">
      <w:pPr>
        <w:rPr>
          <w:b/>
        </w:rPr>
      </w:pPr>
      <w:r>
        <w:rPr>
          <w:rFonts w:ascii="Times New Roman" w:hAnsi="Times New Roman" w:cs="Times New Roman"/>
          <w:b/>
        </w:rPr>
        <w:t>Rotterdam Study</w:t>
      </w:r>
      <w:bookmarkEnd w:id="26"/>
      <w:r>
        <w:rPr>
          <w:rFonts w:ascii="Times New Roman" w:hAnsi="Times New Roman" w:cs="Times New Roman"/>
          <w:b/>
        </w:rPr>
        <w:t xml:space="preserve"> </w:t>
      </w:r>
    </w:p>
    <w:p w14:paraId="28146256" w14:textId="77777777" w:rsidR="00EA3E0A" w:rsidRDefault="00E00610">
      <w:pPr>
        <w:spacing w:line="480" w:lineRule="auto"/>
        <w:rPr>
          <w:rFonts w:ascii="Times New Roman" w:hAnsi="Times New Roman" w:cs="Times New Roman"/>
          <w:i/>
          <w:iCs/>
          <w:u w:val="single"/>
        </w:rPr>
      </w:pPr>
      <w:r>
        <w:rPr>
          <w:rFonts w:ascii="Times New Roman" w:hAnsi="Times New Roman" w:cs="Times New Roman"/>
          <w:i/>
          <w:iCs/>
          <w:u w:val="single"/>
        </w:rPr>
        <w:t>Study description and history</w:t>
      </w:r>
    </w:p>
    <w:p w14:paraId="310D38F6" w14:textId="66572935" w:rsidR="00EA3E0A" w:rsidRDefault="00E00610">
      <w:pPr>
        <w:spacing w:line="480" w:lineRule="auto"/>
        <w:ind w:firstLine="720"/>
        <w:rPr>
          <w:rFonts w:ascii="Times New Roman" w:hAnsi="Times New Roman" w:cs="Times New Roman"/>
        </w:rPr>
      </w:pPr>
      <w:r>
        <w:rPr>
          <w:rFonts w:ascii="Times New Roman" w:hAnsi="Times New Roman" w:cs="Times New Roman"/>
        </w:rPr>
        <w:t>The Rotterdam Study (RS) is a prospective population-based study started in 1989.</w:t>
      </w:r>
      <w:r>
        <w:rPr>
          <w:rFonts w:ascii="Times New Roman" w:hAnsi="Times New Roman" w:cs="Times New Roman"/>
        </w:rPr>
        <w:fldChar w:fldCharType="begin" w:fldLock="1"/>
      </w:r>
      <w:r w:rsidR="003E6D6C">
        <w:rPr>
          <w:rFonts w:ascii="Times New Roman" w:hAnsi="Times New Roman" w:cs="Times New Roman"/>
        </w:rPr>
        <w:instrText xml:space="preserve"> ADDIN ZOTERO_ITEM CSL_CITATION {"citationID":"aPKpDi9X","properties":{"formattedCitation":"\\super 29\\nosupersub{}","plainCitation":"29","noteIndex":0},"citationItems":[{"id":"qS4agUuI/uzTvhuzp","uris":["http://www.mendeley.com/documents/?uuid=731a2527-d5c1-3a9a-9cfd-31ecd263ce9d"],"itemData":{"DOI":"10.1007/s10654-020-00640-5","ISSN":"15737284","abstract":"The Rotterdam Study is an ongoing prospective cohort study that started in 1990 in the city of Rotterdam, The Netherlands. The study aims to unravel etiology, preclinical course, natural history and potential targets for intervention for chronic diseases in mid-life and late-life. The study focuses on cardiovascular, endocrine, hepatic, neurological, ophthalmic, psychiatric, dermatological, otolaryngological, locomotor, and respiratory diseases.As of 2008, 14,926 subjects aged 45 years or over comprise the Rotterdam Study cohort. Since 2016, the cohort is being expanded by persons aged 40 years and over. The findings of the Rotterdam Study have been presented in over 1700 research articles and reports. This article provides an update on the rationale and design of the study. It also presents a summary of the major findings from the preceding 3 years and outlines developments for the coming period.","author":[{"dropping-particle":"","family":"Ikram","given":"M. Arfan","non-dropping-particle":"","parse-names":false,"suffix":""},{"dropping-particle":"","family":"Brusselle","given":"Guy","non-dropping-particle":"","parse-names":false,"suffix":""},{"dropping-particle":"","family":"Ghanbari","given":"Mohsen","non-dropping-particle":"","parse-names":false,"suffix":""},{"dropping-particle":"","family":"Goedegebure","given":"André","non-dropping-particle":"","parse-names":false,"suffix":""},{"dropping-particle":"","family":"Ikram","given":"M. Kamran","non-dropping-particle":"","parse-names":false,"suffix":""},{"dropping-particle":"","family":"Kavousi","given":"Maryam","non-dropping-particle":"","parse-names":false,"suffix":""},{"dropping-particle":"","family":"Kieboom","given":"Brenda C.T.","non-dropping-particle":"","parse-names":false,"suffix":""},{"dropping-particle":"","family":"Klaver","given":"Caroline C.W.","non-dropping-particle":"","parse-names":false,"suffix":""},{"dropping-particle":"","family":"Knegt","given":"Robert J.","non-dropping-particle":"de","parse-names":false,"suffix":""},{"dropping-particle":"","family":"Luik","given":"Annemarie I.","non-dropping-particle":"","parse-names":false,"suffix":""},{"dropping-particle":"","family":"Nijsten","given":"Tamar E.C.","non-dropping-particle":"","parse-names":false,"suffix":""},{"dropping-particle":"","family":"Peeters","given":"Robin P.","non-dropping-particle":"","parse-names":false,"suffix":""},{"dropping-particle":"","family":"Rooij","given":"Frank J.A.","non-dropping-particle":"van","parse-names":false,"suffix":""},{"dropping-particle":"","family":"Stricker","given":"Bruno H.","non-dropping-particle":"","parse-names":false,"suffix":""},{"dropping-particle":"","family":"Uitterlinden","given":"André G.","non-dropping-particle":"","parse-names":false,"suffix":""},{"dropping-particle":"","family":"Vernooij","given":"Meike W.","non-dropping-particle":"","parse-names":false,"suffix":""},{"dropping-particle":"","family":"Voortman","given":"Trudy","non-dropping-particle":"","parse-names":false,"suffix":""}],"container-title":"European Journal of Epidemiology","id":"ITEM-1","issue":"5","issued":{"date-parts":[["2020"]]},"title":"Objectives, design and main findings until 2020 from the Rotterdam Study","type":"article-journal","volume":"35"}}],"schema":"https://github.com/citation-style-language/schema/raw/master/csl-citation.json"} </w:instrText>
      </w:r>
      <w:r>
        <w:rPr>
          <w:rFonts w:ascii="Times New Roman" w:hAnsi="Times New Roman" w:cs="Times New Roman"/>
        </w:rPr>
        <w:fldChar w:fldCharType="separate"/>
      </w:r>
      <w:r w:rsidR="003E6D6C" w:rsidRPr="003E6D6C">
        <w:rPr>
          <w:rFonts w:ascii="Times New Roman" w:hAnsi="Times New Roman" w:cs="Times New Roman"/>
          <w:vertAlign w:val="superscript"/>
        </w:rPr>
        <w:t>29</w:t>
      </w:r>
      <w:r>
        <w:rPr>
          <w:rFonts w:ascii="Times New Roman" w:hAnsi="Times New Roman" w:cs="Times New Roman"/>
        </w:rPr>
        <w:fldChar w:fldCharType="end"/>
      </w:r>
      <w:r>
        <w:rPr>
          <w:rFonts w:ascii="Times New Roman" w:hAnsi="Times New Roman" w:cs="Times New Roman"/>
        </w:rPr>
        <w:t xml:space="preserve"> It is composed of residents of the neighborhood of </w:t>
      </w:r>
      <w:proofErr w:type="spellStart"/>
      <w:r>
        <w:rPr>
          <w:rFonts w:ascii="Times New Roman" w:hAnsi="Times New Roman" w:cs="Times New Roman"/>
        </w:rPr>
        <w:t>Ommoord</w:t>
      </w:r>
      <w:proofErr w:type="spellEnd"/>
      <w:r>
        <w:rPr>
          <w:rFonts w:ascii="Times New Roman" w:hAnsi="Times New Roman" w:cs="Times New Roman"/>
        </w:rPr>
        <w:t xml:space="preserve">, Rotterdam, the Netherlands, aged 40 years and over, who have been recruited in four sub-cohorts: RS-I, RS-II, RS-III and RS-IV. Each participant gave an informed </w:t>
      </w:r>
      <w:proofErr w:type="gramStart"/>
      <w:r>
        <w:rPr>
          <w:rFonts w:ascii="Times New Roman" w:hAnsi="Times New Roman" w:cs="Times New Roman"/>
        </w:rPr>
        <w:t>consent</w:t>
      </w:r>
      <w:proofErr w:type="gramEnd"/>
      <w:r>
        <w:rPr>
          <w:rFonts w:ascii="Times New Roman" w:hAnsi="Times New Roman" w:cs="Times New Roman"/>
        </w:rPr>
        <w:t xml:space="preserve"> and the study was approved by </w:t>
      </w:r>
      <w:bookmarkStart w:id="27" w:name="OLE_LINK32"/>
      <w:r>
        <w:rPr>
          <w:rFonts w:ascii="Times New Roman" w:hAnsi="Times New Roman" w:cs="Times New Roman"/>
        </w:rPr>
        <w:t>the medical ethics committee of the Erasmus University Medical Center, Rotterdam, the Netherlands.</w:t>
      </w:r>
    </w:p>
    <w:bookmarkEnd w:id="27"/>
    <w:p w14:paraId="634F064A" w14:textId="77777777" w:rsidR="00EA3E0A" w:rsidRDefault="00E00610">
      <w:pPr>
        <w:spacing w:line="480" w:lineRule="auto"/>
        <w:rPr>
          <w:rFonts w:ascii="Times New Roman" w:hAnsi="Times New Roman" w:cs="Times New Roman"/>
          <w:i/>
          <w:iCs/>
          <w:u w:val="single"/>
        </w:rPr>
      </w:pPr>
      <w:r>
        <w:rPr>
          <w:rFonts w:ascii="Times New Roman" w:hAnsi="Times New Roman" w:cs="Times New Roman"/>
          <w:i/>
          <w:iCs/>
          <w:u w:val="single"/>
        </w:rPr>
        <w:t>DNA methylation collection, processing, and additional analytical details</w:t>
      </w:r>
    </w:p>
    <w:p w14:paraId="69B12550" w14:textId="77777777" w:rsidR="00EA3E0A" w:rsidRDefault="00E00610">
      <w:pPr>
        <w:spacing w:line="480" w:lineRule="auto"/>
        <w:ind w:firstLine="720"/>
        <w:rPr>
          <w:rFonts w:ascii="Times New Roman" w:hAnsi="Times New Roman" w:cs="Times New Roman"/>
        </w:rPr>
      </w:pPr>
      <w:r>
        <w:rPr>
          <w:rFonts w:ascii="Times New Roman" w:hAnsi="Times New Roman" w:cs="Times New Roman"/>
        </w:rPr>
        <w:t xml:space="preserve">DNA for methylation measurement was extracted from whole peripheral blood (stored in EDTA tubes) by standardized salting out methods, from a randomly selected sample of RS second (RSII) and third (RSIII) sub-cohorts. At the Genetic Laboratory (Department of Internal Medicine, Erasmus University Medical Center, Rotterdam, the Netherlands), genome-wide DNA-methylation levels in 1,613 subjects from the Rotterdam Study were determined using the Illumina HumanMethylation450K </w:t>
      </w:r>
      <w:proofErr w:type="spellStart"/>
      <w:r>
        <w:rPr>
          <w:rFonts w:ascii="Times New Roman" w:hAnsi="Times New Roman" w:cs="Times New Roman"/>
        </w:rPr>
        <w:t>BeadChip</w:t>
      </w:r>
      <w:proofErr w:type="spellEnd"/>
      <w:r>
        <w:rPr>
          <w:rFonts w:ascii="Times New Roman" w:hAnsi="Times New Roman" w:cs="Times New Roman"/>
        </w:rPr>
        <w:t xml:space="preserve"> arrays (Illumina, Inc., San Diego, CA, USA) according to the manufacturers protocol. Genomic DNA was first extracted from whole peripheral blood by standardized salting out methods. Samples were then bisulfite treated using the </w:t>
      </w:r>
      <w:proofErr w:type="spellStart"/>
      <w:r>
        <w:rPr>
          <w:rFonts w:ascii="Times New Roman" w:hAnsi="Times New Roman" w:cs="Times New Roman"/>
        </w:rPr>
        <w:t>Zymo</w:t>
      </w:r>
      <w:proofErr w:type="spellEnd"/>
      <w:r>
        <w:rPr>
          <w:rFonts w:ascii="Times New Roman" w:hAnsi="Times New Roman" w:cs="Times New Roman"/>
        </w:rPr>
        <w:t xml:space="preserve"> EZ-96 DNA-methylation kit (</w:t>
      </w:r>
      <w:proofErr w:type="spellStart"/>
      <w:r>
        <w:rPr>
          <w:rFonts w:ascii="Times New Roman" w:hAnsi="Times New Roman" w:cs="Times New Roman"/>
        </w:rPr>
        <w:t>Zymo</w:t>
      </w:r>
      <w:proofErr w:type="spellEnd"/>
      <w:r>
        <w:rPr>
          <w:rFonts w:ascii="Times New Roman" w:hAnsi="Times New Roman" w:cs="Times New Roman"/>
        </w:rPr>
        <w:t xml:space="preserve"> Research, Irvine, CA, USA), and subsequently hybridized to the arrays. Preparation and normalization of this array data was performed according to the CPACOR workflow using the software package R (www.r-project.org). The </w:t>
      </w:r>
      <w:proofErr w:type="spellStart"/>
      <w:r>
        <w:rPr>
          <w:rFonts w:ascii="Times New Roman" w:hAnsi="Times New Roman" w:cs="Times New Roman"/>
        </w:rPr>
        <w:t>idat</w:t>
      </w:r>
      <w:proofErr w:type="spellEnd"/>
      <w:r>
        <w:rPr>
          <w:rFonts w:ascii="Times New Roman" w:hAnsi="Times New Roman" w:cs="Times New Roman"/>
        </w:rPr>
        <w:t xml:space="preserve"> files were read using the </w:t>
      </w:r>
      <w:proofErr w:type="spellStart"/>
      <w:r>
        <w:rPr>
          <w:rFonts w:ascii="Times New Roman" w:hAnsi="Times New Roman" w:cs="Times New Roman"/>
          <w:i/>
          <w:iCs/>
        </w:rPr>
        <w:t>minfi</w:t>
      </w:r>
      <w:proofErr w:type="spellEnd"/>
      <w:r>
        <w:rPr>
          <w:rFonts w:ascii="Times New Roman" w:hAnsi="Times New Roman" w:cs="Times New Roman"/>
        </w:rPr>
        <w:t xml:space="preserve"> package. Samples showing inadequate hybridization, incomplete bisulfite treatment and gender swaps were excluded. Samples were excluded if signal detection rate across probes was &lt; 95%. CpG methylation proportion was reported as a normalized β-value ranging from 0 to 1, where 1 represents 100% methylation. β values being outside 1.5 times the interquartile range per probe were set </w:t>
      </w:r>
      <w:r>
        <w:rPr>
          <w:rFonts w:ascii="Times New Roman" w:hAnsi="Times New Roman" w:cs="Times New Roman"/>
        </w:rPr>
        <w:lastRenderedPageBreak/>
        <w:t xml:space="preserve">to missing. To avoid sex bias, </w:t>
      </w:r>
      <w:proofErr w:type="spellStart"/>
      <w:r>
        <w:rPr>
          <w:rFonts w:ascii="Times New Roman" w:hAnsi="Times New Roman" w:cs="Times New Roman"/>
        </w:rPr>
        <w:t>CpGs</w:t>
      </w:r>
      <w:proofErr w:type="spellEnd"/>
      <w:r>
        <w:rPr>
          <w:rFonts w:ascii="Times New Roman" w:hAnsi="Times New Roman" w:cs="Times New Roman"/>
        </w:rPr>
        <w:t xml:space="preserve"> annotated to genes in sex chromosomes were excluded. Methylation data for two out of the 144 </w:t>
      </w:r>
      <w:proofErr w:type="spellStart"/>
      <w:r>
        <w:rPr>
          <w:rFonts w:ascii="Times New Roman" w:hAnsi="Times New Roman" w:cs="Times New Roman"/>
        </w:rPr>
        <w:t>CpGs</w:t>
      </w:r>
      <w:proofErr w:type="spellEnd"/>
      <w:r>
        <w:rPr>
          <w:rFonts w:ascii="Times New Roman" w:hAnsi="Times New Roman" w:cs="Times New Roman"/>
        </w:rPr>
        <w:t xml:space="preserve"> were missing; therefore, the ERS was calculated using the remaining 142 </w:t>
      </w:r>
      <w:proofErr w:type="spellStart"/>
      <w:r>
        <w:rPr>
          <w:rFonts w:ascii="Times New Roman" w:hAnsi="Times New Roman" w:cs="Times New Roman"/>
        </w:rPr>
        <w:t>CpGs</w:t>
      </w:r>
      <w:proofErr w:type="spellEnd"/>
      <w:r>
        <w:rPr>
          <w:rFonts w:ascii="Times New Roman" w:hAnsi="Times New Roman" w:cs="Times New Roman"/>
        </w:rPr>
        <w:t xml:space="preserve"> only. </w:t>
      </w:r>
    </w:p>
    <w:p w14:paraId="4BF1657F" w14:textId="77777777" w:rsidR="00EA3E0A" w:rsidRDefault="00E00610">
      <w:pPr>
        <w:spacing w:line="480" w:lineRule="auto"/>
        <w:rPr>
          <w:rFonts w:ascii="Times New Roman" w:hAnsi="Times New Roman" w:cs="Times New Roman"/>
          <w:i/>
          <w:iCs/>
          <w:u w:val="single"/>
        </w:rPr>
      </w:pPr>
      <w:r>
        <w:rPr>
          <w:rFonts w:ascii="Times New Roman" w:hAnsi="Times New Roman" w:cs="Times New Roman"/>
          <w:i/>
          <w:iCs/>
          <w:u w:val="single"/>
        </w:rPr>
        <w:t>Clinical phenotype collection and measurement</w:t>
      </w:r>
    </w:p>
    <w:p w14:paraId="06CFA783" w14:textId="116461C4" w:rsidR="00EA3E0A" w:rsidRPr="002F15CB" w:rsidRDefault="00E00610">
      <w:pPr>
        <w:spacing w:line="480" w:lineRule="auto"/>
        <w:ind w:firstLine="720"/>
        <w:rPr>
          <w:rFonts w:ascii="Times New Roman" w:hAnsi="Times New Roman" w:cs="Times New Roman"/>
        </w:rPr>
      </w:pPr>
      <w:r>
        <w:rPr>
          <w:rFonts w:ascii="Times New Roman" w:hAnsi="Times New Roman" w:cs="Times New Roman"/>
        </w:rPr>
        <w:t xml:space="preserve">For the analysis presented, we used data from 1,109 participants at baseline examination. Participants underwent interviews and health examinations from trained physicians. Alcohol intake data was captured by either dietary interview </w:t>
      </w:r>
      <w:r w:rsidRPr="002F15CB">
        <w:rPr>
          <w:rFonts w:ascii="Times New Roman" w:hAnsi="Times New Roman" w:cs="Times New Roman"/>
        </w:rPr>
        <w:t xml:space="preserve">administered at home or food frequency questionnaire, depending on the follow up visit of the participants. Participants were asked specific question regarding type of alcoholic beverage consumed (i.e. red wine, white wine, beer and strong alcoholic beverages) and quantities of these types of beverages consumed </w:t>
      </w:r>
      <w:r w:rsidR="00DA20F1" w:rsidRPr="002F15CB">
        <w:rPr>
          <w:rFonts w:ascii="Times New Roman" w:hAnsi="Times New Roman" w:cs="Times New Roman"/>
        </w:rPr>
        <w:t xml:space="preserve">in the past 24 hours and </w:t>
      </w:r>
      <w:r w:rsidRPr="002F15CB">
        <w:rPr>
          <w:rFonts w:ascii="Times New Roman" w:hAnsi="Times New Roman" w:cs="Times New Roman"/>
        </w:rPr>
        <w:t>during a</w:t>
      </w:r>
      <w:r w:rsidR="00DA20F1" w:rsidRPr="002F15CB">
        <w:rPr>
          <w:rFonts w:ascii="Times New Roman" w:hAnsi="Times New Roman" w:cs="Times New Roman"/>
        </w:rPr>
        <w:t xml:space="preserve"> typical</w:t>
      </w:r>
      <w:r w:rsidRPr="002F15CB">
        <w:rPr>
          <w:rFonts w:ascii="Times New Roman" w:hAnsi="Times New Roman" w:cs="Times New Roman"/>
        </w:rPr>
        <w:t xml:space="preserve"> week.</w:t>
      </w:r>
      <w:r w:rsidR="002F15CB" w:rsidRPr="002F15CB">
        <w:rPr>
          <w:rFonts w:ascii="Times New Roman" w:hAnsi="Times New Roman" w:cs="Times New Roman"/>
        </w:rPr>
        <w:fldChar w:fldCharType="begin"/>
      </w:r>
      <w:r w:rsidR="003E6D6C">
        <w:rPr>
          <w:rFonts w:ascii="Times New Roman" w:hAnsi="Times New Roman" w:cs="Times New Roman"/>
        </w:rPr>
        <w:instrText xml:space="preserve"> ADDIN ZOTERO_ITEM CSL_CITATION {"citationID":"3RVRLsHB","properties":{"formattedCitation":"\\super 30\\nosupersub{}","plainCitation":"30","noteIndex":0},"citationItems":[{"id":585,"uris":["http://zotero.org/users/local/S7bnMkzI/items/F749LXF7"],"itemData":{"id":585,"type":"article-journal","abstract":"BACKGROUND: Light-to-moderate alcohol consumption reduces the risk of coronary heart disease and stroke. Because vascular disease is associated with cognitive impairment and dementia, we hypothesised that alcohol consumption might also affect the risk of dementia.\nMETHODS: We examined the relation between alcohol consumption and risk of dementia in individuals taking part in the Rotterdam Study--a prospective population-based study of 7983 individuals aged 55 years and older. We studied all participants who did not have dementia at baseline (1990-93) and who had complete data on alcohol consumption (n=5395). Through follow-up examinations in 1993-94 and 1997-99 and an extensive monitoring system, we obtained nearly complete follow-up (99.7%) until the end of 1999. We used proportional hazards regression analysis, adjusted for age, sex, systolic blood pressure, education, smoking, and body-mass index, to compare the risk of developing dementia between individuals who regularly consumed alcohol and individuals who did not consume alcohol.\nFINDINGS: The average follow-up was 6.0 years. During this period, 197 individuals developed dementia (146 Alzheimer's disease, 29 vascular dementia, 22 other dementia). The median alcohol consumption was 0.29 drinks per day. Light-to-moderate drinking (one to three drinks per day) was significantly associated with a lower risk of any dementia (hazard ratio 0.58 [95% CI 0.38-0.90]) and vascular dementia (hazard ratio 0.29 [0.09-0.93]). We found no evidence that the relation between alcohol and dementia varied by type of alcoholic beverage.\nINTERPRETATION: These findings suggest that light-to-moderate alcohol consumption is associated with a reduced risk of dementia in individuals aged 55 years or older. The effect seems to be unchanged by the source of alcohol.","container-title":"Lancet (London, England)","DOI":"10.1016/S0140-6736(02)07493-7","ISSN":"0140-6736","issue":"9303","journalAbbreviation":"Lancet","language":"eng","note":"PMID: 11830193","page":"281-286","source":"PubMed","title":"Alcohol consumption and risk of dementia: the Rotterdam Study","title-short":"Alcohol consumption and risk of dementia","volume":"359","author":[{"family":"Ruitenberg","given":"Annemieke"},{"family":"Swieten","given":"John C.","non-dropping-particle":"van"},{"family":"Witteman","given":"Jacqueline C. M."},{"family":"Mehta","given":"Kala M."},{"family":"Duijn","given":"Cornelia M.","non-dropping-particle":"van"},{"family":"Hofman","given":"Albert"},{"family":"Breteler","given":"Monique M. B."}],"issued":{"date-parts":[["2002",1,26]]}}}],"schema":"https://github.com/citation-style-language/schema/raw/master/csl-citation.json"} </w:instrText>
      </w:r>
      <w:r w:rsidR="002F15CB" w:rsidRPr="002F15CB">
        <w:rPr>
          <w:rFonts w:ascii="Times New Roman" w:hAnsi="Times New Roman" w:cs="Times New Roman"/>
        </w:rPr>
        <w:fldChar w:fldCharType="separate"/>
      </w:r>
      <w:r w:rsidR="003E6D6C" w:rsidRPr="003E6D6C">
        <w:rPr>
          <w:rFonts w:ascii="Times New Roman" w:hAnsi="Times New Roman" w:cs="Times New Roman"/>
          <w:vertAlign w:val="superscript"/>
        </w:rPr>
        <w:t>30</w:t>
      </w:r>
      <w:r w:rsidR="002F15CB" w:rsidRPr="002F15CB">
        <w:rPr>
          <w:rFonts w:ascii="Times New Roman" w:hAnsi="Times New Roman" w:cs="Times New Roman"/>
        </w:rPr>
        <w:fldChar w:fldCharType="end"/>
      </w:r>
      <w:r w:rsidRPr="002F15CB">
        <w:rPr>
          <w:rFonts w:ascii="Times New Roman" w:hAnsi="Times New Roman" w:cs="Times New Roman"/>
        </w:rPr>
        <w:t xml:space="preserve"> The information gathered was used to compute an average alcohol consumption in “grams per day.”</w:t>
      </w:r>
    </w:p>
    <w:p w14:paraId="6759EF0E" w14:textId="77777777" w:rsidR="00EA3E0A" w:rsidRDefault="00E00610">
      <w:pPr>
        <w:spacing w:line="480" w:lineRule="auto"/>
        <w:rPr>
          <w:rFonts w:ascii="Times New Roman" w:hAnsi="Times New Roman" w:cs="Times New Roman"/>
          <w:i/>
          <w:iCs/>
          <w:u w:val="single"/>
        </w:rPr>
      </w:pPr>
      <w:r w:rsidRPr="002F15CB">
        <w:rPr>
          <w:rFonts w:ascii="Times New Roman" w:hAnsi="Times New Roman" w:cs="Times New Roman"/>
          <w:i/>
          <w:iCs/>
          <w:u w:val="single"/>
        </w:rPr>
        <w:t xml:space="preserve"> Acknowledgments, funding, and disclosures</w:t>
      </w:r>
    </w:p>
    <w:p w14:paraId="0034DB35" w14:textId="77777777" w:rsidR="00EA3E0A" w:rsidRDefault="00E00610" w:rsidP="00F91183">
      <w:pPr>
        <w:spacing w:line="480" w:lineRule="auto"/>
        <w:ind w:firstLine="720"/>
      </w:pPr>
      <w:r>
        <w:rPr>
          <w:rFonts w:ascii="Times New Roman" w:hAnsi="Times New Roman" w:cs="Times New Roman"/>
        </w:rPr>
        <w:t>The Rotterdam Study is supported by the Erasmus MC University Medical Center and Erasmus University Rotterdam; The Netherlands Organization for Scientific Research (NWO); The Netherlands Organization for Health Research and Development (</w:t>
      </w:r>
      <w:proofErr w:type="spellStart"/>
      <w:r>
        <w:rPr>
          <w:rFonts w:ascii="Times New Roman" w:hAnsi="Times New Roman" w:cs="Times New Roman"/>
        </w:rPr>
        <w:t>ZonMw</w:t>
      </w:r>
      <w:proofErr w:type="spellEnd"/>
      <w:r>
        <w:rPr>
          <w:rFonts w:ascii="Times New Roman" w:hAnsi="Times New Roman" w:cs="Times New Roman"/>
        </w:rPr>
        <w:t xml:space="preserve">); the Research Institute for Diseases in the Elderly (RIDE); The Netherlands Genomics Initiative (NGI); the Ministry of Education, Culture and Science; the Ministry of Health, Welfare and Sports; the European Commission (DG XII); and the Municipality of Rotterdam. The contribution of inhabitants, general </w:t>
      </w:r>
      <w:proofErr w:type="gramStart"/>
      <w:r>
        <w:rPr>
          <w:rFonts w:ascii="Times New Roman" w:hAnsi="Times New Roman" w:cs="Times New Roman"/>
        </w:rPr>
        <w:t>practitioners</w:t>
      </w:r>
      <w:proofErr w:type="gramEnd"/>
      <w:r>
        <w:rPr>
          <w:rFonts w:ascii="Times New Roman" w:hAnsi="Times New Roman" w:cs="Times New Roman"/>
        </w:rPr>
        <w:t xml:space="preserve"> and pharmacists of the </w:t>
      </w:r>
      <w:proofErr w:type="spellStart"/>
      <w:r>
        <w:rPr>
          <w:rFonts w:ascii="Times New Roman" w:hAnsi="Times New Roman" w:cs="Times New Roman"/>
        </w:rPr>
        <w:t>Ommoord</w:t>
      </w:r>
      <w:proofErr w:type="spellEnd"/>
      <w:r>
        <w:rPr>
          <w:rFonts w:ascii="Times New Roman" w:hAnsi="Times New Roman" w:cs="Times New Roman"/>
        </w:rPr>
        <w:t xml:space="preserve"> district and management team to the Rotterdam Study is gratefully acknowledged.</w:t>
      </w:r>
      <w:bookmarkStart w:id="28" w:name="_Toc102403240"/>
    </w:p>
    <w:p w14:paraId="06CA420B" w14:textId="77777777" w:rsidR="00EA3E0A" w:rsidRDefault="00EA3E0A" w:rsidP="00F91183">
      <w:pPr>
        <w:spacing w:line="480" w:lineRule="auto"/>
      </w:pPr>
    </w:p>
    <w:p w14:paraId="185465E9" w14:textId="77777777" w:rsidR="00EA3E0A" w:rsidRDefault="00E00610" w:rsidP="00F91183">
      <w:pPr>
        <w:spacing w:line="480" w:lineRule="auto"/>
        <w:rPr>
          <w:b/>
        </w:rPr>
      </w:pPr>
      <w:r>
        <w:rPr>
          <w:rFonts w:ascii="Times New Roman" w:hAnsi="Times New Roman" w:cs="Times New Roman"/>
          <w:b/>
        </w:rPr>
        <w:t>Study of Health in Pomerania (SHIP)</w:t>
      </w:r>
      <w:bookmarkEnd w:id="28"/>
    </w:p>
    <w:p w14:paraId="78D64930" w14:textId="77777777" w:rsidR="00EA3E0A" w:rsidRDefault="00E00610" w:rsidP="00F91183">
      <w:pPr>
        <w:spacing w:line="480" w:lineRule="auto"/>
        <w:rPr>
          <w:rFonts w:ascii="Times New Roman" w:hAnsi="Times New Roman" w:cs="Times New Roman"/>
          <w:i/>
          <w:iCs/>
          <w:u w:val="single"/>
        </w:rPr>
      </w:pPr>
      <w:r>
        <w:rPr>
          <w:rFonts w:ascii="Times New Roman" w:hAnsi="Times New Roman" w:cs="Times New Roman"/>
          <w:i/>
          <w:iCs/>
          <w:u w:val="single"/>
        </w:rPr>
        <w:t xml:space="preserve">Study description and history </w:t>
      </w:r>
    </w:p>
    <w:p w14:paraId="4FC2B82D" w14:textId="78CBC771" w:rsidR="00EA3E0A" w:rsidRDefault="00E00610" w:rsidP="00F91183">
      <w:pPr>
        <w:spacing w:line="480" w:lineRule="auto"/>
        <w:ind w:firstLine="720"/>
        <w:rPr>
          <w:rFonts w:ascii="Times New Roman" w:hAnsi="Times New Roman" w:cs="Times New Roman"/>
        </w:rPr>
      </w:pPr>
      <w:r>
        <w:rPr>
          <w:rFonts w:ascii="Times New Roman" w:hAnsi="Times New Roman" w:cs="Times New Roman"/>
        </w:rPr>
        <w:lastRenderedPageBreak/>
        <w:t>The Study of Health in Pomerania (SHIP-Trend) is a longitudinal population-based cohort study in West Pomerania, a region in the northeast of Germany, assessing the prevalence and incidence of common population-relevant diseases and their risk factors. Baseline examinations for SHIP-Trend were carried out between 2008 and 2012, comprising 4,420 participants aged 20 to 81 years. Study design and sampling methods were previously described.</w:t>
      </w:r>
      <w:r>
        <w:rPr>
          <w:rFonts w:ascii="Times New Roman" w:hAnsi="Times New Roman" w:cs="Times New Roman"/>
        </w:rPr>
        <w:fldChar w:fldCharType="begin" w:fldLock="1"/>
      </w:r>
      <w:r w:rsidR="003E6D6C">
        <w:rPr>
          <w:rFonts w:ascii="Times New Roman" w:hAnsi="Times New Roman" w:cs="Times New Roman"/>
        </w:rPr>
        <w:instrText xml:space="preserve"> ADDIN ZOTERO_ITEM CSL_CITATION {"citationID":"jtbXWjlb","properties":{"formattedCitation":"\\super 31\\nosupersub{}","plainCitation":"31","noteIndex":0},"citationItems":[{"id":"qS4agUuI/ShXTt24e","uris":["http://www.mendeley.com/documents/?uuid=5ce317b0-2868-317f-a242-c47cfb9e17fa"],"itemData":{"DOI":"10.1093/ije/dyac034","ISSN":"0300-5771","author":[{"dropping-particle":"","family":"Völzke","given":"Henry","non-dropping-particle":"","parse-names":false,"suffix":""},{"dropping-particle":"","family":"Schössow","given":"Janka","non-dropping-particle":"","parse-names":false,"suffix":""},{"dropping-particle":"","family":"Schmidt","given":"Carsten Oliver","non-dropping-particle":"","parse-names":false,"suffix":""},{"dropping-particle":"","family":"Jürgens","given":"Clemens","non-dropping-particle":"","parse-names":false,"suffix":""},{"dropping-particle":"","family":"Richter","given":"Adrian","non-dropping-particle":"","parse-names":false,"suffix":""},{"dropping-particle":"","family":"Werner","given":"André","non-dropping-particle":"","parse-names":false,"suffix":""},{"dropping-particle":"","family":"Werner","given":"Nicole","non-dropping-particle":"","parse-names":false,"suffix":""},{"dropping-particle":"","family":"Radke","given":"Dörte","non-dropping-particle":"","parse-names":false,"suffix":""},{"dropping-particle":"","family":"Teumer","given":"Alexander","non-dropping-particle":"","parse-names":false,"suffix":""},{"dropping-particle":"","family":"Ittermann","given":"Till","non-dropping-particle":"","parse-names":false,"suffix":""},{"dropping-particle":"","family":"Schauer","given":"Birgit","non-dropping-particle":"","parse-names":false,"suffix":""},{"dropping-particle":"","family":"Henck","given":"Vivien","non-dropping-particle":"","parse-names":false,"suffix":""},{"dropping-particle":"","family":"Friedrich","given":"Nele","non-dropping-particle":"","parse-names":false,"suffix":""},{"dropping-particle":"","family":"Hannemann","given":"Anke","non-dropping-particle":"","parse-names":false,"suffix":""},{"dropping-particle":"","family":"Winter","given":"Theresa","non-dropping-particle":"","parse-names":false,"suffix":""},{"dropping-particle":"","family":"Nauck","given":"Matthias","non-dropping-particle":"","parse-names":false,"suffix":""},{"dropping-particle":"","family":"Dörr","given":"Marcus","non-dropping-particle":"","parse-names":false,"suffix":""},{"dropping-particle":"","family":"Bahls","given":"Martin","non-dropping-particle":"","parse-names":false,"suffix":""},{"dropping-particle":"","family":"Felix","given":"Stephan B","non-dropping-particle":"","parse-names":false,"suffix":""},{"dropping-particle":"","family":"Stubbe","given":"Beate","non-dropping-particle":"","parse-names":false,"suffix":""},{"dropping-particle":"","family":"Ewert","given":"Ralf","non-dropping-particle":"","parse-names":false,"suffix":""},{"dropping-particle":"","family":"Frost","given":"Fabian","non-dropping-particle":"","parse-names":false,"suffix":""},{"dropping-particle":"","family":"Lerch","given":"Markus M","non-dropping-particle":"","parse-names":false,"suffix":""},{"dropping-particle":"","family":"Grabe","given":"Hans J","non-dropping-particle":"","parse-names":false,"suffix":""},{"dropping-particle":"","family":"Bülow","given":"Robin","non-dropping-particle":"","parse-names":false,"suffix":""},{"dropping-particle":"","family":"Otto","given":"Markus","non-dropping-particle":"","parse-names":false,"suffix":""},{"dropping-particle":"","family":"Hosten","given":"Norbert","non-dropping-particle":"","parse-names":false,"suffix":""},{"dropping-particle":"","family":"Rathmann","given":"Wolfgang","non-dropping-particle":"","parse-names":false,"suffix":""},{"dropping-particle":"","family":"Schminke","given":"Ulf","non-dropping-particle":"","parse-names":false,"suffix":""},{"dropping-particle":"","family":"Großjohann","given":"Rico","non-dropping-particle":"","parse-names":false,"suffix":""},{"dropping-particle":"","family":"Tost","given":"Frank","non-dropping-particle":"","parse-names":false,"suffix":""},{"dropping-particle":"","family":"Homuth","given":"Georg","non-dropping-particle":"","parse-names":false,"suffix":""},{"dropping-particle":"","family":"Völker","given":"Uwe","non-dropping-particle":"","parse-names":false,"suffix":""},{"dropping-particle":"","family":"Weiss","given":"Stefan","non-dropping-particle":"","parse-names":false,"suffix":""},{"dropping-particle":"","family":"Holtfreter","given":"Silva","non-dropping-particle":"","parse-names":false,"suffix":""},{"dropping-particle":"","family":"Bröker","given":"Barbara M","non-dropping-particle":"","parse-names":false,"suffix":""},{"dropping-particle":"","family":"Zimmermann","given":"Kathrin","non-dropping-particle":"","parse-names":false,"suffix":""},{"dropping-particle":"","family":"Kaderali","given":"Lars","non-dropping-particle":"","parse-names":false,"suffix":""},{"dropping-particle":"","family":"Winnefeld","given":"Marc","non-dropping-particle":"","parse-names":false,"suffix":""},{"dropping-particle":"","family":"Kristof","given":"Boris","non-dropping-particle":"","parse-names":false,"suffix":""},{"dropping-particle":"","family":"Berger","given":"Klaus","non-dropping-particle":"","parse-names":false,"suffix":""},{"dropping-particle":"","family":"Samietz","given":"Stefanie","non-dropping-particle":"","parse-names":false,"suffix":""},{"dropping-particle":"","family":"Schwahn","given":"Christian","non-dropping-particle":"","parse-names":false,"suffix":""},{"dropping-particle":"","family":"Holtfreter","given":"Birte","non-dropping-particle":"","parse-names":false,"suffix":""},{"dropping-particle":"","family":"Biffar","given":"Reiner","non-dropping-particle":"","parse-names":false,"suffix":""},{"dropping-particle":"","family":"Kindler","given":"Stefan","non-dropping-particle":"","parse-names":false,"suffix":""},{"dropping-particle":"","family":"Wittfeld","given":"Katharina","non-dropping-particle":"","parse-names":false,"suffix":""},{"dropping-particle":"","family":"Hoffmann","given":"Wolfgang","non-dropping-particle":"","parse-names":false,"suffix":""},{"dropping-particle":"","family":"Kocher","given":"Thomas","non-dropping-particle":"","parse-names":false,"suffix":""}],"container-title":"International Journal of Epidemiology","id":"ITEM-1","issued":{"date-parts":[["2022"]]},"title":"Cohort Profile Update: The Study of Health in Pomerania (SHIP)","type":"article-journal"}}],"schema":"https://github.com/citation-style-language/schema/raw/master/csl-citation.json"} </w:instrText>
      </w:r>
      <w:r>
        <w:rPr>
          <w:rFonts w:ascii="Times New Roman" w:hAnsi="Times New Roman" w:cs="Times New Roman"/>
        </w:rPr>
        <w:fldChar w:fldCharType="separate"/>
      </w:r>
      <w:r w:rsidR="003E6D6C" w:rsidRPr="003E6D6C">
        <w:rPr>
          <w:rFonts w:ascii="Times New Roman" w:hAnsi="Times New Roman" w:cs="Times New Roman"/>
          <w:vertAlign w:val="superscript"/>
        </w:rPr>
        <w:t>31</w:t>
      </w:r>
      <w:r>
        <w:rPr>
          <w:rFonts w:ascii="Times New Roman" w:hAnsi="Times New Roman" w:cs="Times New Roman"/>
        </w:rPr>
        <w:fldChar w:fldCharType="end"/>
      </w:r>
      <w:r>
        <w:rPr>
          <w:rFonts w:ascii="Times New Roman" w:hAnsi="Times New Roman" w:cs="Times New Roman"/>
        </w:rPr>
        <w:t xml:space="preserve"> The medical ethics committee of the University of Greifswald approved the study protocol, and oral and written informed consents were obtained from each of the study participants.</w:t>
      </w:r>
    </w:p>
    <w:p w14:paraId="7C2070A2" w14:textId="77777777" w:rsidR="00EA3E0A" w:rsidRDefault="00E00610">
      <w:pPr>
        <w:spacing w:line="480" w:lineRule="auto"/>
        <w:rPr>
          <w:rFonts w:ascii="Times New Roman" w:hAnsi="Times New Roman" w:cs="Times New Roman"/>
          <w:i/>
          <w:iCs/>
          <w:u w:val="single"/>
        </w:rPr>
      </w:pPr>
      <w:r>
        <w:rPr>
          <w:rFonts w:ascii="Times New Roman" w:hAnsi="Times New Roman" w:cs="Times New Roman"/>
          <w:i/>
          <w:iCs/>
          <w:u w:val="single"/>
        </w:rPr>
        <w:t xml:space="preserve">DNA methylation collection, processing, and additional analytical details </w:t>
      </w:r>
    </w:p>
    <w:p w14:paraId="038DF256" w14:textId="604A61BA" w:rsidR="00EA3E0A" w:rsidRDefault="00E00610">
      <w:pPr>
        <w:spacing w:after="0" w:line="480" w:lineRule="auto"/>
        <w:ind w:firstLine="720"/>
        <w:rPr>
          <w:rFonts w:ascii="Times New Roman" w:hAnsi="Times New Roman" w:cs="Times New Roman"/>
        </w:rPr>
      </w:pPr>
      <w:r>
        <w:rPr>
          <w:rFonts w:ascii="Times New Roman" w:hAnsi="Times New Roman" w:cs="Times New Roman"/>
        </w:rPr>
        <w:t xml:space="preserve">DNA was extracted from blood samples of 508 SHIP-Trend participants to assess DNA methylation using the Illumina </w:t>
      </w:r>
      <w:proofErr w:type="spellStart"/>
      <w:r>
        <w:rPr>
          <w:rFonts w:ascii="Times New Roman" w:hAnsi="Times New Roman" w:cs="Times New Roman"/>
        </w:rPr>
        <w:t>HumanMethylationEPIC</w:t>
      </w:r>
      <w:proofErr w:type="spellEnd"/>
      <w:r>
        <w:rPr>
          <w:rFonts w:ascii="Times New Roman" w:hAnsi="Times New Roman" w:cs="Times New Roman"/>
        </w:rPr>
        <w:t xml:space="preserve"> </w:t>
      </w:r>
      <w:proofErr w:type="spellStart"/>
      <w:r>
        <w:rPr>
          <w:rFonts w:ascii="Times New Roman" w:hAnsi="Times New Roman" w:cs="Times New Roman"/>
        </w:rPr>
        <w:t>BeadChip</w:t>
      </w:r>
      <w:proofErr w:type="spellEnd"/>
      <w:r>
        <w:rPr>
          <w:rFonts w:ascii="Times New Roman" w:hAnsi="Times New Roman" w:cs="Times New Roman"/>
        </w:rPr>
        <w:t xml:space="preserve"> array. Samples were randomly selected based on availability of multiple OMICS data, excluding type II diabetes, and enriched for prevalent MI. The samples were taken between 07:00 AM and 04:00 PM, and serum </w:t>
      </w:r>
      <w:bookmarkStart w:id="29" w:name="OLE_LINK138"/>
      <w:r>
        <w:rPr>
          <w:rFonts w:ascii="Times New Roman" w:hAnsi="Times New Roman" w:cs="Times New Roman"/>
        </w:rPr>
        <w:t xml:space="preserve">aliquots </w:t>
      </w:r>
      <w:bookmarkEnd w:id="29"/>
      <w:r>
        <w:rPr>
          <w:rFonts w:ascii="Times New Roman" w:hAnsi="Times New Roman" w:cs="Times New Roman"/>
        </w:rPr>
        <w:t>were prepared for immediate analysis and for storage at -80 °C in the Integrated Research Biobank (</w:t>
      </w:r>
      <w:proofErr w:type="spellStart"/>
      <w:r>
        <w:rPr>
          <w:rFonts w:ascii="Times New Roman" w:hAnsi="Times New Roman" w:cs="Times New Roman"/>
        </w:rPr>
        <w:t>Liconic</w:t>
      </w:r>
      <w:proofErr w:type="spellEnd"/>
      <w:r>
        <w:rPr>
          <w:rFonts w:ascii="Times New Roman" w:hAnsi="Times New Roman" w:cs="Times New Roman"/>
        </w:rPr>
        <w:t xml:space="preserve">, Liechtenstein). Processing of the DNA samples was performed at the Helmholtz </w:t>
      </w:r>
      <w:proofErr w:type="spellStart"/>
      <w:r>
        <w:rPr>
          <w:rFonts w:ascii="Times New Roman" w:hAnsi="Times New Roman" w:cs="Times New Roman"/>
        </w:rPr>
        <w:t>Zentrum</w:t>
      </w:r>
      <w:proofErr w:type="spellEnd"/>
      <w:r>
        <w:rPr>
          <w:rFonts w:ascii="Times New Roman" w:hAnsi="Times New Roman" w:cs="Times New Roman"/>
        </w:rPr>
        <w:t xml:space="preserve"> München. Preparation and normalization of the array data was performed according to the CPACOR workflow</w:t>
      </w:r>
      <w:r>
        <w:rPr>
          <w:rFonts w:ascii="Times New Roman" w:hAnsi="Times New Roman" w:cs="Times New Roman"/>
        </w:rPr>
        <w:fldChar w:fldCharType="begin" w:fldLock="1"/>
      </w:r>
      <w:r w:rsidR="00E73BFA">
        <w:rPr>
          <w:rFonts w:ascii="Times New Roman" w:hAnsi="Times New Roman" w:cs="Times New Roman"/>
        </w:rPr>
        <w:instrText xml:space="preserve"> ADDIN ZOTERO_ITEM CSL_CITATION {"citationID":"Pj5jBCw1","properties":{"formattedCitation":"\\super 10\\nosupersub{}","plainCitation":"10","noteIndex":0},"citationItems":[{"id":"qS4agUuI/gbPd8DOy","uris":["http://www.mendeley.com/documents/?uuid=600f3fd7-0709-304a-a313-4091135beba3"],"itemData":{"DOI":"10.1186/s13059-015-0600-x","ISSN":"1474760X","abstract":"DNA methylation plays a fundamental role in the regulation of the genome, but the optimal strategy for analysis of genome-wide DNA methylation data remains to be determined. We developed a comprehensive analysis pipeline for epigenome-wide association studies (EWAS) using the Illumina Infinium HumanMethylation450 BeadChip, based on 2,687 individuals, with 36 samples measured in duplicate. We propose new approaches to quality control, data normalisation and batch correction through control-probe adjustment and establish a null hypothesis for EWAS using permutation testing. Our analysis pipeline outperforms existing approaches, enabling accurate identification of methylation quantitative trait loci for hypothesis driven follow-up experiments.","author":[{"dropping-particle":"","family":"Lehne","given":"Benjamin","non-dropping-particle":"","parse-names":false,"suffix":""},{"dropping-particle":"","family":"Drong","given":"Alexander W.","non-dropping-particle":"","parse-names":false,"suffix":""},{"dropping-particle":"","family":"Loh","given":"Marie","non-dropping-particle":"","parse-names":false,"suffix":""},{"dropping-particle":"","family":"Zhang","given":"Weihua","non-dropping-particle":"","parse-names":false,"suffix":""},{"dropping-particle":"","family":"Scott","given":"William R.","non-dropping-particle":"","parse-names":false,"suffix":""},{"dropping-particle":"","family":"Tan","given":"Sian Tsung","non-dropping-particle":"","parse-names":false,"suffix":""},{"dropping-particle":"","family":"Afzal","given":"Uzma","non-dropping-particle":"","parse-names":false,"suffix":""},{"dropping-particle":"","family":"Scott","given":"James","non-dropping-particle":"","parse-names":false,"suffix":""},{"dropping-particle":"","family":"Jarvelin","given":"Marjo Riitta","non-dropping-particle":"","parse-names":false,"suffix":""},{"dropping-particle":"","family":"Elliott","given":"Paul","non-dropping-particle":"","parse-names":false,"suffix":""},{"dropping-particle":"","family":"McCarthy","given":"Mark I.","non-dropping-particle":"","parse-names":false,"suffix":""},{"dropping-particle":"","family":"Kooner","given":"Jaspal S.","non-dropping-particle":"","parse-names":false,"suffix":""},{"dropping-particle":"","family":"Chambers","given":"John C.","non-dropping-particle":"","parse-names":false,"suffix":""}],"container-title":"Genome Biology","id":"ITEM-1","issue":"1","issued":{"date-parts":[["2015"]]},"title":"A coherent approach for analysis of the Illumina HumanMethylation450 BeadChip improves data quality and performance in epigenome-wide association studies","type":"article-journal","volume":"16"}}],"schema":"https://github.com/citation-style-language/schema/raw/master/csl-citation.json"} </w:instrText>
      </w:r>
      <w:r>
        <w:rPr>
          <w:rFonts w:ascii="Times New Roman" w:hAnsi="Times New Roman" w:cs="Times New Roman"/>
        </w:rPr>
        <w:fldChar w:fldCharType="separate"/>
      </w:r>
      <w:r w:rsidR="00E73BFA" w:rsidRPr="00E73BFA">
        <w:rPr>
          <w:rFonts w:ascii="Times New Roman" w:hAnsi="Times New Roman" w:cs="Times New Roman"/>
          <w:vertAlign w:val="superscript"/>
        </w:rPr>
        <w:t>10</w:t>
      </w:r>
      <w:r>
        <w:rPr>
          <w:rFonts w:ascii="Times New Roman" w:hAnsi="Times New Roman" w:cs="Times New Roman"/>
        </w:rPr>
        <w:fldChar w:fldCharType="end"/>
      </w:r>
      <w:r>
        <w:rPr>
          <w:rFonts w:ascii="Times New Roman" w:hAnsi="Times New Roman" w:cs="Times New Roman"/>
        </w:rPr>
        <w:t xml:space="preserve"> using the software package R (www.r-project.org). The array </w:t>
      </w:r>
      <w:proofErr w:type="spellStart"/>
      <w:r>
        <w:rPr>
          <w:rFonts w:ascii="Times New Roman" w:hAnsi="Times New Roman" w:cs="Times New Roman"/>
        </w:rPr>
        <w:t>idat</w:t>
      </w:r>
      <w:proofErr w:type="spellEnd"/>
      <w:r>
        <w:rPr>
          <w:rFonts w:ascii="Times New Roman" w:hAnsi="Times New Roman" w:cs="Times New Roman"/>
        </w:rPr>
        <w:t xml:space="preserve"> files were processed using the </w:t>
      </w:r>
      <w:proofErr w:type="spellStart"/>
      <w:r>
        <w:rPr>
          <w:rFonts w:ascii="Times New Roman" w:hAnsi="Times New Roman" w:cs="Times New Roman"/>
          <w:i/>
          <w:iCs/>
        </w:rPr>
        <w:t>minfi</w:t>
      </w:r>
      <w:proofErr w:type="spellEnd"/>
      <w:r>
        <w:rPr>
          <w:rFonts w:ascii="Times New Roman" w:hAnsi="Times New Roman" w:cs="Times New Roman"/>
        </w:rPr>
        <w:t xml:space="preserve"> package. Probes that had a detection p-value above background (sum of per-array methylated and unmethylated intensity </w:t>
      </w:r>
      <w:proofErr w:type="gramStart"/>
      <w:r>
        <w:rPr>
          <w:rFonts w:ascii="Times New Roman" w:hAnsi="Times New Roman" w:cs="Times New Roman"/>
        </w:rPr>
        <w:t>values based</w:t>
      </w:r>
      <w:proofErr w:type="gramEnd"/>
      <w:r>
        <w:rPr>
          <w:rFonts w:ascii="Times New Roman" w:hAnsi="Times New Roman" w:cs="Times New Roman"/>
        </w:rPr>
        <w:t xml:space="preserve"> p-value ≥ 1E-16) were set to missing. Methylation beta values were calculated as proportion of methylated intensity value on the sum of methylated+unmethylated+100 intensities. Arrays with observed technical problems (± 4 standard deviations outside control probe intensity mean) during steps like bisulfite conversion, </w:t>
      </w:r>
      <w:proofErr w:type="gramStart"/>
      <w:r>
        <w:rPr>
          <w:rFonts w:ascii="Times New Roman" w:hAnsi="Times New Roman" w:cs="Times New Roman"/>
        </w:rPr>
        <w:t>hybridization</w:t>
      </w:r>
      <w:proofErr w:type="gramEnd"/>
      <w:r>
        <w:rPr>
          <w:rFonts w:ascii="Times New Roman" w:hAnsi="Times New Roman" w:cs="Times New Roman"/>
        </w:rPr>
        <w:t xml:space="preserve"> or extension, as well as arrays with mismatch between sex of the proband and sex determined by the chr X and Y probe intensities were removed from subsequent analyses. Additionally, only arrays with a call rate ≥ 95% were processed further resulting in 495 samples with methylation data on 865,859 sites available for subsequent analyses.</w:t>
      </w:r>
    </w:p>
    <w:p w14:paraId="77968DE7" w14:textId="02D6ACB1" w:rsidR="00EA3E0A" w:rsidRPr="001258DC" w:rsidRDefault="00E00610">
      <w:pPr>
        <w:spacing w:after="0" w:line="480" w:lineRule="auto"/>
        <w:ind w:firstLine="720"/>
        <w:rPr>
          <w:rFonts w:ascii="Times New Roman" w:hAnsi="Times New Roman" w:cs="Times New Roman"/>
        </w:rPr>
      </w:pPr>
      <w:r>
        <w:rPr>
          <w:rFonts w:ascii="Times New Roman" w:hAnsi="Times New Roman" w:cs="Times New Roman"/>
        </w:rPr>
        <w:lastRenderedPageBreak/>
        <w:t>To account for potential confounding effects due to blood cell composition, blood cell subtypes were estimated by the Houseman method</w:t>
      </w:r>
      <w:r>
        <w:rPr>
          <w:rFonts w:ascii="Times New Roman" w:hAnsi="Times New Roman" w:cs="Times New Roman"/>
        </w:rPr>
        <w:fldChar w:fldCharType="begin" w:fldLock="1"/>
      </w:r>
      <w:r w:rsidR="00E73BFA">
        <w:rPr>
          <w:rFonts w:ascii="Times New Roman" w:hAnsi="Times New Roman" w:cs="Times New Roman"/>
        </w:rPr>
        <w:instrText xml:space="preserve"> ADDIN ZOTERO_ITEM CSL_CITATION {"citationID":"Grqf66n8","properties":{"formattedCitation":"\\super 4\\nosupersub{}","plainCitation":"4","noteIndex":0},"citationItems":[{"id":"qS4agUuI/C3H0zMJa","uris":["http://www.mendeley.com/documents/?uuid=69abab58-40d2-38a3-badb-48a3491953ba"],"itemData":{"DOI":"10.1186/1471-2105-13-86","ISSN":"14712105","abstract":"Background: There has been a long-standing need in biomedical research for a method that quantifies the normally mixed composition of leukocytes beyond what is possible by simple histological or flow cytometric assessments. The latter is restricted by the labile nature of protein epitopes, requirements for cell processing, and timely cell analysis. In a diverse array of diseases and following numerous immune-toxic exposures, leukocyte composition will critically inform the underlying immuno-biology to most chronic medical conditions. Emerging research demonstrates that DNA methylation is responsible for cellular differentiation, and when measured in whole peripheral blood, serves to distinguish cancer cases from controls.Results: Here we present a method, similar to regression calibration, for inferring changes in the distribution of white blood cells between different subpopulations (e.g. cases and controls) using DNA methylation signatures, in combination with a previously obtained external validation set consisting of signatures from purified leukocyte samples. We validate the fundamental idea in a cell mixture reconstruction experiment, then demonstrate our method on DNA methylation data sets from several studies, including data from a Head and Neck Squamous Cell Carcinoma (HNSCC) study and an ovarian cancer study. Our method produces results consistent with prior biological findings, thereby validating the approach.Conclusions: Our method, in combination with an appropriate external validation set, promises new opportunities for large-scale immunological studies of both disease states and noxious exposures. © 2012 Houseman et al.; licensee BioMed Central Ltd.","author":[{"dropping-particle":"","family":"Houseman","given":"Eugene A.","non-dropping-particle":"","parse-names":false,"suffix":""},{"dropping-particle":"","family":"Accomando","given":"William P.","non-dropping-particle":"","parse-names":false,"suffix":""},{"dropping-particle":"","family":"Koestler","given":"Devin C.","non-dropping-particle":"","parse-names":false,"suffix":""},{"dropping-particle":"","family":"Christensen","given":"Brock C.","non-dropping-particle":"","parse-names":false,"suffix":""},{"dropping-particle":"","family":"Marsit","given":"Carmen J.","non-dropping-particle":"","parse-names":false,"suffix":""},{"dropping-particle":"","family":"Nelson","given":"Heather H.","non-dropping-particle":"","parse-names":false,"suffix":""},{"dropping-particle":"","family":"Wiencke","given":"John K.","non-dropping-particle":"","parse-names":false,"suffix":""},{"dropping-particle":"","family":"Kelsey","given":"Karl T.","non-dropping-particle":"","parse-names":false,"suffix":""}],"container-title":"BMC Bioinformatics","id":"ITEM-1","issue":"1","issued":{"date-parts":[["2012"]]},"title":"DNA methylation arrays as surrogate measures of cell mixture distribution","type":"article-journal","volume":"13"}}],"schema":"https://github.com/citation-style-language/schema/raw/master/csl-citation.json"} </w:instrText>
      </w:r>
      <w:r>
        <w:rPr>
          <w:rFonts w:ascii="Times New Roman" w:hAnsi="Times New Roman" w:cs="Times New Roman"/>
        </w:rPr>
        <w:fldChar w:fldCharType="separate"/>
      </w:r>
      <w:r w:rsidR="00E73BFA" w:rsidRPr="00E73BFA">
        <w:rPr>
          <w:rFonts w:ascii="Times New Roman" w:hAnsi="Times New Roman" w:cs="Times New Roman"/>
          <w:vertAlign w:val="superscript"/>
        </w:rPr>
        <w:t>4</w:t>
      </w:r>
      <w:r>
        <w:rPr>
          <w:rFonts w:ascii="Times New Roman" w:hAnsi="Times New Roman" w:cs="Times New Roman"/>
        </w:rPr>
        <w:fldChar w:fldCharType="end"/>
      </w:r>
      <w:r>
        <w:rPr>
          <w:rFonts w:ascii="Times New Roman" w:hAnsi="Times New Roman" w:cs="Times New Roman"/>
        </w:rPr>
        <w:t xml:space="preserve"> and included in the association model. Additionally, the array processing batch (n</w:t>
      </w:r>
      <w:r w:rsidR="00925B20">
        <w:rPr>
          <w:rFonts w:ascii="Times New Roman" w:hAnsi="Times New Roman" w:cs="Times New Roman"/>
        </w:rPr>
        <w:t>=</w:t>
      </w:r>
      <w:r>
        <w:rPr>
          <w:rFonts w:ascii="Times New Roman" w:hAnsi="Times New Roman" w:cs="Times New Roman"/>
        </w:rPr>
        <w:t>248 and n</w:t>
      </w:r>
      <w:r w:rsidR="00925B20">
        <w:rPr>
          <w:rFonts w:ascii="Times New Roman" w:hAnsi="Times New Roman" w:cs="Times New Roman"/>
        </w:rPr>
        <w:t>=</w:t>
      </w:r>
      <w:r>
        <w:rPr>
          <w:rFonts w:ascii="Times New Roman" w:hAnsi="Times New Roman" w:cs="Times New Roman"/>
        </w:rPr>
        <w:t xml:space="preserve">247) and the first six principal components of the control probe intensities obtained by the CPACOR workflow were included in the model to account for technical factors. Details on assessment of the metabolic </w:t>
      </w:r>
      <w:r w:rsidRPr="001258DC">
        <w:rPr>
          <w:rFonts w:ascii="Times New Roman" w:hAnsi="Times New Roman" w:cs="Times New Roman"/>
        </w:rPr>
        <w:t>phenotypes and covariates used in this analysis are provided within the SHIP cohort design.</w:t>
      </w:r>
    </w:p>
    <w:p w14:paraId="65CECDC1" w14:textId="77777777" w:rsidR="00EA3E0A" w:rsidRPr="001258DC" w:rsidRDefault="00E00610">
      <w:pPr>
        <w:spacing w:line="480" w:lineRule="auto"/>
        <w:rPr>
          <w:rFonts w:ascii="Times New Roman" w:hAnsi="Times New Roman" w:cs="Times New Roman"/>
          <w:i/>
          <w:iCs/>
          <w:u w:val="single"/>
        </w:rPr>
      </w:pPr>
      <w:r w:rsidRPr="001258DC">
        <w:rPr>
          <w:rFonts w:ascii="Times New Roman" w:hAnsi="Times New Roman" w:cs="Times New Roman"/>
          <w:i/>
          <w:iCs/>
          <w:u w:val="single"/>
        </w:rPr>
        <w:t xml:space="preserve">Clinical phenotype collection and measurement </w:t>
      </w:r>
    </w:p>
    <w:p w14:paraId="49B84240" w14:textId="7BE09C36" w:rsidR="00EA3E0A" w:rsidRPr="001258DC" w:rsidRDefault="00E00610">
      <w:pPr>
        <w:spacing w:line="480" w:lineRule="auto"/>
        <w:ind w:firstLine="720"/>
        <w:rPr>
          <w:rFonts w:ascii="Times New Roman" w:hAnsi="Times New Roman" w:cs="Times New Roman"/>
        </w:rPr>
      </w:pPr>
      <w:r w:rsidRPr="001258DC">
        <w:rPr>
          <w:rFonts w:ascii="Times New Roman" w:hAnsi="Times New Roman" w:cs="Times New Roman"/>
        </w:rPr>
        <w:t>Alcohol consumption was assessed as described in a previous publication by Baumeister et al.</w:t>
      </w:r>
      <w:r w:rsidR="007B2C98" w:rsidRPr="001258DC">
        <w:rPr>
          <w:rFonts w:ascii="Times New Roman" w:hAnsi="Times New Roman" w:cs="Times New Roman"/>
        </w:rPr>
        <w:fldChar w:fldCharType="begin"/>
      </w:r>
      <w:r w:rsidR="003E6D6C" w:rsidRPr="001258DC">
        <w:rPr>
          <w:rFonts w:ascii="Times New Roman" w:hAnsi="Times New Roman" w:cs="Times New Roman"/>
        </w:rPr>
        <w:instrText xml:space="preserve"> ADDIN ZOTERO_ITEM CSL_CITATION {"citationID":"oZPE2LHj","properties":{"formattedCitation":"\\super 32,33\\nosupersub{}","plainCitation":"32,33","noteIndex":0},"citationItems":[{"id":510,"uris":["http://zotero.org/users/local/S7bnMkzI/items/A4ST26LW"],"itemData":{"id":510,"type":"article-journal","container-title":"Das Gesundheitswesen","DOI":"10.1055/s-2004-813829","ISSN":"0941-3790","issue":"01","journalAbbreviation":"Gesundheitswesen","language":"DE","page":"39-47","title":"Riskanter Alkoholkonsum und alkoholbezogene Störungen in Vorpommern: Die Studie „Leben und Gesundheit in Vorpommern” (SHIP) und der Bundesgesundheitssurvey 1998 im Vergleich","volume":"1","author":[{"family":"Baumeister","given":"S E; Alte","suffix":"D; Meyer, C; John, U"}],"issued":{"date-parts":[["2005",1,25]]}}},{"id":587,"uris":["http://zotero.org/users/local/S7bnMkzI/items/ESYJHVVW"],"itemData":{"id":587,"type":"article-journal","abstract":"OBJECTIVE: In developed countries, sclerotic and calcific degeneration of the aortic valve is a common disorder showing pathophysiologic similarities with atherothrombotic coronary disease. Light to moderate alcohol consumption has been associated with a lower risk for atherothrombotic coronary disease and mortality. Whether alcohol consumption affects the development of aortic valve sclerosis (AVS) is not well known. In the present study, we aim to analyze the cross-sectional association between average daily alcohol consumption and AVS in the general population.\nAPPROACH AND RESULTS: We analyzed cross-sectional data from 2022 men and women, aged 45 to 81 years, from the population-based Study of Health in Pomerania. We used a computer-assisted interview that included beverage-specific questions about quantity and frequency of alcohol over the last 30 days to calculate the average quantity of alcohol consumption (in grams of ethanol per day). AVS was ascertained by echocardiography. The prevalence of AVS was 32.3%. Average daily alcohol intake displayed a J-type relation with AVS (fully adjusted P value: 0.005). Compared with individuals with an average consumption of 10 g of alcohol per day, multivariable-adjusted odds ratios were 1.60 (95% confidence interval, 1.19-2.14) among current abstainers and 1.56 (95% confidence interval, 1.01-2.41) among individuals with an average consumption of 60 g per day.\nCONCLUSIONS: Our findings indicate that light to moderate alcohol consumption was associated with a lower odd of having AVS. Prospective data need to address whether alcohol consumption and related changes over time in several biological markers affect the progression of AVS.","container-title":"Arteriosclerosis, Thrombosis, and Vascular Biology","DOI":"10.1161/ATVBAHA.114.304831","ISSN":"1524-4636","issue":"5","journalAbbreviation":"Arterioscler Thromb Vasc Biol","language":"eng","note":"PMID: 25767276","page":"1265-1270","source":"PubMed","title":"Light to Moderate Alcohol Consumption Is Associated With Lower Risk of Aortic Valve Sclerosis: The Study of Health in Pomerania (SHIP)","title-short":"Light to Moderate Alcohol Consumption Is Associated With Lower Risk of Aortic Valve Sclerosis","volume":"35","author":[{"family":"Markus","given":"Marcello Ricardo Paulista"},{"family":"Lieb","given":"Wolfgang"},{"family":"Stritzke","given":"Jan"},{"family":"Siewert","given":"Ulrike"},{"family":"Troitzsch","given":"Paulina"},{"family":"Koch","given":"Manja"},{"family":"Dörr","given":"Marcus"},{"family":"Felix","given":"Stephan Burkhard"},{"family":"Völzke","given":"Henry"},{"family":"Schunkert","given":"Heribert"},{"family":"Baumeister","given":"Sebastian Edgar"}],"issued":{"date-parts":[["2015",5]]}}}],"schema":"https://github.com/citation-style-language/schema/raw/master/csl-citation.json"} </w:instrText>
      </w:r>
      <w:r w:rsidR="007B2C98" w:rsidRPr="001258DC">
        <w:rPr>
          <w:rFonts w:ascii="Times New Roman" w:hAnsi="Times New Roman" w:cs="Times New Roman"/>
        </w:rPr>
        <w:fldChar w:fldCharType="separate"/>
      </w:r>
      <w:r w:rsidR="003E6D6C" w:rsidRPr="001258DC">
        <w:rPr>
          <w:rFonts w:ascii="Times New Roman" w:hAnsi="Times New Roman" w:cs="Times New Roman"/>
          <w:vertAlign w:val="superscript"/>
        </w:rPr>
        <w:t>32,33</w:t>
      </w:r>
      <w:r w:rsidR="007B2C98" w:rsidRPr="001258DC">
        <w:rPr>
          <w:rFonts w:ascii="Times New Roman" w:hAnsi="Times New Roman" w:cs="Times New Roman"/>
        </w:rPr>
        <w:fldChar w:fldCharType="end"/>
      </w:r>
      <w:r w:rsidR="007B2C98" w:rsidRPr="001258DC">
        <w:rPr>
          <w:rFonts w:ascii="Times New Roman" w:hAnsi="Times New Roman" w:cs="Times New Roman"/>
        </w:rPr>
        <w:t xml:space="preserve"> </w:t>
      </w:r>
      <w:r w:rsidRPr="001258DC">
        <w:rPr>
          <w:rFonts w:ascii="Times New Roman" w:hAnsi="Times New Roman" w:cs="Times New Roman"/>
        </w:rPr>
        <w:t>Through questionnaire, participants were asked about the frequency and volume of their alcohol consumption</w:t>
      </w:r>
      <w:r w:rsidR="006F40E0" w:rsidRPr="001258DC">
        <w:rPr>
          <w:rFonts w:ascii="Times New Roman" w:hAnsi="Times New Roman" w:cs="Times New Roman"/>
        </w:rPr>
        <w:t xml:space="preserve"> over the last 30 days</w:t>
      </w:r>
      <w:r w:rsidRPr="001258DC">
        <w:rPr>
          <w:rFonts w:ascii="Times New Roman" w:hAnsi="Times New Roman" w:cs="Times New Roman"/>
        </w:rPr>
        <w:t>. Responses to the questions were expressed as absolute grams or alcohol per day with 12 grams of alcohol equivalent to approximately one bottle of beer, one glass of wine or one mixed drink.</w:t>
      </w:r>
    </w:p>
    <w:p w14:paraId="3CD2629F" w14:textId="77777777" w:rsidR="00EA3E0A" w:rsidRDefault="00E00610">
      <w:pPr>
        <w:spacing w:line="480" w:lineRule="auto"/>
        <w:rPr>
          <w:rFonts w:ascii="Times New Roman" w:hAnsi="Times New Roman" w:cs="Times New Roman"/>
          <w:i/>
          <w:iCs/>
          <w:u w:val="single"/>
        </w:rPr>
      </w:pPr>
      <w:r w:rsidRPr="001258DC">
        <w:rPr>
          <w:rFonts w:ascii="Times New Roman" w:hAnsi="Times New Roman" w:cs="Times New Roman"/>
          <w:i/>
          <w:iCs/>
          <w:u w:val="single"/>
        </w:rPr>
        <w:t>Acknowledgments, funding, and disclosures</w:t>
      </w:r>
      <w:r>
        <w:rPr>
          <w:rFonts w:ascii="Times New Roman" w:hAnsi="Times New Roman" w:cs="Times New Roman"/>
          <w:i/>
          <w:iCs/>
          <w:u w:val="single"/>
        </w:rPr>
        <w:t xml:space="preserve"> </w:t>
      </w:r>
    </w:p>
    <w:p w14:paraId="6E1E51A3" w14:textId="77777777" w:rsidR="00EA3E0A" w:rsidRDefault="00E00610">
      <w:pPr>
        <w:spacing w:line="480" w:lineRule="auto"/>
        <w:ind w:firstLine="720"/>
        <w:rPr>
          <w:rFonts w:ascii="Times New Roman" w:hAnsi="Times New Roman" w:cs="Times New Roman"/>
        </w:rPr>
      </w:pPr>
      <w:r>
        <w:rPr>
          <w:rFonts w:ascii="Times New Roman" w:hAnsi="Times New Roman" w:cs="Times New Roman"/>
        </w:rPr>
        <w:t xml:space="preserve">SHIP is part of the Community Medicine Research net of the University of Greifswald, Germany, which is funded by the Federal Ministry of Education and Research (grants no. 01ZZ9603, 01ZZ0103, and 01ZZ0403), the Ministry of Cultural Affairs as well as the Social Ministry of the Federal State of Mecklenburg-West Pomerania, and the network ‘Greifswald Approach to Individualized Medicine (GANI_MED)’ funded by the Federal Ministry of Education and Research (grant 03IS2061A). DNA methylation data have been supported by the DZHK (grant 81X3400104). The University of Greifswald is a member of the </w:t>
      </w:r>
      <w:proofErr w:type="spellStart"/>
      <w:r>
        <w:rPr>
          <w:rFonts w:ascii="Times New Roman" w:hAnsi="Times New Roman" w:cs="Times New Roman"/>
        </w:rPr>
        <w:t>Caché</w:t>
      </w:r>
      <w:proofErr w:type="spellEnd"/>
      <w:r>
        <w:rPr>
          <w:rFonts w:ascii="Times New Roman" w:hAnsi="Times New Roman" w:cs="Times New Roman"/>
        </w:rPr>
        <w:t xml:space="preserve"> Campus program of the </w:t>
      </w:r>
      <w:proofErr w:type="spellStart"/>
      <w:r>
        <w:rPr>
          <w:rFonts w:ascii="Times New Roman" w:hAnsi="Times New Roman" w:cs="Times New Roman"/>
        </w:rPr>
        <w:t>InterSystems</w:t>
      </w:r>
      <w:proofErr w:type="spellEnd"/>
      <w:r>
        <w:rPr>
          <w:rFonts w:ascii="Times New Roman" w:hAnsi="Times New Roman" w:cs="Times New Roman"/>
        </w:rPr>
        <w:t xml:space="preserve"> GmbH. HJG has received travel grants and </w:t>
      </w:r>
      <w:proofErr w:type="gramStart"/>
      <w:r>
        <w:rPr>
          <w:rFonts w:ascii="Times New Roman" w:hAnsi="Times New Roman" w:cs="Times New Roman"/>
        </w:rPr>
        <w:t>speakers</w:t>
      </w:r>
      <w:proofErr w:type="gramEnd"/>
      <w:r>
        <w:rPr>
          <w:rFonts w:ascii="Times New Roman" w:hAnsi="Times New Roman" w:cs="Times New Roman"/>
        </w:rPr>
        <w:t xml:space="preserve"> honoraria from Fresenius Medical Care, </w:t>
      </w:r>
      <w:proofErr w:type="spellStart"/>
      <w:r>
        <w:rPr>
          <w:rFonts w:ascii="Times New Roman" w:hAnsi="Times New Roman" w:cs="Times New Roman"/>
        </w:rPr>
        <w:t>Neuraxpharm</w:t>
      </w:r>
      <w:proofErr w:type="spellEnd"/>
      <w:r>
        <w:rPr>
          <w:rFonts w:ascii="Times New Roman" w:hAnsi="Times New Roman" w:cs="Times New Roman"/>
        </w:rPr>
        <w:t xml:space="preserve">, </w:t>
      </w:r>
      <w:proofErr w:type="spellStart"/>
      <w:r>
        <w:rPr>
          <w:rFonts w:ascii="Times New Roman" w:hAnsi="Times New Roman" w:cs="Times New Roman"/>
        </w:rPr>
        <w:t>Servier</w:t>
      </w:r>
      <w:proofErr w:type="spellEnd"/>
      <w:r>
        <w:rPr>
          <w:rFonts w:ascii="Times New Roman" w:hAnsi="Times New Roman" w:cs="Times New Roman"/>
        </w:rPr>
        <w:t xml:space="preserve"> and Janssen </w:t>
      </w:r>
      <w:proofErr w:type="spellStart"/>
      <w:r>
        <w:rPr>
          <w:rFonts w:ascii="Times New Roman" w:hAnsi="Times New Roman" w:cs="Times New Roman"/>
        </w:rPr>
        <w:t>Cilag</w:t>
      </w:r>
      <w:proofErr w:type="spellEnd"/>
      <w:r>
        <w:rPr>
          <w:rFonts w:ascii="Times New Roman" w:hAnsi="Times New Roman" w:cs="Times New Roman"/>
        </w:rPr>
        <w:t xml:space="preserve"> as well as research funding from Fresenius Medical Care.</w:t>
      </w:r>
    </w:p>
    <w:p w14:paraId="1C2EDF4A" w14:textId="77777777" w:rsidR="00EA3E0A" w:rsidRDefault="00E00610">
      <w:r>
        <w:br w:type="page"/>
      </w:r>
    </w:p>
    <w:p w14:paraId="1AE7FBB5" w14:textId="77777777" w:rsidR="00762B01" w:rsidRDefault="00E00610" w:rsidP="00762B01">
      <w:pPr>
        <w:pStyle w:val="Heading1"/>
        <w:rPr>
          <w:rFonts w:ascii="Times New Roman" w:hAnsi="Times New Roman" w:cs="Times New Roman"/>
          <w:lang w:eastAsia="zh-CN"/>
        </w:rPr>
      </w:pPr>
      <w:r>
        <w:rPr>
          <w:rFonts w:ascii="Times New Roman" w:hAnsi="Times New Roman" w:cs="Times New Roman"/>
        </w:rPr>
        <w:lastRenderedPageBreak/>
        <w:t>Supplemental Tables (in a separate excel file)</w:t>
      </w:r>
    </w:p>
    <w:p w14:paraId="232EA5FC" w14:textId="390F4C1E" w:rsidR="00762B01" w:rsidRPr="00762B01" w:rsidRDefault="00762B01" w:rsidP="00762B01">
      <w:pPr>
        <w:pStyle w:val="Heading1"/>
        <w:rPr>
          <w:rFonts w:ascii="Times New Roman" w:hAnsi="Times New Roman" w:cs="Times New Roman"/>
          <w:lang w:eastAsia="zh-CN"/>
        </w:rPr>
      </w:pPr>
      <w:r>
        <w:rPr>
          <w:rFonts w:ascii="Times New Roman" w:hAnsi="Times New Roman" w:cs="Times New Roman"/>
        </w:rPr>
        <w:t xml:space="preserve">Supplemental Table 1. </w:t>
      </w:r>
      <w:r>
        <w:rPr>
          <w:rFonts w:ascii="Times New Roman" w:hAnsi="Times New Roman" w:cs="Times New Roman"/>
          <w:b w:val="0"/>
        </w:rPr>
        <w:t>Clinical characteristics at baseline examination</w:t>
      </w:r>
    </w:p>
    <w:p w14:paraId="788A8314" w14:textId="6E07254B" w:rsidR="00762B01" w:rsidRDefault="00762B01" w:rsidP="00762B01">
      <w:pPr>
        <w:spacing w:after="0" w:line="240" w:lineRule="auto"/>
        <w:rPr>
          <w:rFonts w:ascii="Times New Roman" w:hAnsi="Times New Roman" w:cs="Times New Roman"/>
        </w:rPr>
      </w:pPr>
      <w:r>
        <w:rPr>
          <w:rFonts w:ascii="Times New Roman" w:hAnsi="Times New Roman" w:cs="Times New Roman"/>
          <w:b/>
        </w:rPr>
        <w:t>Supplemental Table 2.</w:t>
      </w:r>
      <w:r>
        <w:rPr>
          <w:rFonts w:ascii="Times New Roman" w:hAnsi="Times New Roman" w:cs="Times New Roman"/>
        </w:rPr>
        <w:t xml:space="preserve"> Clinical characteristics at follow-up examination </w:t>
      </w:r>
    </w:p>
    <w:p w14:paraId="74D37EA3" w14:textId="77777777" w:rsidR="00762B01" w:rsidRDefault="00762B01" w:rsidP="00762B01">
      <w:pPr>
        <w:spacing w:after="0" w:line="240" w:lineRule="auto"/>
        <w:rPr>
          <w:rFonts w:ascii="Times New Roman" w:hAnsi="Times New Roman" w:cs="Times New Roman"/>
        </w:rPr>
      </w:pPr>
      <w:r>
        <w:rPr>
          <w:rFonts w:ascii="Times New Roman" w:hAnsi="Times New Roman" w:cs="Times New Roman"/>
          <w:b/>
        </w:rPr>
        <w:t>Supplemental Table 3</w:t>
      </w:r>
      <w:r>
        <w:rPr>
          <w:rFonts w:ascii="Times New Roman" w:hAnsi="Times New Roman" w:cs="Times New Roman"/>
        </w:rPr>
        <w:t>. ALHS self-reported alcohol intake</w:t>
      </w:r>
    </w:p>
    <w:p w14:paraId="70AE3477" w14:textId="77777777" w:rsidR="00762B01" w:rsidRDefault="00762B01" w:rsidP="00762B01">
      <w:pPr>
        <w:spacing w:after="0" w:line="240" w:lineRule="auto"/>
        <w:rPr>
          <w:rFonts w:ascii="Times New Roman" w:hAnsi="Times New Roman" w:cs="Times New Roman"/>
        </w:rPr>
      </w:pPr>
      <w:r>
        <w:rPr>
          <w:rFonts w:ascii="Times New Roman" w:hAnsi="Times New Roman" w:cs="Times New Roman"/>
          <w:b/>
        </w:rPr>
        <w:t>Supplemental Table 4</w:t>
      </w:r>
      <w:r>
        <w:rPr>
          <w:rFonts w:ascii="Times New Roman" w:hAnsi="Times New Roman" w:cs="Times New Roman"/>
        </w:rPr>
        <w:t>. Summarized information of alcohol consumption and blood pressure traits across all participating cohorts</w:t>
      </w:r>
    </w:p>
    <w:p w14:paraId="661F9FCE" w14:textId="77777777" w:rsidR="00762B01" w:rsidRDefault="00762B01" w:rsidP="00762B01">
      <w:pPr>
        <w:spacing w:after="0" w:line="240" w:lineRule="auto"/>
        <w:rPr>
          <w:rFonts w:ascii="Times New Roman" w:hAnsi="Times New Roman" w:cs="Times New Roman"/>
        </w:rPr>
      </w:pPr>
      <w:r>
        <w:rPr>
          <w:rFonts w:ascii="Times New Roman" w:hAnsi="Times New Roman" w:cs="Times New Roman"/>
          <w:b/>
        </w:rPr>
        <w:t>Supplemental Table 5</w:t>
      </w:r>
      <w:r>
        <w:rPr>
          <w:rFonts w:ascii="Times New Roman" w:hAnsi="Times New Roman" w:cs="Times New Roman"/>
        </w:rPr>
        <w:t>. ERS distribution across all participating cohorts</w:t>
      </w:r>
    </w:p>
    <w:p w14:paraId="6642954C" w14:textId="77777777" w:rsidR="00762B01" w:rsidRDefault="00762B01" w:rsidP="00762B01">
      <w:pPr>
        <w:spacing w:after="0" w:line="240" w:lineRule="auto"/>
        <w:rPr>
          <w:rFonts w:ascii="Times New Roman" w:hAnsi="Times New Roman" w:cs="Times New Roman"/>
        </w:rPr>
      </w:pPr>
      <w:r>
        <w:rPr>
          <w:rFonts w:ascii="Times New Roman" w:hAnsi="Times New Roman" w:cs="Times New Roman"/>
          <w:b/>
        </w:rPr>
        <w:t>Supplemental Table 6</w:t>
      </w:r>
      <w:r>
        <w:rPr>
          <w:rFonts w:ascii="Times New Roman" w:hAnsi="Times New Roman" w:cs="Times New Roman"/>
        </w:rPr>
        <w:t>. Reduced vs. full model analysis with ERS and liver enzymes</w:t>
      </w:r>
    </w:p>
    <w:p w14:paraId="2366814B" w14:textId="77777777" w:rsidR="00762B01" w:rsidRDefault="00762B01" w:rsidP="00762B01">
      <w:pPr>
        <w:spacing w:after="0" w:line="240" w:lineRule="auto"/>
        <w:rPr>
          <w:rFonts w:ascii="Times New Roman" w:hAnsi="Times New Roman" w:cs="Times New Roman"/>
        </w:rPr>
      </w:pPr>
      <w:r>
        <w:rPr>
          <w:rFonts w:ascii="Times New Roman" w:hAnsi="Times New Roman" w:cs="Times New Roman"/>
          <w:b/>
        </w:rPr>
        <w:t>Supplemental Table 7</w:t>
      </w:r>
      <w:r>
        <w:rPr>
          <w:rFonts w:ascii="Times New Roman" w:hAnsi="Times New Roman" w:cs="Times New Roman"/>
        </w:rPr>
        <w:t>. Cross-sectional and longitudinal analysis results for hypertension with 130/80 mmHg in FHS</w:t>
      </w:r>
    </w:p>
    <w:p w14:paraId="2E7AD750" w14:textId="77777777" w:rsidR="00762B01" w:rsidRDefault="00762B01" w:rsidP="00762B01">
      <w:pPr>
        <w:spacing w:after="0" w:line="240" w:lineRule="auto"/>
        <w:rPr>
          <w:rFonts w:ascii="Times New Roman" w:hAnsi="Times New Roman" w:cs="Times New Roman"/>
        </w:rPr>
      </w:pPr>
      <w:r>
        <w:rPr>
          <w:rFonts w:ascii="Times New Roman" w:hAnsi="Times New Roman" w:cs="Times New Roman"/>
          <w:b/>
        </w:rPr>
        <w:t>Supplemental Table 8</w:t>
      </w:r>
      <w:r>
        <w:rPr>
          <w:rFonts w:ascii="Times New Roman" w:hAnsi="Times New Roman" w:cs="Times New Roman"/>
        </w:rPr>
        <w:t>. Cross-sectional analysis results for ERS and blood pressure traits</w:t>
      </w:r>
    </w:p>
    <w:p w14:paraId="39A2F353" w14:textId="77777777" w:rsidR="00762B01" w:rsidRDefault="00762B01" w:rsidP="00762B01">
      <w:pPr>
        <w:spacing w:after="0" w:line="240" w:lineRule="auto"/>
        <w:rPr>
          <w:rFonts w:ascii="Times New Roman" w:hAnsi="Times New Roman" w:cs="Times New Roman"/>
        </w:rPr>
      </w:pPr>
      <w:r>
        <w:rPr>
          <w:rFonts w:ascii="Times New Roman" w:hAnsi="Times New Roman" w:cs="Times New Roman"/>
          <w:b/>
        </w:rPr>
        <w:t>Supplemental Table 9</w:t>
      </w:r>
      <w:r>
        <w:rPr>
          <w:rFonts w:ascii="Times New Roman" w:hAnsi="Times New Roman" w:cs="Times New Roman"/>
        </w:rPr>
        <w:t>. Prospective analysis results for ERS and blood pressure traits</w:t>
      </w:r>
    </w:p>
    <w:p w14:paraId="3B5D9A22" w14:textId="77777777" w:rsidR="00762B01" w:rsidRDefault="00762B01" w:rsidP="00762B01">
      <w:pPr>
        <w:spacing w:after="0" w:line="240" w:lineRule="auto"/>
        <w:rPr>
          <w:rFonts w:ascii="Times New Roman" w:hAnsi="Times New Roman" w:cs="Times New Roman"/>
        </w:rPr>
      </w:pPr>
      <w:r>
        <w:rPr>
          <w:rFonts w:ascii="Times New Roman" w:hAnsi="Times New Roman" w:cs="Times New Roman"/>
          <w:b/>
        </w:rPr>
        <w:t>Supplemental Table 10</w:t>
      </w:r>
      <w:r>
        <w:rPr>
          <w:rFonts w:ascii="Times New Roman" w:hAnsi="Times New Roman" w:cs="Times New Roman"/>
        </w:rPr>
        <w:t>. Cross-sectional analysis results for ERS and blood pressure traits among untreated participants</w:t>
      </w:r>
    </w:p>
    <w:p w14:paraId="10EEE22C" w14:textId="77777777" w:rsidR="00762B01" w:rsidRDefault="00762B01" w:rsidP="00762B01">
      <w:pPr>
        <w:spacing w:after="0" w:line="240" w:lineRule="auto"/>
        <w:rPr>
          <w:rFonts w:ascii="Times New Roman" w:hAnsi="Times New Roman" w:cs="Times New Roman"/>
        </w:rPr>
      </w:pPr>
      <w:r>
        <w:rPr>
          <w:rFonts w:ascii="Times New Roman" w:hAnsi="Times New Roman" w:cs="Times New Roman"/>
          <w:b/>
        </w:rPr>
        <w:t>Supplemental Table 11</w:t>
      </w:r>
      <w:r>
        <w:rPr>
          <w:rFonts w:ascii="Times New Roman" w:hAnsi="Times New Roman" w:cs="Times New Roman"/>
        </w:rPr>
        <w:t>. Cross-sectional analysis results for ERS and alcohol consumption</w:t>
      </w:r>
    </w:p>
    <w:p w14:paraId="376760F7" w14:textId="77777777" w:rsidR="00762B01" w:rsidRDefault="00762B01" w:rsidP="00762B01">
      <w:pPr>
        <w:spacing w:after="0" w:line="240" w:lineRule="auto"/>
        <w:rPr>
          <w:rFonts w:ascii="Times New Roman" w:hAnsi="Times New Roman" w:cs="Times New Roman"/>
        </w:rPr>
      </w:pPr>
      <w:r>
        <w:rPr>
          <w:rFonts w:ascii="Times New Roman" w:hAnsi="Times New Roman" w:cs="Times New Roman"/>
          <w:b/>
        </w:rPr>
        <w:t>Supplemental Table 12</w:t>
      </w:r>
      <w:r>
        <w:rPr>
          <w:rFonts w:ascii="Times New Roman" w:hAnsi="Times New Roman" w:cs="Times New Roman"/>
        </w:rPr>
        <w:t>. Cross-sectional analysis results for alcohol consumption and blood pressure traits</w:t>
      </w:r>
    </w:p>
    <w:p w14:paraId="13FFB94D" w14:textId="77777777" w:rsidR="00762B01" w:rsidRDefault="00762B01" w:rsidP="00762B01">
      <w:pPr>
        <w:spacing w:after="0" w:line="240" w:lineRule="auto"/>
        <w:rPr>
          <w:rFonts w:ascii="Times New Roman" w:hAnsi="Times New Roman" w:cs="Times New Roman"/>
        </w:rPr>
      </w:pPr>
      <w:r>
        <w:rPr>
          <w:rFonts w:ascii="Times New Roman" w:hAnsi="Times New Roman" w:cs="Times New Roman"/>
          <w:b/>
        </w:rPr>
        <w:t>Supplemental Table 13</w:t>
      </w:r>
      <w:r>
        <w:rPr>
          <w:rFonts w:ascii="Times New Roman" w:hAnsi="Times New Roman" w:cs="Times New Roman"/>
        </w:rPr>
        <w:t>. Longitudinal analysis results for alcohol consumption and blood pressure traits</w:t>
      </w:r>
    </w:p>
    <w:p w14:paraId="54748315" w14:textId="77777777" w:rsidR="00762B01" w:rsidRDefault="00762B01" w:rsidP="00762B01">
      <w:pPr>
        <w:spacing w:after="0" w:line="240" w:lineRule="auto"/>
        <w:rPr>
          <w:rFonts w:ascii="Times New Roman" w:hAnsi="Times New Roman" w:cs="Times New Roman"/>
        </w:rPr>
      </w:pPr>
      <w:r>
        <w:rPr>
          <w:rFonts w:ascii="Times New Roman" w:hAnsi="Times New Roman" w:cs="Times New Roman"/>
          <w:b/>
        </w:rPr>
        <w:t>Supplemental Table 14</w:t>
      </w:r>
      <w:r>
        <w:rPr>
          <w:rFonts w:ascii="Times New Roman" w:hAnsi="Times New Roman" w:cs="Times New Roman"/>
        </w:rPr>
        <w:t>. Cross-sectional analysis results for systolic blood pressure and 144 CpG probes in FHS</w:t>
      </w:r>
    </w:p>
    <w:p w14:paraId="14D59ABE" w14:textId="77777777" w:rsidR="00762B01" w:rsidRDefault="00762B01" w:rsidP="00762B01">
      <w:pPr>
        <w:spacing w:after="0" w:line="240" w:lineRule="auto"/>
        <w:rPr>
          <w:rFonts w:ascii="Times New Roman" w:hAnsi="Times New Roman" w:cs="Times New Roman"/>
        </w:rPr>
      </w:pPr>
      <w:r>
        <w:rPr>
          <w:rFonts w:ascii="Times New Roman" w:hAnsi="Times New Roman" w:cs="Times New Roman"/>
          <w:b/>
        </w:rPr>
        <w:t>Supplemental Table 15</w:t>
      </w:r>
      <w:r>
        <w:rPr>
          <w:rFonts w:ascii="Times New Roman" w:hAnsi="Times New Roman" w:cs="Times New Roman"/>
        </w:rPr>
        <w:t>. Cross-sectional analysis results for diastolic blood pressure and 144 CpG probes in FHS</w:t>
      </w:r>
    </w:p>
    <w:p w14:paraId="56BAB686" w14:textId="77777777" w:rsidR="00762B01" w:rsidRDefault="00762B01">
      <w:pPr>
        <w:spacing w:after="0" w:line="240" w:lineRule="auto"/>
        <w:rPr>
          <w:rFonts w:ascii="Times New Roman" w:hAnsi="Times New Roman" w:cs="Times New Roman"/>
        </w:rPr>
      </w:pPr>
    </w:p>
    <w:p w14:paraId="189DCB3C" w14:textId="77777777" w:rsidR="00762B01" w:rsidRDefault="00762B01">
      <w:pPr>
        <w:spacing w:after="0" w:line="240" w:lineRule="auto"/>
        <w:rPr>
          <w:rFonts w:ascii="Times New Roman" w:hAnsi="Times New Roman" w:cs="Times New Roman"/>
        </w:rPr>
      </w:pPr>
    </w:p>
    <w:p w14:paraId="63594DB1" w14:textId="53F928C4" w:rsidR="00762B01" w:rsidRDefault="00762B01">
      <w:pPr>
        <w:spacing w:after="0" w:line="240" w:lineRule="auto"/>
        <w:rPr>
          <w:rFonts w:ascii="Times New Roman" w:hAnsi="Times New Roman" w:cs="Times New Roman"/>
        </w:rPr>
        <w:sectPr w:rsidR="00762B01">
          <w:pgSz w:w="12240" w:h="15840"/>
          <w:pgMar w:top="1440" w:right="1440" w:bottom="1440" w:left="1440" w:header="720" w:footer="720" w:gutter="0"/>
          <w:cols w:space="720"/>
          <w:docGrid w:linePitch="360"/>
        </w:sectPr>
      </w:pPr>
    </w:p>
    <w:p w14:paraId="74067503" w14:textId="77777777" w:rsidR="00EA3E0A" w:rsidRDefault="00E00610">
      <w:pPr>
        <w:rPr>
          <w:rFonts w:ascii="Times New Roman" w:hAnsi="Times New Roman" w:cs="Times New Roman"/>
          <w:b/>
          <w:noProof/>
          <w:sz w:val="24"/>
        </w:rPr>
      </w:pPr>
      <w:r>
        <w:rPr>
          <w:rFonts w:ascii="Times New Roman" w:hAnsi="Times New Roman" w:cs="Times New Roman"/>
          <w:b/>
          <w:noProof/>
          <w:sz w:val="24"/>
        </w:rPr>
        <w:lastRenderedPageBreak/>
        <w:t>Supplemental Figures</w:t>
      </w:r>
    </w:p>
    <w:p w14:paraId="36C3DBA4" w14:textId="77777777" w:rsidR="00EA3E0A" w:rsidRDefault="00EA3E0A">
      <w:pPr>
        <w:rPr>
          <w:noProof/>
        </w:rPr>
      </w:pPr>
    </w:p>
    <w:p w14:paraId="12CDFD9E" w14:textId="77777777" w:rsidR="00EA3E0A" w:rsidRDefault="00E00610">
      <w:pPr>
        <w:rPr>
          <w:rFonts w:ascii="Times New Roman" w:hAnsi="Times New Roman" w:cs="Times New Roman"/>
          <w:b/>
          <w:bCs/>
          <w:iCs/>
        </w:rPr>
      </w:pPr>
      <w:r>
        <w:rPr>
          <w:noProof/>
          <w:lang w:eastAsia="zh-CN"/>
        </w:rPr>
        <w:drawing>
          <wp:inline distT="0" distB="0" distL="0" distR="0" wp14:anchorId="1F1321B2" wp14:editId="3C007D5C">
            <wp:extent cx="5943600" cy="320865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3208655"/>
                    </a:xfrm>
                    <a:prstGeom prst="rect">
                      <a:avLst/>
                    </a:prstGeom>
                  </pic:spPr>
                </pic:pic>
              </a:graphicData>
            </a:graphic>
          </wp:inline>
        </w:drawing>
      </w:r>
    </w:p>
    <w:p w14:paraId="0387647A" w14:textId="77777777" w:rsidR="00EA3E0A" w:rsidRDefault="00E00610">
      <w:pPr>
        <w:rPr>
          <w:rFonts w:ascii="Times New Roman" w:hAnsi="Times New Roman" w:cs="Times New Roman"/>
          <w:i/>
          <w:iCs/>
        </w:rPr>
      </w:pPr>
      <w:r>
        <w:rPr>
          <w:rFonts w:ascii="Times New Roman" w:hAnsi="Times New Roman" w:cs="Times New Roman"/>
          <w:b/>
          <w:bCs/>
          <w:iCs/>
        </w:rPr>
        <w:t xml:space="preserve">Supplemental Figure 1. </w:t>
      </w:r>
      <w:r>
        <w:rPr>
          <w:rFonts w:ascii="Times New Roman" w:hAnsi="Times New Roman" w:cs="Times New Roman"/>
          <w:bCs/>
          <w:iCs/>
        </w:rPr>
        <w:t xml:space="preserve">Meta-analysis of </w:t>
      </w:r>
      <w:r>
        <w:rPr>
          <w:rFonts w:ascii="Times New Roman" w:hAnsi="Times New Roman" w:cs="Times New Roman"/>
          <w:iCs/>
        </w:rPr>
        <w:t>cross-sectional association analyses of ERS in relation to hypertension in eight independent cohorts (</w:t>
      </w:r>
      <w:r>
        <w:rPr>
          <w:rFonts w:ascii="Times New Roman" w:hAnsi="Times New Roman" w:cs="Times New Roman"/>
        </w:rPr>
        <w:t>n = 11,544</w:t>
      </w:r>
      <w:r>
        <w:rPr>
          <w:rFonts w:ascii="Times New Roman" w:hAnsi="Times New Roman" w:cs="Times New Roman"/>
          <w:iCs/>
        </w:rPr>
        <w:t xml:space="preserve">). </w:t>
      </w:r>
      <w:r>
        <w:rPr>
          <w:rFonts w:ascii="Times New Roman" w:hAnsi="Times New Roman" w:cs="Times New Roman"/>
        </w:rPr>
        <w:t xml:space="preserve">ALHS, Agricultural Lung Health Study; GENOA, Genetic Epidemiology Network of Arteriopathy; HRS, Health and Retirement Study; KORA, Cooperative Health Research in the Region Augsburg; MESA, Multi-Ethnic Study of Atherosclerosis; SHIP, Study of Health in Pomerania; FE, Fixed Effect; 95% CI, 95% Confidence Interval; </w:t>
      </w:r>
      <w:proofErr w:type="gramStart"/>
      <w:r>
        <w:rPr>
          <w:rFonts w:ascii="Times New Roman" w:hAnsi="Times New Roman" w:cs="Times New Roman"/>
        </w:rPr>
        <w:t>log(</w:t>
      </w:r>
      <w:proofErr w:type="gramEnd"/>
      <w:r>
        <w:rPr>
          <w:rFonts w:ascii="Times New Roman" w:hAnsi="Times New Roman" w:cs="Times New Roman"/>
        </w:rPr>
        <w:t>Odds), log odds ratio.</w:t>
      </w:r>
    </w:p>
    <w:p w14:paraId="7C265A22" w14:textId="77777777" w:rsidR="00EA3E0A" w:rsidRDefault="00EA3E0A">
      <w:pPr>
        <w:rPr>
          <w:rFonts w:ascii="Times New Roman" w:hAnsi="Times New Roman" w:cs="Times New Roman"/>
          <w:b/>
          <w:bCs/>
          <w:iCs/>
        </w:rPr>
      </w:pPr>
    </w:p>
    <w:p w14:paraId="665CC4EF" w14:textId="77777777" w:rsidR="00EA3E0A" w:rsidRDefault="00EA3E0A">
      <w:pPr>
        <w:rPr>
          <w:rFonts w:ascii="Times New Roman" w:hAnsi="Times New Roman" w:cs="Times New Roman"/>
          <w:b/>
          <w:bCs/>
          <w:iCs/>
        </w:rPr>
        <w:sectPr w:rsidR="00EA3E0A">
          <w:pgSz w:w="12240" w:h="15840"/>
          <w:pgMar w:top="1440" w:right="1440" w:bottom="1440" w:left="1440" w:header="720" w:footer="720" w:gutter="0"/>
          <w:cols w:space="720"/>
          <w:docGrid w:linePitch="360"/>
        </w:sectPr>
      </w:pPr>
    </w:p>
    <w:p w14:paraId="0FFBE4F6" w14:textId="77777777" w:rsidR="00EA3E0A" w:rsidRDefault="00E00610">
      <w:pPr>
        <w:rPr>
          <w:rFonts w:ascii="Times New Roman" w:hAnsi="Times New Roman" w:cs="Times New Roman"/>
          <w:iCs/>
          <w:highlight w:val="green"/>
        </w:rPr>
      </w:pPr>
      <w:r>
        <w:rPr>
          <w:noProof/>
          <w:lang w:eastAsia="zh-CN"/>
        </w:rPr>
        <w:lastRenderedPageBreak/>
        <w:drawing>
          <wp:inline distT="0" distB="0" distL="0" distR="0" wp14:anchorId="79D60823" wp14:editId="23031F20">
            <wp:extent cx="5689872" cy="3053443"/>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16140" cy="3067540"/>
                    </a:xfrm>
                    <a:prstGeom prst="rect">
                      <a:avLst/>
                    </a:prstGeom>
                  </pic:spPr>
                </pic:pic>
              </a:graphicData>
            </a:graphic>
          </wp:inline>
        </w:drawing>
      </w:r>
    </w:p>
    <w:p w14:paraId="4D8B6691" w14:textId="77777777" w:rsidR="00EA3E0A" w:rsidRDefault="00E00610">
      <w:pPr>
        <w:rPr>
          <w:rFonts w:ascii="Times New Roman" w:hAnsi="Times New Roman" w:cs="Times New Roman"/>
          <w:i/>
          <w:iCs/>
        </w:rPr>
      </w:pPr>
      <w:r>
        <w:rPr>
          <w:rFonts w:ascii="Times New Roman" w:hAnsi="Times New Roman" w:cs="Times New Roman"/>
          <w:b/>
          <w:bCs/>
          <w:iCs/>
        </w:rPr>
        <w:t xml:space="preserve">Supplemental Figure 2. </w:t>
      </w:r>
      <w:r>
        <w:rPr>
          <w:rFonts w:ascii="Times New Roman" w:hAnsi="Times New Roman" w:cs="Times New Roman"/>
          <w:bCs/>
          <w:iCs/>
        </w:rPr>
        <w:t xml:space="preserve">Meta-analysis of </w:t>
      </w:r>
      <w:r>
        <w:rPr>
          <w:rFonts w:ascii="Times New Roman" w:hAnsi="Times New Roman" w:cs="Times New Roman"/>
          <w:iCs/>
        </w:rPr>
        <w:t xml:space="preserve">cross-sectional association analyses of ERS in relation to HTN (excluding the Rhineland Study as sensitivity analysis). </w:t>
      </w:r>
      <w:r>
        <w:rPr>
          <w:rFonts w:ascii="Times New Roman" w:hAnsi="Times New Roman" w:cs="Times New Roman"/>
        </w:rPr>
        <w:t>ALHS, Agricultural Lung Health Study;</w:t>
      </w:r>
      <w:r>
        <w:rPr>
          <w:rFonts w:ascii="Times New Roman" w:hAnsi="Times New Roman" w:cs="Times New Roman"/>
          <w:b/>
          <w:bCs/>
        </w:rPr>
        <w:t xml:space="preserve"> </w:t>
      </w:r>
      <w:r>
        <w:rPr>
          <w:rFonts w:ascii="Times New Roman" w:hAnsi="Times New Roman" w:cs="Times New Roman"/>
        </w:rPr>
        <w:t xml:space="preserve">GENOA, Genetic Epidemiology Network of Arteriopathy; KORA, Cooperative Health Research in the Region Augsburg; HRS, Health and Retirement Study; MESA, Multi-Ethnic Study on Atherosclerosis; SHIP, Study of Health in Pomerania; FE, Fixed Effect; 95% CI, 95% Confidence Interval; </w:t>
      </w:r>
      <w:proofErr w:type="gramStart"/>
      <w:r>
        <w:rPr>
          <w:rFonts w:ascii="Times New Roman" w:hAnsi="Times New Roman" w:cs="Times New Roman"/>
        </w:rPr>
        <w:t>log(</w:t>
      </w:r>
      <w:proofErr w:type="gramEnd"/>
      <w:r>
        <w:rPr>
          <w:rFonts w:ascii="Times New Roman" w:hAnsi="Times New Roman" w:cs="Times New Roman"/>
        </w:rPr>
        <w:t>Odds), log odds ratio.</w:t>
      </w:r>
    </w:p>
    <w:p w14:paraId="77EAA12A" w14:textId="77777777" w:rsidR="00EA3E0A" w:rsidRDefault="00EA3E0A">
      <w:pPr>
        <w:rPr>
          <w:rFonts w:ascii="Times New Roman" w:hAnsi="Times New Roman" w:cs="Times New Roman"/>
        </w:rPr>
        <w:sectPr w:rsidR="00EA3E0A">
          <w:pgSz w:w="12240" w:h="15840"/>
          <w:pgMar w:top="1440" w:right="1440" w:bottom="1440" w:left="1440" w:header="720" w:footer="720" w:gutter="0"/>
          <w:cols w:space="720"/>
          <w:docGrid w:linePitch="360"/>
        </w:sectPr>
      </w:pPr>
    </w:p>
    <w:p w14:paraId="7F35B5F3" w14:textId="77777777" w:rsidR="00EA3E0A" w:rsidRDefault="00E00610">
      <w:pPr>
        <w:rPr>
          <w:rFonts w:ascii="Times New Roman" w:hAnsi="Times New Roman" w:cs="Times New Roman"/>
          <w:i/>
          <w:iCs/>
          <w:color w:val="FF0000"/>
        </w:rPr>
      </w:pPr>
      <w:r>
        <w:rPr>
          <w:noProof/>
          <w:lang w:eastAsia="zh-CN"/>
        </w:rPr>
        <w:lastRenderedPageBreak/>
        <w:drawing>
          <wp:inline distT="0" distB="0" distL="0" distR="0" wp14:anchorId="49CDE491" wp14:editId="7AC675A0">
            <wp:extent cx="5943600" cy="3121025"/>
            <wp:effectExtent l="0" t="0" r="0"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3600" cy="3121025"/>
                    </a:xfrm>
                    <a:prstGeom prst="rect">
                      <a:avLst/>
                    </a:prstGeom>
                  </pic:spPr>
                </pic:pic>
              </a:graphicData>
            </a:graphic>
          </wp:inline>
        </w:drawing>
      </w:r>
    </w:p>
    <w:p w14:paraId="4A92287B" w14:textId="77777777" w:rsidR="00EA3E0A" w:rsidRDefault="00E00610">
      <w:pPr>
        <w:rPr>
          <w:rFonts w:ascii="Times New Roman" w:hAnsi="Times New Roman" w:cs="Times New Roman"/>
        </w:rPr>
        <w:sectPr w:rsidR="00EA3E0A">
          <w:pgSz w:w="12240" w:h="15840"/>
          <w:pgMar w:top="1440" w:right="1440" w:bottom="1440" w:left="1440" w:header="720" w:footer="720" w:gutter="0"/>
          <w:cols w:space="720"/>
          <w:docGrid w:linePitch="360"/>
        </w:sectPr>
      </w:pPr>
      <w:r>
        <w:rPr>
          <w:rFonts w:ascii="Times New Roman" w:hAnsi="Times New Roman" w:cs="Times New Roman"/>
          <w:b/>
          <w:bCs/>
        </w:rPr>
        <w:t xml:space="preserve">Supplemental Figure 3. </w:t>
      </w:r>
      <w:r>
        <w:rPr>
          <w:rFonts w:ascii="Times New Roman" w:hAnsi="Times New Roman" w:cs="Times New Roman"/>
          <w:iCs/>
          <w:sz w:val="24"/>
        </w:rPr>
        <w:t xml:space="preserve">Meta-analysis of longitudinal association analyses of ERS in relation to changes in systolic blood pressure in five independent cohorts (n=3,910). </w:t>
      </w:r>
      <w:r>
        <w:rPr>
          <w:rFonts w:ascii="Times New Roman" w:hAnsi="Times New Roman" w:cs="Times New Roman"/>
        </w:rPr>
        <w:t>GENOA, Genetic Epidemiology Network of Arteriopathy; KORA, Cooperative Health Research in the Region Augsburg; MESA, Multi-Ethnic Study of Atherosclerosis; SHIP, Study of Health in Pomerania; FE, Fixed Effect; 95% CI, 95% Confidence Interval.</w:t>
      </w:r>
    </w:p>
    <w:p w14:paraId="6427E49A" w14:textId="77777777" w:rsidR="00EA3E0A" w:rsidRDefault="00E00610">
      <w:pPr>
        <w:rPr>
          <w:rFonts w:ascii="Times New Roman" w:hAnsi="Times New Roman" w:cs="Times New Roman"/>
          <w:iCs/>
          <w:sz w:val="24"/>
          <w:highlight w:val="green"/>
        </w:rPr>
      </w:pPr>
      <w:r>
        <w:rPr>
          <w:noProof/>
          <w:lang w:eastAsia="zh-CN"/>
        </w:rPr>
        <w:lastRenderedPageBreak/>
        <w:drawing>
          <wp:inline distT="0" distB="0" distL="0" distR="0" wp14:anchorId="2A9B6AFF" wp14:editId="27647375">
            <wp:extent cx="5943600" cy="3117850"/>
            <wp:effectExtent l="0" t="0" r="0"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43600" cy="3117850"/>
                    </a:xfrm>
                    <a:prstGeom prst="rect">
                      <a:avLst/>
                    </a:prstGeom>
                  </pic:spPr>
                </pic:pic>
              </a:graphicData>
            </a:graphic>
          </wp:inline>
        </w:drawing>
      </w:r>
    </w:p>
    <w:p w14:paraId="6979D3B1" w14:textId="77777777" w:rsidR="00EA3E0A" w:rsidRDefault="00E00610">
      <w:pPr>
        <w:rPr>
          <w:rFonts w:ascii="Times New Roman" w:hAnsi="Times New Roman" w:cs="Times New Roman"/>
        </w:rPr>
        <w:sectPr w:rsidR="00EA3E0A">
          <w:pgSz w:w="12240" w:h="15840"/>
          <w:pgMar w:top="1440" w:right="1440" w:bottom="1440" w:left="1440" w:header="720" w:footer="720" w:gutter="0"/>
          <w:cols w:space="720"/>
          <w:docGrid w:linePitch="360"/>
        </w:sectPr>
      </w:pPr>
      <w:r>
        <w:rPr>
          <w:rFonts w:ascii="Times New Roman" w:hAnsi="Times New Roman" w:cs="Times New Roman"/>
          <w:b/>
          <w:bCs/>
        </w:rPr>
        <w:t xml:space="preserve">Supplemental Figure 4. </w:t>
      </w:r>
      <w:r>
        <w:rPr>
          <w:rFonts w:ascii="Times New Roman" w:hAnsi="Times New Roman" w:cs="Times New Roman"/>
          <w:iCs/>
          <w:sz w:val="24"/>
        </w:rPr>
        <w:t xml:space="preserve">Meta-analysis of longitudinal association analyses of ERS in relation to changes in diastolic blood pressure in five independent cohorts (n=3,910). </w:t>
      </w:r>
      <w:r>
        <w:rPr>
          <w:rFonts w:ascii="Times New Roman" w:hAnsi="Times New Roman" w:cs="Times New Roman"/>
        </w:rPr>
        <w:t>GENOA, Genetic Epidemiology Network of Arteriopathy; KORA, Cooperative Health Research in the Region Augsburg; MESA, Multi-Ethnic Study of Atherosclerosis; SHIP, Study of Health in Pomerania; FE, Fixed Effect; 95% CI, 95% Confidence Interval.</w:t>
      </w:r>
    </w:p>
    <w:p w14:paraId="01BB0EC9" w14:textId="77777777" w:rsidR="00EA3E0A" w:rsidRDefault="00E00610">
      <w:pPr>
        <w:rPr>
          <w:rFonts w:ascii="Times New Roman" w:hAnsi="Times New Roman" w:cs="Times New Roman"/>
          <w:iCs/>
          <w:sz w:val="24"/>
        </w:rPr>
      </w:pPr>
      <w:r>
        <w:rPr>
          <w:noProof/>
          <w:lang w:eastAsia="zh-CN"/>
        </w:rPr>
        <w:lastRenderedPageBreak/>
        <w:drawing>
          <wp:inline distT="0" distB="0" distL="0" distR="0" wp14:anchorId="53AE1988" wp14:editId="591661ED">
            <wp:extent cx="5943600" cy="2868295"/>
            <wp:effectExtent l="0" t="0" r="0" b="825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943600" cy="2868295"/>
                    </a:xfrm>
                    <a:prstGeom prst="rect">
                      <a:avLst/>
                    </a:prstGeom>
                  </pic:spPr>
                </pic:pic>
              </a:graphicData>
            </a:graphic>
          </wp:inline>
        </w:drawing>
      </w:r>
    </w:p>
    <w:p w14:paraId="0032F490" w14:textId="6DB4ECF1" w:rsidR="00EA3E0A" w:rsidRDefault="00E00610">
      <w:pPr>
        <w:rPr>
          <w:rFonts w:ascii="Times New Roman" w:hAnsi="Times New Roman" w:cs="Times New Roman"/>
        </w:rPr>
      </w:pPr>
      <w:r>
        <w:rPr>
          <w:rFonts w:ascii="Times New Roman" w:hAnsi="Times New Roman" w:cs="Times New Roman"/>
          <w:b/>
          <w:bCs/>
        </w:rPr>
        <w:t xml:space="preserve">Supplemental Figure 5. </w:t>
      </w:r>
      <w:r>
        <w:rPr>
          <w:rFonts w:ascii="Times New Roman" w:hAnsi="Times New Roman" w:cs="Times New Roman"/>
          <w:iCs/>
          <w:sz w:val="24"/>
        </w:rPr>
        <w:t xml:space="preserve">Meta-analysis of ERS in relation to incident (i.e., </w:t>
      </w:r>
      <w:proofErr w:type="gramStart"/>
      <w:r>
        <w:rPr>
          <w:rFonts w:ascii="Times New Roman" w:hAnsi="Times New Roman" w:cs="Times New Roman"/>
          <w:iCs/>
          <w:sz w:val="24"/>
        </w:rPr>
        <w:t>new-onset</w:t>
      </w:r>
      <w:proofErr w:type="gramEnd"/>
      <w:r>
        <w:rPr>
          <w:rFonts w:ascii="Times New Roman" w:hAnsi="Times New Roman" w:cs="Times New Roman"/>
          <w:iCs/>
          <w:sz w:val="24"/>
        </w:rPr>
        <w:t>) hypertension in five independent cohorts (n=3,228)</w:t>
      </w:r>
      <w:r>
        <w:rPr>
          <w:rFonts w:ascii="Times New Roman" w:hAnsi="Times New Roman" w:cs="Times New Roman"/>
          <w:b/>
          <w:bCs/>
        </w:rPr>
        <w:t xml:space="preserve">. </w:t>
      </w:r>
      <w:r>
        <w:rPr>
          <w:rFonts w:ascii="Times New Roman" w:hAnsi="Times New Roman" w:cs="Times New Roman"/>
        </w:rPr>
        <w:t>GENOA, Genetic Epidemiology Network of Arteriopathy; KORA, Cooperative Health Research in the Region Augsburg; MESA, Multi-Ethnic Study of Atherosclerosis; SHIP, Study of Health in Pomerania; FE, Fixed Effect; 95% CI, 95% Confidence Interval.</w:t>
      </w:r>
    </w:p>
    <w:p w14:paraId="50F2C05A" w14:textId="5541A7BB" w:rsidR="005259E3" w:rsidRDefault="005259E3">
      <w:pPr>
        <w:rPr>
          <w:rFonts w:ascii="Times New Roman" w:hAnsi="Times New Roman" w:cs="Times New Roman"/>
        </w:rPr>
      </w:pPr>
      <w:r>
        <w:rPr>
          <w:rFonts w:ascii="Times New Roman" w:hAnsi="Times New Roman" w:cs="Times New Roman"/>
        </w:rPr>
        <w:br w:type="page"/>
      </w:r>
    </w:p>
    <w:p w14:paraId="0827C1F7" w14:textId="77777777" w:rsidR="005259E3" w:rsidRDefault="005259E3" w:rsidP="005259E3">
      <w:pPr>
        <w:spacing w:after="0" w:line="480" w:lineRule="auto"/>
        <w:rPr>
          <w:noProof/>
        </w:rPr>
      </w:pPr>
      <w:r>
        <w:rPr>
          <w:noProof/>
        </w:rPr>
        <w:lastRenderedPageBreak/>
        <w:t>a.                                                                                        b.</w:t>
      </w:r>
    </w:p>
    <w:p w14:paraId="7848C584" w14:textId="77777777" w:rsidR="005259E3" w:rsidRDefault="005259E3" w:rsidP="005259E3">
      <w:pPr>
        <w:spacing w:after="0" w:line="480" w:lineRule="auto"/>
        <w:rPr>
          <w:noProof/>
        </w:rPr>
      </w:pPr>
      <w:r>
        <w:rPr>
          <w:noProof/>
          <w:lang w:eastAsia="zh-CN"/>
        </w:rPr>
        <w:drawing>
          <wp:inline distT="0" distB="0" distL="0" distR="0" wp14:anchorId="03B2D094" wp14:editId="7DF87CA1">
            <wp:extent cx="2743200" cy="3205938"/>
            <wp:effectExtent l="0" t="0" r="0" b="0"/>
            <wp:docPr id="2" name="Picture 1">
              <a:extLst xmlns:a="http://schemas.openxmlformats.org/drawingml/2006/main">
                <a:ext uri="{FF2B5EF4-FFF2-40B4-BE49-F238E27FC236}">
                  <a16:creationId xmlns:a16="http://schemas.microsoft.com/office/drawing/2014/main" id="{FFDAB519-15C1-5ECB-CFD9-1F7A4DD7B66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FFDAB519-15C1-5ECB-CFD9-1F7A4DD7B665}"/>
                        </a:ext>
                      </a:extLst>
                    </pic:cNvPr>
                    <pic:cNvPicPr>
                      <a:picLocks noChangeAspect="1"/>
                    </pic:cNvPicPr>
                  </pic:nvPicPr>
                  <pic:blipFill>
                    <a:blip r:embed="rId14"/>
                    <a:stretch>
                      <a:fillRect/>
                    </a:stretch>
                  </pic:blipFill>
                  <pic:spPr>
                    <a:xfrm>
                      <a:off x="0" y="0"/>
                      <a:ext cx="2743200" cy="3205938"/>
                    </a:xfrm>
                    <a:prstGeom prst="rect">
                      <a:avLst/>
                    </a:prstGeom>
                  </pic:spPr>
                </pic:pic>
              </a:graphicData>
            </a:graphic>
          </wp:inline>
        </w:drawing>
      </w:r>
      <w:r w:rsidRPr="001712CD">
        <w:rPr>
          <w:noProof/>
        </w:rPr>
        <w:t xml:space="preserve"> </w:t>
      </w:r>
      <w:r>
        <w:rPr>
          <w:noProof/>
          <w:lang w:eastAsia="zh-CN"/>
        </w:rPr>
        <w:drawing>
          <wp:inline distT="0" distB="0" distL="0" distR="0" wp14:anchorId="40D2158A" wp14:editId="56911C15">
            <wp:extent cx="2743200" cy="3205941"/>
            <wp:effectExtent l="0" t="0" r="0" b="0"/>
            <wp:docPr id="3" name="Picture 2">
              <a:extLst xmlns:a="http://schemas.openxmlformats.org/drawingml/2006/main">
                <a:ext uri="{FF2B5EF4-FFF2-40B4-BE49-F238E27FC236}">
                  <a16:creationId xmlns:a16="http://schemas.microsoft.com/office/drawing/2014/main" id="{3210888C-8751-6ABA-5B56-E7C76F6D69D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3210888C-8751-6ABA-5B56-E7C76F6D69DD}"/>
                        </a:ext>
                      </a:extLst>
                    </pic:cNvPr>
                    <pic:cNvPicPr>
                      <a:picLocks noChangeAspect="1"/>
                    </pic:cNvPicPr>
                  </pic:nvPicPr>
                  <pic:blipFill>
                    <a:blip r:embed="rId15"/>
                    <a:stretch>
                      <a:fillRect/>
                    </a:stretch>
                  </pic:blipFill>
                  <pic:spPr>
                    <a:xfrm>
                      <a:off x="0" y="0"/>
                      <a:ext cx="2743200" cy="3205941"/>
                    </a:xfrm>
                    <a:prstGeom prst="rect">
                      <a:avLst/>
                    </a:prstGeom>
                  </pic:spPr>
                </pic:pic>
              </a:graphicData>
            </a:graphic>
          </wp:inline>
        </w:drawing>
      </w:r>
    </w:p>
    <w:p w14:paraId="1ACE6047" w14:textId="77777777" w:rsidR="005259E3" w:rsidRDefault="005259E3" w:rsidP="005259E3">
      <w:pPr>
        <w:spacing w:after="0" w:line="480" w:lineRule="auto"/>
        <w:rPr>
          <w:noProof/>
        </w:rPr>
      </w:pPr>
      <w:r>
        <w:rPr>
          <w:noProof/>
        </w:rPr>
        <w:t>c.</w:t>
      </w:r>
    </w:p>
    <w:p w14:paraId="7A503910" w14:textId="77777777" w:rsidR="005259E3" w:rsidRDefault="005259E3" w:rsidP="005259E3">
      <w:pPr>
        <w:spacing w:after="0" w:line="480" w:lineRule="auto"/>
        <w:rPr>
          <w:rFonts w:ascii="Times New Roman" w:hAnsi="Times New Roman" w:cs="Times New Roman"/>
        </w:rPr>
      </w:pPr>
      <w:r>
        <w:rPr>
          <w:noProof/>
          <w:lang w:eastAsia="zh-CN"/>
        </w:rPr>
        <w:drawing>
          <wp:inline distT="0" distB="0" distL="0" distR="0" wp14:anchorId="17EF4060" wp14:editId="5085682F">
            <wp:extent cx="3199818" cy="3209544"/>
            <wp:effectExtent l="0" t="0" r="635" b="3810"/>
            <wp:docPr id="8" name="Picture 3" descr="A graph with red blue and green dots&#10;&#10;Description automatically generated">
              <a:extLst xmlns:a="http://schemas.openxmlformats.org/drawingml/2006/main">
                <a:ext uri="{FF2B5EF4-FFF2-40B4-BE49-F238E27FC236}">
                  <a16:creationId xmlns:a16="http://schemas.microsoft.com/office/drawing/2014/main" id="{8FEC9925-3F16-B1C7-1FAB-71A98F134E7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3" descr="A graph with red blue and green dots&#10;&#10;Description automatically generated">
                      <a:extLst>
                        <a:ext uri="{FF2B5EF4-FFF2-40B4-BE49-F238E27FC236}">
                          <a16:creationId xmlns:a16="http://schemas.microsoft.com/office/drawing/2014/main" id="{8FEC9925-3F16-B1C7-1FAB-71A98F134E77}"/>
                        </a:ext>
                      </a:extLst>
                    </pic:cNvPr>
                    <pic:cNvPicPr>
                      <a:picLocks noChangeAspect="1"/>
                    </pic:cNvPicPr>
                  </pic:nvPicPr>
                  <pic:blipFill>
                    <a:blip r:embed="rId16"/>
                    <a:stretch>
                      <a:fillRect/>
                    </a:stretch>
                  </pic:blipFill>
                  <pic:spPr>
                    <a:xfrm>
                      <a:off x="0" y="0"/>
                      <a:ext cx="3199818" cy="3209544"/>
                    </a:xfrm>
                    <a:prstGeom prst="rect">
                      <a:avLst/>
                    </a:prstGeom>
                  </pic:spPr>
                </pic:pic>
              </a:graphicData>
            </a:graphic>
          </wp:inline>
        </w:drawing>
      </w:r>
    </w:p>
    <w:p w14:paraId="55D78A2C" w14:textId="14B63E00" w:rsidR="005259E3" w:rsidRDefault="005259E3" w:rsidP="005259E3">
      <w:pPr>
        <w:spacing w:after="0" w:line="240" w:lineRule="auto"/>
        <w:rPr>
          <w:rFonts w:ascii="Times New Roman" w:hAnsi="Times New Roman" w:cs="Times New Roman"/>
        </w:rPr>
      </w:pPr>
      <w:r>
        <w:rPr>
          <w:rFonts w:ascii="Times New Roman" w:hAnsi="Times New Roman" w:cs="Times New Roman"/>
          <w:b/>
          <w:bCs/>
        </w:rPr>
        <w:t xml:space="preserve">Supplemental Figure 6 </w:t>
      </w:r>
      <w:r>
        <w:rPr>
          <w:rFonts w:ascii="Times New Roman" w:hAnsi="Times New Roman" w:cs="Times New Roman"/>
          <w:iCs/>
          <w:sz w:val="24"/>
        </w:rPr>
        <w:t>Cross-sectional analysis of 144 CpG probes with blood pressure traits (i.e., SBP and DBP) in FHS. a) 144 CpG probes with SBP; b) 144 CpG probes with DBP; c) comparison on estimates and p-value of 144 CpG probes between SBP and DBP. FHS, Framingham Heart Study; SBP, systolic blood pressure; DBP, diastolic blood pressure.</w:t>
      </w:r>
    </w:p>
    <w:p w14:paraId="3DDCECFD" w14:textId="77777777" w:rsidR="00EA3E0A" w:rsidRDefault="00EA3E0A">
      <w:pPr>
        <w:pStyle w:val="Heading1"/>
        <w:rPr>
          <w:rFonts w:ascii="Times New Roman" w:hAnsi="Times New Roman" w:cs="Times New Roman"/>
        </w:rPr>
        <w:sectPr w:rsidR="00EA3E0A">
          <w:pgSz w:w="12240" w:h="15840"/>
          <w:pgMar w:top="1440" w:right="1440" w:bottom="1440" w:left="1440" w:header="720" w:footer="720" w:gutter="0"/>
          <w:cols w:space="720"/>
          <w:docGrid w:linePitch="360"/>
        </w:sectPr>
      </w:pPr>
    </w:p>
    <w:p w14:paraId="5F7C8AFB" w14:textId="77777777" w:rsidR="00EA3E0A" w:rsidRPr="00944112" w:rsidRDefault="00E00610">
      <w:pPr>
        <w:pStyle w:val="Heading1"/>
        <w:rPr>
          <w:rFonts w:ascii="Times New Roman" w:hAnsi="Times New Roman" w:cs="Times New Roman"/>
        </w:rPr>
      </w:pPr>
      <w:r w:rsidRPr="00944112">
        <w:rPr>
          <w:rFonts w:ascii="Times New Roman" w:hAnsi="Times New Roman" w:cs="Times New Roman"/>
        </w:rPr>
        <w:lastRenderedPageBreak/>
        <w:t>Appendix References</w:t>
      </w:r>
    </w:p>
    <w:p w14:paraId="6D512765" w14:textId="77777777" w:rsidR="003E6D6C" w:rsidRPr="003E6D6C" w:rsidRDefault="00E73BFA" w:rsidP="003E6D6C">
      <w:pPr>
        <w:pStyle w:val="Bibliography"/>
        <w:rPr>
          <w:rFonts w:ascii="Times New Roman" w:hAnsi="Times New Roman" w:cs="Times New Roman"/>
        </w:rPr>
      </w:pPr>
      <w:r w:rsidRPr="00944112">
        <w:fldChar w:fldCharType="begin"/>
      </w:r>
      <w:r w:rsidRPr="00944112">
        <w:instrText xml:space="preserve"> ADDIN ZOTERO_BIBL {"uncited":[],"omitted":[],"custom":[]} CSL_BIBLIOGRAPHY </w:instrText>
      </w:r>
      <w:r w:rsidRPr="00944112">
        <w:fldChar w:fldCharType="separate"/>
      </w:r>
      <w:r w:rsidR="003E6D6C" w:rsidRPr="003E6D6C">
        <w:rPr>
          <w:rFonts w:ascii="Times New Roman" w:hAnsi="Times New Roman" w:cs="Times New Roman"/>
        </w:rPr>
        <w:t>1.</w:t>
      </w:r>
      <w:r w:rsidR="003E6D6C" w:rsidRPr="003E6D6C">
        <w:rPr>
          <w:rFonts w:ascii="Times New Roman" w:hAnsi="Times New Roman" w:cs="Times New Roman"/>
        </w:rPr>
        <w:tab/>
        <w:t xml:space="preserve">Hoang TT, Qi C, Paul KC, et al. Epigenome-Wide DNA Methylation and Pesticide Use in the Agricultural Lung Health Study. </w:t>
      </w:r>
      <w:r w:rsidR="003E6D6C" w:rsidRPr="003E6D6C">
        <w:rPr>
          <w:rFonts w:ascii="Times New Roman" w:hAnsi="Times New Roman" w:cs="Times New Roman"/>
          <w:i/>
          <w:iCs/>
        </w:rPr>
        <w:t>Environ Health Perspect</w:t>
      </w:r>
      <w:r w:rsidR="003E6D6C" w:rsidRPr="003E6D6C">
        <w:rPr>
          <w:rFonts w:ascii="Times New Roman" w:hAnsi="Times New Roman" w:cs="Times New Roman"/>
        </w:rPr>
        <w:t>. 2021;129(9):97008. doi:10.1289/EHP8928</w:t>
      </w:r>
    </w:p>
    <w:p w14:paraId="5D612E33" w14:textId="77777777" w:rsidR="003E6D6C" w:rsidRPr="003E6D6C" w:rsidRDefault="003E6D6C" w:rsidP="003E6D6C">
      <w:pPr>
        <w:pStyle w:val="Bibliography"/>
        <w:rPr>
          <w:rFonts w:ascii="Times New Roman" w:hAnsi="Times New Roman" w:cs="Times New Roman"/>
        </w:rPr>
      </w:pPr>
      <w:r w:rsidRPr="003E6D6C">
        <w:rPr>
          <w:rFonts w:ascii="Times New Roman" w:hAnsi="Times New Roman" w:cs="Times New Roman"/>
        </w:rPr>
        <w:t>2.</w:t>
      </w:r>
      <w:r w:rsidRPr="003E6D6C">
        <w:rPr>
          <w:rFonts w:ascii="Times New Roman" w:hAnsi="Times New Roman" w:cs="Times New Roman"/>
        </w:rPr>
        <w:tab/>
        <w:t xml:space="preserve">Johnson WE, Li C, Rabinovic A. Adjusting batch effects in microarray expression data using empirical Bayes methods. </w:t>
      </w:r>
      <w:r w:rsidRPr="003E6D6C">
        <w:rPr>
          <w:rFonts w:ascii="Times New Roman" w:hAnsi="Times New Roman" w:cs="Times New Roman"/>
          <w:i/>
          <w:iCs/>
        </w:rPr>
        <w:t>Biostatistics</w:t>
      </w:r>
      <w:r w:rsidRPr="003E6D6C">
        <w:rPr>
          <w:rFonts w:ascii="Times New Roman" w:hAnsi="Times New Roman" w:cs="Times New Roman"/>
        </w:rPr>
        <w:t>. 2007;8(1):118-127. doi:10.1093/biostatistics/kxj037</w:t>
      </w:r>
    </w:p>
    <w:p w14:paraId="74363291" w14:textId="77777777" w:rsidR="003E6D6C" w:rsidRPr="003E6D6C" w:rsidRDefault="003E6D6C" w:rsidP="003E6D6C">
      <w:pPr>
        <w:pStyle w:val="Bibliography"/>
        <w:rPr>
          <w:rFonts w:ascii="Times New Roman" w:hAnsi="Times New Roman" w:cs="Times New Roman"/>
        </w:rPr>
      </w:pPr>
      <w:r w:rsidRPr="003E6D6C">
        <w:rPr>
          <w:rFonts w:ascii="Times New Roman" w:hAnsi="Times New Roman" w:cs="Times New Roman"/>
        </w:rPr>
        <w:t>3.</w:t>
      </w:r>
      <w:r w:rsidRPr="003E6D6C">
        <w:rPr>
          <w:rFonts w:ascii="Times New Roman" w:hAnsi="Times New Roman" w:cs="Times New Roman"/>
        </w:rPr>
        <w:tab/>
        <w:t>Suderman M, Battram T. ewaff. http://github.com/perishky/ewaff</w:t>
      </w:r>
    </w:p>
    <w:p w14:paraId="5E3ECEEC" w14:textId="77777777" w:rsidR="003E6D6C" w:rsidRPr="003E6D6C" w:rsidRDefault="003E6D6C" w:rsidP="003E6D6C">
      <w:pPr>
        <w:pStyle w:val="Bibliography"/>
        <w:rPr>
          <w:rFonts w:ascii="Times New Roman" w:hAnsi="Times New Roman" w:cs="Times New Roman"/>
        </w:rPr>
      </w:pPr>
      <w:r w:rsidRPr="003E6D6C">
        <w:rPr>
          <w:rFonts w:ascii="Times New Roman" w:hAnsi="Times New Roman" w:cs="Times New Roman"/>
        </w:rPr>
        <w:t>4.</w:t>
      </w:r>
      <w:r w:rsidRPr="003E6D6C">
        <w:rPr>
          <w:rFonts w:ascii="Times New Roman" w:hAnsi="Times New Roman" w:cs="Times New Roman"/>
        </w:rPr>
        <w:tab/>
        <w:t xml:space="preserve">Houseman EA, Accomando WP, Koestler DC, et al. DNA methylation arrays as surrogate measures of cell mixture distribution. </w:t>
      </w:r>
      <w:r w:rsidRPr="003E6D6C">
        <w:rPr>
          <w:rFonts w:ascii="Times New Roman" w:hAnsi="Times New Roman" w:cs="Times New Roman"/>
          <w:i/>
          <w:iCs/>
        </w:rPr>
        <w:t>BMC Bioinformatics</w:t>
      </w:r>
      <w:r w:rsidRPr="003E6D6C">
        <w:rPr>
          <w:rFonts w:ascii="Times New Roman" w:hAnsi="Times New Roman" w:cs="Times New Roman"/>
        </w:rPr>
        <w:t>. 2012;13(1). doi:10.1186/1471-2105-13-86</w:t>
      </w:r>
    </w:p>
    <w:p w14:paraId="2A952374" w14:textId="77777777" w:rsidR="003E6D6C" w:rsidRPr="003E6D6C" w:rsidRDefault="003E6D6C" w:rsidP="003E6D6C">
      <w:pPr>
        <w:pStyle w:val="Bibliography"/>
        <w:rPr>
          <w:rFonts w:ascii="Times New Roman" w:hAnsi="Times New Roman" w:cs="Times New Roman"/>
        </w:rPr>
      </w:pPr>
      <w:r w:rsidRPr="003E6D6C">
        <w:rPr>
          <w:rFonts w:ascii="Times New Roman" w:hAnsi="Times New Roman" w:cs="Times New Roman"/>
        </w:rPr>
        <w:t>5.</w:t>
      </w:r>
      <w:r w:rsidRPr="003E6D6C">
        <w:rPr>
          <w:rFonts w:ascii="Times New Roman" w:hAnsi="Times New Roman" w:cs="Times New Roman"/>
        </w:rPr>
        <w:tab/>
        <w:t xml:space="preserve">Reinius LE, Acevedo N, Joerink M, et al. Differential DNA methylation in purified human blood cells: implications for cell lineage and studies on disease susceptibility. </w:t>
      </w:r>
      <w:r w:rsidRPr="003E6D6C">
        <w:rPr>
          <w:rFonts w:ascii="Times New Roman" w:hAnsi="Times New Roman" w:cs="Times New Roman"/>
          <w:i/>
          <w:iCs/>
        </w:rPr>
        <w:t>PLoS One</w:t>
      </w:r>
      <w:r w:rsidRPr="003E6D6C">
        <w:rPr>
          <w:rFonts w:ascii="Times New Roman" w:hAnsi="Times New Roman" w:cs="Times New Roman"/>
        </w:rPr>
        <w:t>. 2012;7(7):e41361. doi:10.1371/journal.pone.0041361</w:t>
      </w:r>
    </w:p>
    <w:p w14:paraId="367DEC50" w14:textId="77777777" w:rsidR="003E6D6C" w:rsidRPr="003E6D6C" w:rsidRDefault="003E6D6C" w:rsidP="003E6D6C">
      <w:pPr>
        <w:pStyle w:val="Bibliography"/>
        <w:rPr>
          <w:rFonts w:ascii="Times New Roman" w:hAnsi="Times New Roman" w:cs="Times New Roman"/>
        </w:rPr>
      </w:pPr>
      <w:r w:rsidRPr="003E6D6C">
        <w:rPr>
          <w:rFonts w:ascii="Times New Roman" w:hAnsi="Times New Roman" w:cs="Times New Roman"/>
        </w:rPr>
        <w:t>6.</w:t>
      </w:r>
      <w:r w:rsidRPr="003E6D6C">
        <w:rPr>
          <w:rFonts w:ascii="Times New Roman" w:hAnsi="Times New Roman" w:cs="Times New Roman"/>
        </w:rPr>
        <w:tab/>
        <w:t xml:space="preserve">Holle R, Happich M, Löwel H, Wichmann HE. KORA - A research platform for population based health research. </w:t>
      </w:r>
      <w:r w:rsidRPr="003E6D6C">
        <w:rPr>
          <w:rFonts w:ascii="Times New Roman" w:hAnsi="Times New Roman" w:cs="Times New Roman"/>
          <w:i/>
          <w:iCs/>
        </w:rPr>
        <w:t>Gesundheitswesen</w:t>
      </w:r>
      <w:r w:rsidRPr="003E6D6C">
        <w:rPr>
          <w:rFonts w:ascii="Times New Roman" w:hAnsi="Times New Roman" w:cs="Times New Roman"/>
        </w:rPr>
        <w:t>. 2005;67(SUPPL. 1). doi:10.1055/s-2005-858235</w:t>
      </w:r>
    </w:p>
    <w:p w14:paraId="17DF845E" w14:textId="77777777" w:rsidR="003E6D6C" w:rsidRPr="003E6D6C" w:rsidRDefault="003E6D6C" w:rsidP="003E6D6C">
      <w:pPr>
        <w:pStyle w:val="Bibliography"/>
        <w:rPr>
          <w:rFonts w:ascii="Times New Roman" w:hAnsi="Times New Roman" w:cs="Times New Roman"/>
        </w:rPr>
      </w:pPr>
      <w:r w:rsidRPr="003E6D6C">
        <w:rPr>
          <w:rFonts w:ascii="Times New Roman" w:hAnsi="Times New Roman" w:cs="Times New Roman"/>
        </w:rPr>
        <w:t>7.</w:t>
      </w:r>
      <w:r w:rsidRPr="003E6D6C">
        <w:rPr>
          <w:rFonts w:ascii="Times New Roman" w:hAnsi="Times New Roman" w:cs="Times New Roman"/>
        </w:rPr>
        <w:tab/>
        <w:t xml:space="preserve">Bibikova M, Barnes B, Tsan C, et al. High density DNA methylation array with single CpG site resolution. </w:t>
      </w:r>
      <w:r w:rsidRPr="003E6D6C">
        <w:rPr>
          <w:rFonts w:ascii="Times New Roman" w:hAnsi="Times New Roman" w:cs="Times New Roman"/>
          <w:i/>
          <w:iCs/>
        </w:rPr>
        <w:t>Genomics</w:t>
      </w:r>
      <w:r w:rsidRPr="003E6D6C">
        <w:rPr>
          <w:rFonts w:ascii="Times New Roman" w:hAnsi="Times New Roman" w:cs="Times New Roman"/>
        </w:rPr>
        <w:t>. 2011;98(4). doi:10.1016/j.ygeno.2011.07.007</w:t>
      </w:r>
    </w:p>
    <w:p w14:paraId="74E5D2AD" w14:textId="77777777" w:rsidR="003E6D6C" w:rsidRPr="003E6D6C" w:rsidRDefault="003E6D6C" w:rsidP="003E6D6C">
      <w:pPr>
        <w:pStyle w:val="Bibliography"/>
        <w:rPr>
          <w:rFonts w:ascii="Times New Roman" w:hAnsi="Times New Roman" w:cs="Times New Roman"/>
        </w:rPr>
      </w:pPr>
      <w:r w:rsidRPr="003E6D6C">
        <w:rPr>
          <w:rFonts w:ascii="Times New Roman" w:hAnsi="Times New Roman" w:cs="Times New Roman"/>
        </w:rPr>
        <w:t>8.</w:t>
      </w:r>
      <w:r w:rsidRPr="003E6D6C">
        <w:rPr>
          <w:rFonts w:ascii="Times New Roman" w:hAnsi="Times New Roman" w:cs="Times New Roman"/>
        </w:rPr>
        <w:tab/>
        <w:t xml:space="preserve">Zeilinger S, Kühnel B, Klopp N, et al. Tobacco Smoking Leads to Extensive Genome-Wide Changes in DNA Methylation. </w:t>
      </w:r>
      <w:r w:rsidRPr="003E6D6C">
        <w:rPr>
          <w:rFonts w:ascii="Times New Roman" w:hAnsi="Times New Roman" w:cs="Times New Roman"/>
          <w:i/>
          <w:iCs/>
        </w:rPr>
        <w:t>PLoS ONE</w:t>
      </w:r>
      <w:r w:rsidRPr="003E6D6C">
        <w:rPr>
          <w:rFonts w:ascii="Times New Roman" w:hAnsi="Times New Roman" w:cs="Times New Roman"/>
        </w:rPr>
        <w:t>. 2013;8(5). doi:10.1371/journal.pone.0063812</w:t>
      </w:r>
    </w:p>
    <w:p w14:paraId="2FD03075" w14:textId="77777777" w:rsidR="003E6D6C" w:rsidRPr="003E6D6C" w:rsidRDefault="003E6D6C" w:rsidP="003E6D6C">
      <w:pPr>
        <w:pStyle w:val="Bibliography"/>
        <w:rPr>
          <w:rFonts w:ascii="Times New Roman" w:hAnsi="Times New Roman" w:cs="Times New Roman"/>
        </w:rPr>
      </w:pPr>
      <w:r w:rsidRPr="003E6D6C">
        <w:rPr>
          <w:rFonts w:ascii="Times New Roman" w:hAnsi="Times New Roman" w:cs="Times New Roman"/>
        </w:rPr>
        <w:t>9.</w:t>
      </w:r>
      <w:r w:rsidRPr="003E6D6C">
        <w:rPr>
          <w:rFonts w:ascii="Times New Roman" w:hAnsi="Times New Roman" w:cs="Times New Roman"/>
        </w:rPr>
        <w:tab/>
        <w:t xml:space="preserve">Aryee MJ, Jaffe AE, Corrada-Bravo H, et al. Minfi: A flexible and comprehensive Bioconductor package for the analysis of Infinium DNA methylation microarrays. </w:t>
      </w:r>
      <w:r w:rsidRPr="003E6D6C">
        <w:rPr>
          <w:rFonts w:ascii="Times New Roman" w:hAnsi="Times New Roman" w:cs="Times New Roman"/>
          <w:i/>
          <w:iCs/>
        </w:rPr>
        <w:t>Bioinformatics</w:t>
      </w:r>
      <w:r w:rsidRPr="003E6D6C">
        <w:rPr>
          <w:rFonts w:ascii="Times New Roman" w:hAnsi="Times New Roman" w:cs="Times New Roman"/>
        </w:rPr>
        <w:t>. 2014;30(10). doi:10.1093/bioinformatics/btu049</w:t>
      </w:r>
    </w:p>
    <w:p w14:paraId="60DFCAD9" w14:textId="77777777" w:rsidR="003E6D6C" w:rsidRPr="003E6D6C" w:rsidRDefault="003E6D6C" w:rsidP="003E6D6C">
      <w:pPr>
        <w:pStyle w:val="Bibliography"/>
        <w:rPr>
          <w:rFonts w:ascii="Times New Roman" w:hAnsi="Times New Roman" w:cs="Times New Roman"/>
        </w:rPr>
      </w:pPr>
      <w:r w:rsidRPr="003E6D6C">
        <w:rPr>
          <w:rFonts w:ascii="Times New Roman" w:hAnsi="Times New Roman" w:cs="Times New Roman"/>
        </w:rPr>
        <w:t>10.</w:t>
      </w:r>
      <w:r w:rsidRPr="003E6D6C">
        <w:rPr>
          <w:rFonts w:ascii="Times New Roman" w:hAnsi="Times New Roman" w:cs="Times New Roman"/>
        </w:rPr>
        <w:tab/>
        <w:t xml:space="preserve">Lehne B, Drong AW, Loh M, et al. A coherent approach for analysis of the Illumina HumanMethylation450 BeadChip improves data quality and performance in epigenome-wide association studies. </w:t>
      </w:r>
      <w:r w:rsidRPr="003E6D6C">
        <w:rPr>
          <w:rFonts w:ascii="Times New Roman" w:hAnsi="Times New Roman" w:cs="Times New Roman"/>
          <w:i/>
          <w:iCs/>
        </w:rPr>
        <w:t>Genome Biology</w:t>
      </w:r>
      <w:r w:rsidRPr="003E6D6C">
        <w:rPr>
          <w:rFonts w:ascii="Times New Roman" w:hAnsi="Times New Roman" w:cs="Times New Roman"/>
        </w:rPr>
        <w:t>. 2015;16(1). doi:10.1186/s13059-015-0600-x</w:t>
      </w:r>
    </w:p>
    <w:p w14:paraId="0475D894" w14:textId="77777777" w:rsidR="003E6D6C" w:rsidRPr="003E6D6C" w:rsidRDefault="003E6D6C" w:rsidP="003E6D6C">
      <w:pPr>
        <w:pStyle w:val="Bibliography"/>
        <w:rPr>
          <w:rFonts w:ascii="Times New Roman" w:hAnsi="Times New Roman" w:cs="Times New Roman"/>
        </w:rPr>
      </w:pPr>
      <w:r w:rsidRPr="003E6D6C">
        <w:rPr>
          <w:rFonts w:ascii="Times New Roman" w:hAnsi="Times New Roman" w:cs="Times New Roman"/>
        </w:rPr>
        <w:t>11.</w:t>
      </w:r>
      <w:r w:rsidRPr="003E6D6C">
        <w:rPr>
          <w:rFonts w:ascii="Times New Roman" w:hAnsi="Times New Roman" w:cs="Times New Roman"/>
        </w:rPr>
        <w:tab/>
        <w:t xml:space="preserve">Ritchie ME, Phipson B, Wu D, et al. Limma powers differential expression analyses for RNA-sequencing and microarray studies. </w:t>
      </w:r>
      <w:r w:rsidRPr="003E6D6C">
        <w:rPr>
          <w:rFonts w:ascii="Times New Roman" w:hAnsi="Times New Roman" w:cs="Times New Roman"/>
          <w:i/>
          <w:iCs/>
        </w:rPr>
        <w:t>Nucleic Acids Research</w:t>
      </w:r>
      <w:r w:rsidRPr="003E6D6C">
        <w:rPr>
          <w:rFonts w:ascii="Times New Roman" w:hAnsi="Times New Roman" w:cs="Times New Roman"/>
        </w:rPr>
        <w:t>. 2015;43(7). doi:10.1093/nar/gkv007</w:t>
      </w:r>
    </w:p>
    <w:p w14:paraId="38024EE7" w14:textId="77777777" w:rsidR="003E6D6C" w:rsidRPr="003E6D6C" w:rsidRDefault="003E6D6C" w:rsidP="003E6D6C">
      <w:pPr>
        <w:pStyle w:val="Bibliography"/>
        <w:rPr>
          <w:rFonts w:ascii="Times New Roman" w:hAnsi="Times New Roman" w:cs="Times New Roman"/>
        </w:rPr>
      </w:pPr>
      <w:r w:rsidRPr="003E6D6C">
        <w:rPr>
          <w:rFonts w:ascii="Times New Roman" w:hAnsi="Times New Roman" w:cs="Times New Roman"/>
        </w:rPr>
        <w:t>12.</w:t>
      </w:r>
      <w:r w:rsidRPr="003E6D6C">
        <w:rPr>
          <w:rFonts w:ascii="Times New Roman" w:hAnsi="Times New Roman" w:cs="Times New Roman"/>
        </w:rPr>
        <w:tab/>
        <w:t xml:space="preserve">Ruf E, Baumert J, Meisinger C, Döring A, Ladwig KH, for the MONICA/KORA investigators. Are psychosocial stressors associated with the relationship of alcohol consumption and all-cause mortality? </w:t>
      </w:r>
      <w:r w:rsidRPr="003E6D6C">
        <w:rPr>
          <w:rFonts w:ascii="Times New Roman" w:hAnsi="Times New Roman" w:cs="Times New Roman"/>
          <w:i/>
          <w:iCs/>
        </w:rPr>
        <w:t>BMC Public Health</w:t>
      </w:r>
      <w:r w:rsidRPr="003E6D6C">
        <w:rPr>
          <w:rFonts w:ascii="Times New Roman" w:hAnsi="Times New Roman" w:cs="Times New Roman"/>
        </w:rPr>
        <w:t>. 2014;14(1):312. doi:10.1186/1471-2458-14-312</w:t>
      </w:r>
    </w:p>
    <w:p w14:paraId="4B99C30B" w14:textId="77777777" w:rsidR="003E6D6C" w:rsidRPr="003E6D6C" w:rsidRDefault="003E6D6C" w:rsidP="003E6D6C">
      <w:pPr>
        <w:pStyle w:val="Bibliography"/>
        <w:rPr>
          <w:rFonts w:ascii="Times New Roman" w:hAnsi="Times New Roman" w:cs="Times New Roman"/>
        </w:rPr>
      </w:pPr>
      <w:r w:rsidRPr="003E6D6C">
        <w:rPr>
          <w:rFonts w:ascii="Times New Roman" w:hAnsi="Times New Roman" w:cs="Times New Roman"/>
        </w:rPr>
        <w:t>13.</w:t>
      </w:r>
      <w:r w:rsidRPr="003E6D6C">
        <w:rPr>
          <w:rFonts w:ascii="Times New Roman" w:hAnsi="Times New Roman" w:cs="Times New Roman"/>
        </w:rPr>
        <w:tab/>
        <w:t xml:space="preserve">Kannel WB, Feinleib M, Mcnamara PM, Garrison RJ, Castelli WP. An investigation of coronary heart disease in families: The framingham offspring study. </w:t>
      </w:r>
      <w:r w:rsidRPr="003E6D6C">
        <w:rPr>
          <w:rFonts w:ascii="Times New Roman" w:hAnsi="Times New Roman" w:cs="Times New Roman"/>
          <w:i/>
          <w:iCs/>
        </w:rPr>
        <w:t>American Journal of Epidemiology</w:t>
      </w:r>
      <w:r w:rsidRPr="003E6D6C">
        <w:rPr>
          <w:rFonts w:ascii="Times New Roman" w:hAnsi="Times New Roman" w:cs="Times New Roman"/>
        </w:rPr>
        <w:t>. 1979;110(3). doi:10.1093/oxfordjournals.aje.a112813</w:t>
      </w:r>
    </w:p>
    <w:p w14:paraId="64DC4FA4" w14:textId="77777777" w:rsidR="003E6D6C" w:rsidRPr="003E6D6C" w:rsidRDefault="003E6D6C" w:rsidP="003E6D6C">
      <w:pPr>
        <w:pStyle w:val="Bibliography"/>
        <w:rPr>
          <w:rFonts w:ascii="Times New Roman" w:hAnsi="Times New Roman" w:cs="Times New Roman"/>
        </w:rPr>
      </w:pPr>
      <w:r w:rsidRPr="003E6D6C">
        <w:rPr>
          <w:rFonts w:ascii="Times New Roman" w:hAnsi="Times New Roman" w:cs="Times New Roman"/>
        </w:rPr>
        <w:t>14.</w:t>
      </w:r>
      <w:r w:rsidRPr="003E6D6C">
        <w:rPr>
          <w:rFonts w:ascii="Times New Roman" w:hAnsi="Times New Roman" w:cs="Times New Roman"/>
        </w:rPr>
        <w:tab/>
        <w:t xml:space="preserve">Splansky GL, Corey D, Yang Q, et al. The Third Generation Cohort of the National Heart, Lung, and Blood Institute’s Framingham Heart Study: Design, recruitment, and initial examination. </w:t>
      </w:r>
      <w:r w:rsidRPr="003E6D6C">
        <w:rPr>
          <w:rFonts w:ascii="Times New Roman" w:hAnsi="Times New Roman" w:cs="Times New Roman"/>
          <w:i/>
          <w:iCs/>
        </w:rPr>
        <w:t>American Journal of Epidemiology</w:t>
      </w:r>
      <w:r w:rsidRPr="003E6D6C">
        <w:rPr>
          <w:rFonts w:ascii="Times New Roman" w:hAnsi="Times New Roman" w:cs="Times New Roman"/>
        </w:rPr>
        <w:t>. 2007;165(11). doi:10.1093/aje/kwm021</w:t>
      </w:r>
    </w:p>
    <w:p w14:paraId="72E82DD4" w14:textId="77777777" w:rsidR="003E6D6C" w:rsidRPr="003E6D6C" w:rsidRDefault="003E6D6C" w:rsidP="003E6D6C">
      <w:pPr>
        <w:pStyle w:val="Bibliography"/>
        <w:rPr>
          <w:rFonts w:ascii="Times New Roman" w:hAnsi="Times New Roman" w:cs="Times New Roman"/>
        </w:rPr>
      </w:pPr>
      <w:r w:rsidRPr="003E6D6C">
        <w:rPr>
          <w:rFonts w:ascii="Times New Roman" w:hAnsi="Times New Roman" w:cs="Times New Roman"/>
        </w:rPr>
        <w:lastRenderedPageBreak/>
        <w:t>15.</w:t>
      </w:r>
      <w:r w:rsidRPr="003E6D6C">
        <w:rPr>
          <w:rFonts w:ascii="Times New Roman" w:hAnsi="Times New Roman" w:cs="Times New Roman"/>
        </w:rPr>
        <w:tab/>
        <w:t xml:space="preserve">Pidsley R, Y Wong CC, Volta M, Lunnon K, Mill J, Schalkwyk LC. A data-driven approach to preprocessing Illumina 450K methylation array data. </w:t>
      </w:r>
      <w:r w:rsidRPr="003E6D6C">
        <w:rPr>
          <w:rFonts w:ascii="Times New Roman" w:hAnsi="Times New Roman" w:cs="Times New Roman"/>
          <w:i/>
          <w:iCs/>
        </w:rPr>
        <w:t>BMC Genomics</w:t>
      </w:r>
      <w:r w:rsidRPr="003E6D6C">
        <w:rPr>
          <w:rFonts w:ascii="Times New Roman" w:hAnsi="Times New Roman" w:cs="Times New Roman"/>
        </w:rPr>
        <w:t>. 2013;14(1). doi:10.1186/1471-2164-14-293</w:t>
      </w:r>
    </w:p>
    <w:p w14:paraId="50330365" w14:textId="77777777" w:rsidR="003E6D6C" w:rsidRPr="003E6D6C" w:rsidRDefault="003E6D6C" w:rsidP="003E6D6C">
      <w:pPr>
        <w:pStyle w:val="Bibliography"/>
        <w:rPr>
          <w:rFonts w:ascii="Times New Roman" w:hAnsi="Times New Roman" w:cs="Times New Roman"/>
        </w:rPr>
      </w:pPr>
      <w:r w:rsidRPr="003E6D6C">
        <w:rPr>
          <w:rFonts w:ascii="Times New Roman" w:hAnsi="Times New Roman" w:cs="Times New Roman"/>
        </w:rPr>
        <w:t>16.</w:t>
      </w:r>
      <w:r w:rsidRPr="003E6D6C">
        <w:rPr>
          <w:rFonts w:ascii="Times New Roman" w:hAnsi="Times New Roman" w:cs="Times New Roman"/>
        </w:rPr>
        <w:tab/>
        <w:t xml:space="preserve">Liu C, Marioni RE, Hedman AK, et al. A DNA methylation biomarker of alcohol consumption. </w:t>
      </w:r>
      <w:r w:rsidRPr="003E6D6C">
        <w:rPr>
          <w:rFonts w:ascii="Times New Roman" w:hAnsi="Times New Roman" w:cs="Times New Roman"/>
          <w:i/>
          <w:iCs/>
        </w:rPr>
        <w:t>Molecular Psychiatry</w:t>
      </w:r>
      <w:r w:rsidRPr="003E6D6C">
        <w:rPr>
          <w:rFonts w:ascii="Times New Roman" w:hAnsi="Times New Roman" w:cs="Times New Roman"/>
        </w:rPr>
        <w:t>. 2018;23(2). doi:10.1038/mp.2016.192</w:t>
      </w:r>
    </w:p>
    <w:p w14:paraId="50160A63" w14:textId="77777777" w:rsidR="003E6D6C" w:rsidRPr="003E6D6C" w:rsidRDefault="003E6D6C" w:rsidP="003E6D6C">
      <w:pPr>
        <w:pStyle w:val="Bibliography"/>
        <w:rPr>
          <w:rFonts w:ascii="Times New Roman" w:hAnsi="Times New Roman" w:cs="Times New Roman"/>
        </w:rPr>
      </w:pPr>
      <w:r w:rsidRPr="003E6D6C">
        <w:rPr>
          <w:rFonts w:ascii="Times New Roman" w:hAnsi="Times New Roman" w:cs="Times New Roman"/>
        </w:rPr>
        <w:t>17.</w:t>
      </w:r>
      <w:r w:rsidRPr="003E6D6C">
        <w:rPr>
          <w:rFonts w:ascii="Times New Roman" w:hAnsi="Times New Roman" w:cs="Times New Roman"/>
        </w:rPr>
        <w:tab/>
        <w:t xml:space="preserve">Sun X, Ho JE, Gao H, et al. Associations of Alcohol Consumption with Cardiovascular Disease-Related Proteomic Biomarkers: The Framingham Heart Study. </w:t>
      </w:r>
      <w:r w:rsidRPr="003E6D6C">
        <w:rPr>
          <w:rFonts w:ascii="Times New Roman" w:hAnsi="Times New Roman" w:cs="Times New Roman"/>
          <w:i/>
          <w:iCs/>
        </w:rPr>
        <w:t>The Journal of Nutrition</w:t>
      </w:r>
      <w:r w:rsidRPr="003E6D6C">
        <w:rPr>
          <w:rFonts w:ascii="Times New Roman" w:hAnsi="Times New Roman" w:cs="Times New Roman"/>
        </w:rPr>
        <w:t>. 2021;151(9):2574-2582. doi:10.1093/jn/nxab186</w:t>
      </w:r>
    </w:p>
    <w:p w14:paraId="789969DA" w14:textId="77777777" w:rsidR="003E6D6C" w:rsidRPr="003E6D6C" w:rsidRDefault="003E6D6C" w:rsidP="003E6D6C">
      <w:pPr>
        <w:pStyle w:val="Bibliography"/>
        <w:rPr>
          <w:rFonts w:ascii="Times New Roman" w:hAnsi="Times New Roman" w:cs="Times New Roman"/>
        </w:rPr>
      </w:pPr>
      <w:r w:rsidRPr="003E6D6C">
        <w:rPr>
          <w:rFonts w:ascii="Times New Roman" w:hAnsi="Times New Roman" w:cs="Times New Roman"/>
        </w:rPr>
        <w:t>18.</w:t>
      </w:r>
      <w:r w:rsidRPr="003E6D6C">
        <w:rPr>
          <w:rFonts w:ascii="Times New Roman" w:hAnsi="Times New Roman" w:cs="Times New Roman"/>
        </w:rPr>
        <w:tab/>
        <w:t xml:space="preserve">Daniels PR, Kardia SLR, Hanis CL, et al. Familial aggregation of hypertension treatment and control in the Genetic Epidemiology Network of Arteriopathy (GENOA) study. </w:t>
      </w:r>
      <w:r w:rsidRPr="003E6D6C">
        <w:rPr>
          <w:rFonts w:ascii="Times New Roman" w:hAnsi="Times New Roman" w:cs="Times New Roman"/>
          <w:i/>
          <w:iCs/>
        </w:rPr>
        <w:t>American Journal of Medicine</w:t>
      </w:r>
      <w:r w:rsidRPr="003E6D6C">
        <w:rPr>
          <w:rFonts w:ascii="Times New Roman" w:hAnsi="Times New Roman" w:cs="Times New Roman"/>
        </w:rPr>
        <w:t>. 2004;116(10). doi:10.1016/j.amjmed.2003.12.032</w:t>
      </w:r>
    </w:p>
    <w:p w14:paraId="307ED3FF" w14:textId="77777777" w:rsidR="003E6D6C" w:rsidRPr="003E6D6C" w:rsidRDefault="003E6D6C" w:rsidP="003E6D6C">
      <w:pPr>
        <w:pStyle w:val="Bibliography"/>
        <w:rPr>
          <w:rFonts w:ascii="Times New Roman" w:hAnsi="Times New Roman" w:cs="Times New Roman"/>
        </w:rPr>
      </w:pPr>
      <w:r w:rsidRPr="003E6D6C">
        <w:rPr>
          <w:rFonts w:ascii="Times New Roman" w:hAnsi="Times New Roman" w:cs="Times New Roman"/>
        </w:rPr>
        <w:t>19.</w:t>
      </w:r>
      <w:r w:rsidRPr="003E6D6C">
        <w:rPr>
          <w:rFonts w:ascii="Times New Roman" w:hAnsi="Times New Roman" w:cs="Times New Roman"/>
        </w:rPr>
        <w:tab/>
        <w:t xml:space="preserve">Fortin JP, Fertig E, Hansen K. shinyMethyl: Interactive quality control of Illumina 450k DNA methylation arrays in R. </w:t>
      </w:r>
      <w:r w:rsidRPr="003E6D6C">
        <w:rPr>
          <w:rFonts w:ascii="Times New Roman" w:hAnsi="Times New Roman" w:cs="Times New Roman"/>
          <w:i/>
          <w:iCs/>
        </w:rPr>
        <w:t>F1000Research</w:t>
      </w:r>
      <w:r w:rsidRPr="003E6D6C">
        <w:rPr>
          <w:rFonts w:ascii="Times New Roman" w:hAnsi="Times New Roman" w:cs="Times New Roman"/>
        </w:rPr>
        <w:t>. 2014;3. doi:10.12688/f1000research.4680.2</w:t>
      </w:r>
    </w:p>
    <w:p w14:paraId="0C97A499" w14:textId="77777777" w:rsidR="003E6D6C" w:rsidRPr="003E6D6C" w:rsidRDefault="003E6D6C" w:rsidP="003E6D6C">
      <w:pPr>
        <w:pStyle w:val="Bibliography"/>
        <w:rPr>
          <w:rFonts w:ascii="Times New Roman" w:hAnsi="Times New Roman" w:cs="Times New Roman"/>
        </w:rPr>
      </w:pPr>
      <w:r w:rsidRPr="003E6D6C">
        <w:rPr>
          <w:rFonts w:ascii="Times New Roman" w:hAnsi="Times New Roman" w:cs="Times New Roman"/>
        </w:rPr>
        <w:t>20.</w:t>
      </w:r>
      <w:r w:rsidRPr="003E6D6C">
        <w:rPr>
          <w:rFonts w:ascii="Times New Roman" w:hAnsi="Times New Roman" w:cs="Times New Roman"/>
        </w:rPr>
        <w:tab/>
        <w:t xml:space="preserve">Xu Z, Niu L, Li L, Taylor JA. ENmix: A novel background correction method for Illumina HumanMethylation450 BeadChip. </w:t>
      </w:r>
      <w:r w:rsidRPr="003E6D6C">
        <w:rPr>
          <w:rFonts w:ascii="Times New Roman" w:hAnsi="Times New Roman" w:cs="Times New Roman"/>
          <w:i/>
          <w:iCs/>
        </w:rPr>
        <w:t>Nucleic Acids Research</w:t>
      </w:r>
      <w:r w:rsidRPr="003E6D6C">
        <w:rPr>
          <w:rFonts w:ascii="Times New Roman" w:hAnsi="Times New Roman" w:cs="Times New Roman"/>
        </w:rPr>
        <w:t>. 2016;44(3). doi:10.1093/nar/gkv907</w:t>
      </w:r>
    </w:p>
    <w:p w14:paraId="30923595" w14:textId="77777777" w:rsidR="003E6D6C" w:rsidRPr="003E6D6C" w:rsidRDefault="003E6D6C" w:rsidP="003E6D6C">
      <w:pPr>
        <w:pStyle w:val="Bibliography"/>
        <w:rPr>
          <w:rFonts w:ascii="Times New Roman" w:hAnsi="Times New Roman" w:cs="Times New Roman"/>
        </w:rPr>
      </w:pPr>
      <w:r w:rsidRPr="003E6D6C">
        <w:rPr>
          <w:rFonts w:ascii="Times New Roman" w:hAnsi="Times New Roman" w:cs="Times New Roman"/>
        </w:rPr>
        <w:t>21.</w:t>
      </w:r>
      <w:r w:rsidRPr="003E6D6C">
        <w:rPr>
          <w:rFonts w:ascii="Times New Roman" w:hAnsi="Times New Roman" w:cs="Times New Roman"/>
        </w:rPr>
        <w:tab/>
        <w:t xml:space="preserve">Fortin JP, Triche TJ, Hansen KD. Preprocessing, normalization and integration of the Illumina HumanMethylationEPIC array with minfi. </w:t>
      </w:r>
      <w:r w:rsidRPr="003E6D6C">
        <w:rPr>
          <w:rFonts w:ascii="Times New Roman" w:hAnsi="Times New Roman" w:cs="Times New Roman"/>
          <w:i/>
          <w:iCs/>
        </w:rPr>
        <w:t>Bioinformatics</w:t>
      </w:r>
      <w:r w:rsidRPr="003E6D6C">
        <w:rPr>
          <w:rFonts w:ascii="Times New Roman" w:hAnsi="Times New Roman" w:cs="Times New Roman"/>
        </w:rPr>
        <w:t>. 2017;33(4). doi:10.1093/bioinformatics/btw691</w:t>
      </w:r>
    </w:p>
    <w:p w14:paraId="741E7137" w14:textId="77777777" w:rsidR="003E6D6C" w:rsidRPr="003E6D6C" w:rsidRDefault="003E6D6C" w:rsidP="003E6D6C">
      <w:pPr>
        <w:pStyle w:val="Bibliography"/>
        <w:rPr>
          <w:rFonts w:ascii="Times New Roman" w:hAnsi="Times New Roman" w:cs="Times New Roman"/>
        </w:rPr>
      </w:pPr>
      <w:r w:rsidRPr="003E6D6C">
        <w:rPr>
          <w:rFonts w:ascii="Times New Roman" w:hAnsi="Times New Roman" w:cs="Times New Roman"/>
        </w:rPr>
        <w:t>22.</w:t>
      </w:r>
      <w:r w:rsidRPr="003E6D6C">
        <w:rPr>
          <w:rFonts w:ascii="Times New Roman" w:hAnsi="Times New Roman" w:cs="Times New Roman"/>
        </w:rPr>
        <w:tab/>
        <w:t xml:space="preserve">Niu L, Xu Z, Taylor JA. RCP: A novel probe design bias correction method for Illumina Methylation BeadChip. In: </w:t>
      </w:r>
      <w:r w:rsidRPr="003E6D6C">
        <w:rPr>
          <w:rFonts w:ascii="Times New Roman" w:hAnsi="Times New Roman" w:cs="Times New Roman"/>
          <w:i/>
          <w:iCs/>
        </w:rPr>
        <w:t>Bioinformatics</w:t>
      </w:r>
      <w:r w:rsidRPr="003E6D6C">
        <w:rPr>
          <w:rFonts w:ascii="Times New Roman" w:hAnsi="Times New Roman" w:cs="Times New Roman"/>
        </w:rPr>
        <w:t>. Vol 32. ; 2016. doi:10.1093/bioinformatics/btw285</w:t>
      </w:r>
    </w:p>
    <w:p w14:paraId="4EEA2DE3" w14:textId="77777777" w:rsidR="003E6D6C" w:rsidRPr="003E6D6C" w:rsidRDefault="003E6D6C" w:rsidP="003E6D6C">
      <w:pPr>
        <w:pStyle w:val="Bibliography"/>
        <w:rPr>
          <w:rFonts w:ascii="Times New Roman" w:hAnsi="Times New Roman" w:cs="Times New Roman"/>
        </w:rPr>
      </w:pPr>
      <w:r w:rsidRPr="003E6D6C">
        <w:rPr>
          <w:rFonts w:ascii="Times New Roman" w:hAnsi="Times New Roman" w:cs="Times New Roman"/>
        </w:rPr>
        <w:t>23.</w:t>
      </w:r>
      <w:r w:rsidRPr="003E6D6C">
        <w:rPr>
          <w:rFonts w:ascii="Times New Roman" w:hAnsi="Times New Roman" w:cs="Times New Roman"/>
        </w:rPr>
        <w:tab/>
        <w:t xml:space="preserve">Zhao W, Ammous F, Ratliff S, et al. Education and Lifestyle Factors Are Associated with DNA Methylation Clocks in Older African Americans. </w:t>
      </w:r>
      <w:r w:rsidRPr="003E6D6C">
        <w:rPr>
          <w:rFonts w:ascii="Times New Roman" w:hAnsi="Times New Roman" w:cs="Times New Roman"/>
          <w:i/>
          <w:iCs/>
        </w:rPr>
        <w:t>IJERPH</w:t>
      </w:r>
      <w:r w:rsidRPr="003E6D6C">
        <w:rPr>
          <w:rFonts w:ascii="Times New Roman" w:hAnsi="Times New Roman" w:cs="Times New Roman"/>
        </w:rPr>
        <w:t>. 2019;16(17):3141. doi:10.3390/ijerph16173141</w:t>
      </w:r>
    </w:p>
    <w:p w14:paraId="08EF2E51" w14:textId="77777777" w:rsidR="003E6D6C" w:rsidRPr="003E6D6C" w:rsidRDefault="003E6D6C" w:rsidP="003E6D6C">
      <w:pPr>
        <w:pStyle w:val="Bibliography"/>
        <w:rPr>
          <w:rFonts w:ascii="Times New Roman" w:hAnsi="Times New Roman" w:cs="Times New Roman"/>
        </w:rPr>
      </w:pPr>
      <w:r w:rsidRPr="003E6D6C">
        <w:rPr>
          <w:rFonts w:ascii="Times New Roman" w:hAnsi="Times New Roman" w:cs="Times New Roman"/>
        </w:rPr>
        <w:t>24.</w:t>
      </w:r>
      <w:r w:rsidRPr="003E6D6C">
        <w:rPr>
          <w:rFonts w:ascii="Times New Roman" w:hAnsi="Times New Roman" w:cs="Times New Roman"/>
        </w:rPr>
        <w:tab/>
        <w:t xml:space="preserve">Sonnega A, Faul JD, Ofstedal MB, Langa KM, Phillips JWR, Weir DR. Cohort profile: The Health and Retirement Study (HRS). </w:t>
      </w:r>
      <w:r w:rsidRPr="003E6D6C">
        <w:rPr>
          <w:rFonts w:ascii="Times New Roman" w:hAnsi="Times New Roman" w:cs="Times New Roman"/>
          <w:i/>
          <w:iCs/>
        </w:rPr>
        <w:t>International Journal of Epidemiology</w:t>
      </w:r>
      <w:r w:rsidRPr="003E6D6C">
        <w:rPr>
          <w:rFonts w:ascii="Times New Roman" w:hAnsi="Times New Roman" w:cs="Times New Roman"/>
        </w:rPr>
        <w:t>. 2014;43(2). doi:10.1093/ije/dyu067</w:t>
      </w:r>
    </w:p>
    <w:p w14:paraId="5AD08C87" w14:textId="77777777" w:rsidR="003E6D6C" w:rsidRPr="003E6D6C" w:rsidRDefault="003E6D6C" w:rsidP="003E6D6C">
      <w:pPr>
        <w:pStyle w:val="Bibliography"/>
        <w:rPr>
          <w:rFonts w:ascii="Times New Roman" w:hAnsi="Times New Roman" w:cs="Times New Roman"/>
        </w:rPr>
      </w:pPr>
      <w:r w:rsidRPr="003E6D6C">
        <w:rPr>
          <w:rFonts w:ascii="Times New Roman" w:hAnsi="Times New Roman" w:cs="Times New Roman"/>
        </w:rPr>
        <w:t>25.</w:t>
      </w:r>
      <w:r w:rsidRPr="003E6D6C">
        <w:rPr>
          <w:rFonts w:ascii="Times New Roman" w:hAnsi="Times New Roman" w:cs="Times New Roman"/>
        </w:rPr>
        <w:tab/>
        <w:t xml:space="preserve">Keyes KM, Calvo E, Ornstein KA, et al. Alcohol Consumption in Later Life and Mortality in the United States: Results from 9 Waves of the Health and Retirement Study. </w:t>
      </w:r>
      <w:r w:rsidRPr="003E6D6C">
        <w:rPr>
          <w:rFonts w:ascii="Times New Roman" w:hAnsi="Times New Roman" w:cs="Times New Roman"/>
          <w:i/>
          <w:iCs/>
        </w:rPr>
        <w:t>Alcohol Clin Exp Res</w:t>
      </w:r>
      <w:r w:rsidRPr="003E6D6C">
        <w:rPr>
          <w:rFonts w:ascii="Times New Roman" w:hAnsi="Times New Roman" w:cs="Times New Roman"/>
        </w:rPr>
        <w:t>. 2019;43(8):1734-1746. doi:10.1111/acer.14125</w:t>
      </w:r>
    </w:p>
    <w:p w14:paraId="0DABEC3D" w14:textId="77777777" w:rsidR="003E6D6C" w:rsidRPr="003E6D6C" w:rsidRDefault="003E6D6C" w:rsidP="003E6D6C">
      <w:pPr>
        <w:pStyle w:val="Bibliography"/>
        <w:rPr>
          <w:rFonts w:ascii="Times New Roman" w:hAnsi="Times New Roman" w:cs="Times New Roman"/>
        </w:rPr>
      </w:pPr>
      <w:r w:rsidRPr="003E6D6C">
        <w:rPr>
          <w:rFonts w:ascii="Times New Roman" w:hAnsi="Times New Roman" w:cs="Times New Roman"/>
        </w:rPr>
        <w:t>26.</w:t>
      </w:r>
      <w:r w:rsidRPr="003E6D6C">
        <w:rPr>
          <w:rFonts w:ascii="Times New Roman" w:hAnsi="Times New Roman" w:cs="Times New Roman"/>
        </w:rPr>
        <w:tab/>
        <w:t xml:space="preserve">Kazibwe R, Chevli PA, Evans JK, et al. Association Between Alcohol Consumption and Ectopic Fat in the Multi-Ethnic Study of Atherosclerosis. </w:t>
      </w:r>
      <w:r w:rsidRPr="003E6D6C">
        <w:rPr>
          <w:rFonts w:ascii="Times New Roman" w:hAnsi="Times New Roman" w:cs="Times New Roman"/>
          <w:i/>
          <w:iCs/>
        </w:rPr>
        <w:t>J Am Heart Assoc</w:t>
      </w:r>
      <w:r w:rsidRPr="003E6D6C">
        <w:rPr>
          <w:rFonts w:ascii="Times New Roman" w:hAnsi="Times New Roman" w:cs="Times New Roman"/>
        </w:rPr>
        <w:t>. 2023;12(18):e030470. doi:10.1161/JAHA.123.030470</w:t>
      </w:r>
    </w:p>
    <w:p w14:paraId="1792A7CB" w14:textId="77777777" w:rsidR="003E6D6C" w:rsidRPr="003E6D6C" w:rsidRDefault="003E6D6C" w:rsidP="003E6D6C">
      <w:pPr>
        <w:pStyle w:val="Bibliography"/>
        <w:rPr>
          <w:rFonts w:ascii="Times New Roman" w:hAnsi="Times New Roman" w:cs="Times New Roman"/>
        </w:rPr>
      </w:pPr>
      <w:r w:rsidRPr="003E6D6C">
        <w:rPr>
          <w:rFonts w:ascii="Times New Roman" w:hAnsi="Times New Roman" w:cs="Times New Roman"/>
        </w:rPr>
        <w:t>27.</w:t>
      </w:r>
      <w:r w:rsidRPr="003E6D6C">
        <w:rPr>
          <w:rFonts w:ascii="Times New Roman" w:hAnsi="Times New Roman" w:cs="Times New Roman"/>
        </w:rPr>
        <w:tab/>
        <w:t xml:space="preserve">Wu MC, Kuan PF. A guide to illumina beadchip data analysis. In: </w:t>
      </w:r>
      <w:r w:rsidRPr="003E6D6C">
        <w:rPr>
          <w:rFonts w:ascii="Times New Roman" w:hAnsi="Times New Roman" w:cs="Times New Roman"/>
          <w:i/>
          <w:iCs/>
        </w:rPr>
        <w:t>Methods in Molecular Biology</w:t>
      </w:r>
      <w:r w:rsidRPr="003E6D6C">
        <w:rPr>
          <w:rFonts w:ascii="Times New Roman" w:hAnsi="Times New Roman" w:cs="Times New Roman"/>
        </w:rPr>
        <w:t>. Vol 1708. ; 2018. doi:10.1007/978-1-4939-7481-8_16</w:t>
      </w:r>
    </w:p>
    <w:p w14:paraId="703BE318" w14:textId="77777777" w:rsidR="003E6D6C" w:rsidRPr="003E6D6C" w:rsidRDefault="003E6D6C" w:rsidP="003E6D6C">
      <w:pPr>
        <w:pStyle w:val="Bibliography"/>
        <w:rPr>
          <w:rFonts w:ascii="Times New Roman" w:hAnsi="Times New Roman" w:cs="Times New Roman"/>
        </w:rPr>
      </w:pPr>
      <w:r w:rsidRPr="003E6D6C">
        <w:rPr>
          <w:rFonts w:ascii="Times New Roman" w:hAnsi="Times New Roman" w:cs="Times New Roman"/>
        </w:rPr>
        <w:t>28.</w:t>
      </w:r>
      <w:r w:rsidRPr="003E6D6C">
        <w:rPr>
          <w:rFonts w:ascii="Times New Roman" w:hAnsi="Times New Roman" w:cs="Times New Roman"/>
        </w:rPr>
        <w:tab/>
        <w:t xml:space="preserve">Nöthlings U, Hoffmann K, Bergmann MM, Boeing H. Fitting portion sizes in a self-administered food frequency questionnaire. </w:t>
      </w:r>
      <w:r w:rsidRPr="003E6D6C">
        <w:rPr>
          <w:rFonts w:ascii="Times New Roman" w:hAnsi="Times New Roman" w:cs="Times New Roman"/>
          <w:i/>
          <w:iCs/>
        </w:rPr>
        <w:t>J Nutr</w:t>
      </w:r>
      <w:r w:rsidRPr="003E6D6C">
        <w:rPr>
          <w:rFonts w:ascii="Times New Roman" w:hAnsi="Times New Roman" w:cs="Times New Roman"/>
        </w:rPr>
        <w:t>. 2007;137(12):2781-2786. doi:10.1093/jn/137.12.2781</w:t>
      </w:r>
    </w:p>
    <w:p w14:paraId="44841371" w14:textId="77777777" w:rsidR="003E6D6C" w:rsidRPr="003E6D6C" w:rsidRDefault="003E6D6C" w:rsidP="003E6D6C">
      <w:pPr>
        <w:pStyle w:val="Bibliography"/>
        <w:rPr>
          <w:rFonts w:ascii="Times New Roman" w:hAnsi="Times New Roman" w:cs="Times New Roman"/>
        </w:rPr>
      </w:pPr>
      <w:r w:rsidRPr="003E6D6C">
        <w:rPr>
          <w:rFonts w:ascii="Times New Roman" w:hAnsi="Times New Roman" w:cs="Times New Roman"/>
        </w:rPr>
        <w:lastRenderedPageBreak/>
        <w:t>29.</w:t>
      </w:r>
      <w:r w:rsidRPr="003E6D6C">
        <w:rPr>
          <w:rFonts w:ascii="Times New Roman" w:hAnsi="Times New Roman" w:cs="Times New Roman"/>
        </w:rPr>
        <w:tab/>
        <w:t xml:space="preserve">Ikram MA, Brusselle G, Ghanbari M, et al. Objectives, design and main findings until 2020 from the Rotterdam Study. </w:t>
      </w:r>
      <w:r w:rsidRPr="003E6D6C">
        <w:rPr>
          <w:rFonts w:ascii="Times New Roman" w:hAnsi="Times New Roman" w:cs="Times New Roman"/>
          <w:i/>
          <w:iCs/>
        </w:rPr>
        <w:t>European Journal of Epidemiology</w:t>
      </w:r>
      <w:r w:rsidRPr="003E6D6C">
        <w:rPr>
          <w:rFonts w:ascii="Times New Roman" w:hAnsi="Times New Roman" w:cs="Times New Roman"/>
        </w:rPr>
        <w:t>. 2020;35(5). doi:10.1007/s10654-020-00640-5</w:t>
      </w:r>
    </w:p>
    <w:p w14:paraId="19EABC7B" w14:textId="77777777" w:rsidR="003E6D6C" w:rsidRPr="003E6D6C" w:rsidRDefault="003E6D6C" w:rsidP="003E6D6C">
      <w:pPr>
        <w:pStyle w:val="Bibliography"/>
        <w:rPr>
          <w:rFonts w:ascii="Times New Roman" w:hAnsi="Times New Roman" w:cs="Times New Roman"/>
        </w:rPr>
      </w:pPr>
      <w:r w:rsidRPr="003E6D6C">
        <w:rPr>
          <w:rFonts w:ascii="Times New Roman" w:hAnsi="Times New Roman" w:cs="Times New Roman"/>
        </w:rPr>
        <w:t>30.</w:t>
      </w:r>
      <w:r w:rsidRPr="003E6D6C">
        <w:rPr>
          <w:rFonts w:ascii="Times New Roman" w:hAnsi="Times New Roman" w:cs="Times New Roman"/>
        </w:rPr>
        <w:tab/>
        <w:t xml:space="preserve">Ruitenberg A, van Swieten JC, Witteman JCM, et al. Alcohol consumption and risk of dementia: the Rotterdam Study. </w:t>
      </w:r>
      <w:r w:rsidRPr="003E6D6C">
        <w:rPr>
          <w:rFonts w:ascii="Times New Roman" w:hAnsi="Times New Roman" w:cs="Times New Roman"/>
          <w:i/>
          <w:iCs/>
        </w:rPr>
        <w:t>Lancet</w:t>
      </w:r>
      <w:r w:rsidRPr="003E6D6C">
        <w:rPr>
          <w:rFonts w:ascii="Times New Roman" w:hAnsi="Times New Roman" w:cs="Times New Roman"/>
        </w:rPr>
        <w:t>. 2002;359(9303):281-286. doi:10.1016/S0140-6736(02)07493-7</w:t>
      </w:r>
    </w:p>
    <w:p w14:paraId="5D4D79C6" w14:textId="77777777" w:rsidR="003E6D6C" w:rsidRPr="003E6D6C" w:rsidRDefault="003E6D6C" w:rsidP="003E6D6C">
      <w:pPr>
        <w:pStyle w:val="Bibliography"/>
        <w:rPr>
          <w:rFonts w:ascii="Times New Roman" w:hAnsi="Times New Roman" w:cs="Times New Roman"/>
        </w:rPr>
      </w:pPr>
      <w:r w:rsidRPr="003E6D6C">
        <w:rPr>
          <w:rFonts w:ascii="Times New Roman" w:hAnsi="Times New Roman" w:cs="Times New Roman"/>
        </w:rPr>
        <w:t>31.</w:t>
      </w:r>
      <w:r w:rsidRPr="003E6D6C">
        <w:rPr>
          <w:rFonts w:ascii="Times New Roman" w:hAnsi="Times New Roman" w:cs="Times New Roman"/>
        </w:rPr>
        <w:tab/>
        <w:t xml:space="preserve">Völzke H, Schössow J, Schmidt CO, et al. Cohort Profile Update: The Study of Health in Pomerania (SHIP). </w:t>
      </w:r>
      <w:r w:rsidRPr="003E6D6C">
        <w:rPr>
          <w:rFonts w:ascii="Times New Roman" w:hAnsi="Times New Roman" w:cs="Times New Roman"/>
          <w:i/>
          <w:iCs/>
        </w:rPr>
        <w:t>International Journal of Epidemiology</w:t>
      </w:r>
      <w:r w:rsidRPr="003E6D6C">
        <w:rPr>
          <w:rFonts w:ascii="Times New Roman" w:hAnsi="Times New Roman" w:cs="Times New Roman"/>
        </w:rPr>
        <w:t>. Published online 2022. doi:10.1093/ije/dyac034</w:t>
      </w:r>
    </w:p>
    <w:p w14:paraId="00457886" w14:textId="77777777" w:rsidR="003E6D6C" w:rsidRPr="003E6D6C" w:rsidRDefault="003E6D6C" w:rsidP="003E6D6C">
      <w:pPr>
        <w:pStyle w:val="Bibliography"/>
        <w:rPr>
          <w:rFonts w:ascii="Times New Roman" w:hAnsi="Times New Roman" w:cs="Times New Roman"/>
        </w:rPr>
      </w:pPr>
      <w:r w:rsidRPr="003E6D6C">
        <w:rPr>
          <w:rFonts w:ascii="Times New Roman" w:hAnsi="Times New Roman" w:cs="Times New Roman"/>
        </w:rPr>
        <w:t>32.</w:t>
      </w:r>
      <w:r w:rsidRPr="003E6D6C">
        <w:rPr>
          <w:rFonts w:ascii="Times New Roman" w:hAnsi="Times New Roman" w:cs="Times New Roman"/>
        </w:rPr>
        <w:tab/>
        <w:t xml:space="preserve">Baumeister SEA D; Meyer, C; John, U. Riskanter Alkoholkonsum und alkoholbezogene Störungen in Vorpommern: Die Studie „Leben und Gesundheit in Vorpommern” (SHIP) und der Bundesgesundheitssurvey 1998 im Vergleich. </w:t>
      </w:r>
      <w:r w:rsidRPr="003E6D6C">
        <w:rPr>
          <w:rFonts w:ascii="Times New Roman" w:hAnsi="Times New Roman" w:cs="Times New Roman"/>
          <w:i/>
          <w:iCs/>
        </w:rPr>
        <w:t>Gesundheitswesen</w:t>
      </w:r>
      <w:r w:rsidRPr="003E6D6C">
        <w:rPr>
          <w:rFonts w:ascii="Times New Roman" w:hAnsi="Times New Roman" w:cs="Times New Roman"/>
        </w:rPr>
        <w:t>. 2005;1(01):39-47. doi:10.1055/s-2004-813829</w:t>
      </w:r>
    </w:p>
    <w:p w14:paraId="042D6D1F" w14:textId="77777777" w:rsidR="003E6D6C" w:rsidRPr="003E6D6C" w:rsidRDefault="003E6D6C" w:rsidP="003E6D6C">
      <w:pPr>
        <w:pStyle w:val="Bibliography"/>
        <w:rPr>
          <w:rFonts w:ascii="Times New Roman" w:hAnsi="Times New Roman" w:cs="Times New Roman"/>
        </w:rPr>
      </w:pPr>
      <w:r w:rsidRPr="003E6D6C">
        <w:rPr>
          <w:rFonts w:ascii="Times New Roman" w:hAnsi="Times New Roman" w:cs="Times New Roman"/>
        </w:rPr>
        <w:t>33.</w:t>
      </w:r>
      <w:r w:rsidRPr="003E6D6C">
        <w:rPr>
          <w:rFonts w:ascii="Times New Roman" w:hAnsi="Times New Roman" w:cs="Times New Roman"/>
        </w:rPr>
        <w:tab/>
        <w:t xml:space="preserve">Markus MRP, Lieb W, Stritzke J, et al. Light to Moderate Alcohol Consumption Is Associated With Lower Risk of Aortic Valve Sclerosis: The Study of Health in Pomerania (SHIP). </w:t>
      </w:r>
      <w:r w:rsidRPr="003E6D6C">
        <w:rPr>
          <w:rFonts w:ascii="Times New Roman" w:hAnsi="Times New Roman" w:cs="Times New Roman"/>
          <w:i/>
          <w:iCs/>
        </w:rPr>
        <w:t>Arterioscler Thromb Vasc Biol</w:t>
      </w:r>
      <w:r w:rsidRPr="003E6D6C">
        <w:rPr>
          <w:rFonts w:ascii="Times New Roman" w:hAnsi="Times New Roman" w:cs="Times New Roman"/>
        </w:rPr>
        <w:t>. 2015;35(5):1265-1270. doi:10.1161/ATVBAHA.114.304831</w:t>
      </w:r>
    </w:p>
    <w:p w14:paraId="23F23CCC" w14:textId="3504886E" w:rsidR="00EA3E0A" w:rsidRDefault="00E73BFA">
      <w:r w:rsidRPr="00944112">
        <w:rPr>
          <w:rFonts w:ascii="Times New Roman" w:hAnsi="Times New Roman" w:cs="Times New Roman"/>
        </w:rPr>
        <w:fldChar w:fldCharType="end"/>
      </w:r>
    </w:p>
    <w:sectPr w:rsidR="00EA3E0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9ABA54" w14:textId="77777777" w:rsidR="00830B6F" w:rsidRDefault="00830B6F">
      <w:pPr>
        <w:spacing w:after="0" w:line="240" w:lineRule="auto"/>
      </w:pPr>
      <w:r>
        <w:separator/>
      </w:r>
    </w:p>
  </w:endnote>
  <w:endnote w:type="continuationSeparator" w:id="0">
    <w:p w14:paraId="28475D67" w14:textId="77777777" w:rsidR="00830B6F" w:rsidRDefault="00830B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7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C600FA" w14:textId="77777777" w:rsidR="00830B6F" w:rsidRDefault="00830B6F">
      <w:pPr>
        <w:spacing w:after="0" w:line="240" w:lineRule="auto"/>
      </w:pPr>
      <w:r>
        <w:separator/>
      </w:r>
    </w:p>
  </w:footnote>
  <w:footnote w:type="continuationSeparator" w:id="0">
    <w:p w14:paraId="0DBD1E4F" w14:textId="77777777" w:rsidR="00830B6F" w:rsidRDefault="00830B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36939866"/>
      <w:docPartObj>
        <w:docPartGallery w:val="Page Numbers (Top of Page)"/>
        <w:docPartUnique/>
      </w:docPartObj>
    </w:sdtPr>
    <w:sdtEndPr>
      <w:rPr>
        <w:rFonts w:ascii="Times New Roman" w:hAnsi="Times New Roman" w:cs="Times New Roman"/>
        <w:noProof/>
      </w:rPr>
    </w:sdtEndPr>
    <w:sdtContent>
      <w:p w14:paraId="06C3B393" w14:textId="137721F3" w:rsidR="00EA3E0A" w:rsidRDefault="00E00610">
        <w:pPr>
          <w:pStyle w:val="Header"/>
          <w:jc w:val="right"/>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sidR="000374EC">
          <w:rPr>
            <w:rFonts w:ascii="Times New Roman" w:hAnsi="Times New Roman" w:cs="Times New Roman"/>
            <w:noProof/>
          </w:rPr>
          <w:t>20</w:t>
        </w:r>
        <w:r>
          <w:rPr>
            <w:rFonts w:ascii="Times New Roman" w:hAnsi="Times New Roman" w:cs="Times New Roman"/>
            <w:noProof/>
          </w:rPr>
          <w:fldChar w:fldCharType="end"/>
        </w:r>
      </w:p>
    </w:sdtContent>
  </w:sdt>
  <w:p w14:paraId="1CCCBFA2" w14:textId="77777777" w:rsidR="00EA3E0A" w:rsidRDefault="00EA3E0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ew England J Medicin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ze5att23e9dwbe9x05px9wu5e0z2wv9xtfp&quot;&gt;ERS_helena&lt;record-ids&gt;&lt;item&gt;50&lt;/item&gt;&lt;item&gt;93&lt;/item&gt;&lt;item&gt;95&lt;/item&gt;&lt;item&gt;96&lt;/item&gt;&lt;item&gt;97&lt;/item&gt;&lt;item&gt;98&lt;/item&gt;&lt;item&gt;99&lt;/item&gt;&lt;item&gt;100&lt;/item&gt;&lt;/record-ids&gt;&lt;/item&gt;&lt;/Libraries&gt;"/>
  </w:docVars>
  <w:rsids>
    <w:rsidRoot w:val="00EA3E0A"/>
    <w:rsid w:val="000374EC"/>
    <w:rsid w:val="00053B7B"/>
    <w:rsid w:val="0008254F"/>
    <w:rsid w:val="000D3D5F"/>
    <w:rsid w:val="000F2337"/>
    <w:rsid w:val="0012356D"/>
    <w:rsid w:val="001258DC"/>
    <w:rsid w:val="00143E81"/>
    <w:rsid w:val="0018260A"/>
    <w:rsid w:val="001A61C7"/>
    <w:rsid w:val="001C4660"/>
    <w:rsid w:val="001E0899"/>
    <w:rsid w:val="002245CF"/>
    <w:rsid w:val="00257DE4"/>
    <w:rsid w:val="0026643F"/>
    <w:rsid w:val="002B32D7"/>
    <w:rsid w:val="002F15CB"/>
    <w:rsid w:val="003232CE"/>
    <w:rsid w:val="0034152C"/>
    <w:rsid w:val="00377DCB"/>
    <w:rsid w:val="003C2C4E"/>
    <w:rsid w:val="003E6D6C"/>
    <w:rsid w:val="003E7E08"/>
    <w:rsid w:val="00414D4B"/>
    <w:rsid w:val="004226D1"/>
    <w:rsid w:val="00466F3D"/>
    <w:rsid w:val="005259E3"/>
    <w:rsid w:val="00580FBE"/>
    <w:rsid w:val="005872D8"/>
    <w:rsid w:val="00591FCD"/>
    <w:rsid w:val="005A50AC"/>
    <w:rsid w:val="005B1380"/>
    <w:rsid w:val="005D4B55"/>
    <w:rsid w:val="005E68E7"/>
    <w:rsid w:val="00620608"/>
    <w:rsid w:val="00647F14"/>
    <w:rsid w:val="006825EA"/>
    <w:rsid w:val="006F40E0"/>
    <w:rsid w:val="00762B01"/>
    <w:rsid w:val="0077040B"/>
    <w:rsid w:val="007707D9"/>
    <w:rsid w:val="007A5077"/>
    <w:rsid w:val="007B2C98"/>
    <w:rsid w:val="007D1AC1"/>
    <w:rsid w:val="007D1B82"/>
    <w:rsid w:val="007E597F"/>
    <w:rsid w:val="00830B6F"/>
    <w:rsid w:val="00870998"/>
    <w:rsid w:val="00871BBD"/>
    <w:rsid w:val="008B56F1"/>
    <w:rsid w:val="008F08CB"/>
    <w:rsid w:val="008F3A0B"/>
    <w:rsid w:val="008F78F7"/>
    <w:rsid w:val="00925B20"/>
    <w:rsid w:val="00944112"/>
    <w:rsid w:val="0096495A"/>
    <w:rsid w:val="00965C5D"/>
    <w:rsid w:val="00991FD9"/>
    <w:rsid w:val="009C5125"/>
    <w:rsid w:val="009C719D"/>
    <w:rsid w:val="00A271BF"/>
    <w:rsid w:val="00A712D4"/>
    <w:rsid w:val="00A91D50"/>
    <w:rsid w:val="00A96F2C"/>
    <w:rsid w:val="00AD3168"/>
    <w:rsid w:val="00AE2F95"/>
    <w:rsid w:val="00B22ECC"/>
    <w:rsid w:val="00B41D76"/>
    <w:rsid w:val="00B67849"/>
    <w:rsid w:val="00B70744"/>
    <w:rsid w:val="00BD1B03"/>
    <w:rsid w:val="00C95DCC"/>
    <w:rsid w:val="00D14856"/>
    <w:rsid w:val="00DA20F1"/>
    <w:rsid w:val="00DA6594"/>
    <w:rsid w:val="00DB3E2C"/>
    <w:rsid w:val="00DC2AE8"/>
    <w:rsid w:val="00DF758B"/>
    <w:rsid w:val="00E00610"/>
    <w:rsid w:val="00E21FC3"/>
    <w:rsid w:val="00E27E6C"/>
    <w:rsid w:val="00E31D0E"/>
    <w:rsid w:val="00E42BF3"/>
    <w:rsid w:val="00E46F44"/>
    <w:rsid w:val="00E73BFA"/>
    <w:rsid w:val="00E75D52"/>
    <w:rsid w:val="00EA3E0A"/>
    <w:rsid w:val="00EB7997"/>
    <w:rsid w:val="00EC24DE"/>
    <w:rsid w:val="00F10ED6"/>
    <w:rsid w:val="00F15500"/>
    <w:rsid w:val="00F91183"/>
    <w:rsid w:val="00F96EC2"/>
    <w:rsid w:val="00FF26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349C132"/>
  <w15:chartTrackingRefBased/>
  <w15:docId w15:val="{F736511F-2335-459A-A131-98E6FA100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Calibri" w:eastAsiaTheme="majorEastAsia" w:hAnsi="Calibri" w:cstheme="majorBidi"/>
      <w:b/>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Hyperlink">
    <w:name w:val="Hyperlink"/>
    <w:basedOn w:val="DefaultParagraphFont"/>
    <w:uiPriority w:val="99"/>
    <w:unhideWhenUsed/>
    <w:rPr>
      <w:color w:val="0000FF"/>
      <w:u w:val="single"/>
    </w:rPr>
  </w:style>
  <w:style w:type="character" w:customStyle="1" w:styleId="ref-title">
    <w:name w:val="ref-title"/>
    <w:basedOn w:val="DefaultParagraphFont"/>
  </w:style>
  <w:style w:type="character" w:styleId="FollowedHyperlink">
    <w:name w:val="FollowedHyperlink"/>
    <w:basedOn w:val="DefaultParagraphFont"/>
    <w:uiPriority w:val="99"/>
    <w:semiHidden/>
    <w:unhideWhenUsed/>
    <w:rPr>
      <w:color w:val="954F72" w:themeColor="followedHyperlink"/>
      <w:u w:val="single"/>
    </w:r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character" w:customStyle="1" w:styleId="Heading1Char">
    <w:name w:val="Heading 1 Char"/>
    <w:basedOn w:val="DefaultParagraphFont"/>
    <w:link w:val="Heading1"/>
    <w:uiPriority w:val="9"/>
    <w:rPr>
      <w:rFonts w:ascii="Calibri" w:eastAsiaTheme="majorEastAsia" w:hAnsi="Calibri" w:cstheme="majorBidi"/>
      <w:b/>
      <w:szCs w:val="32"/>
    </w:rPr>
  </w:style>
  <w:style w:type="paragraph" w:styleId="TOCHeading">
    <w:name w:val="TOC Heading"/>
    <w:basedOn w:val="Heading1"/>
    <w:next w:val="Normal"/>
    <w:uiPriority w:val="39"/>
    <w:unhideWhenUsed/>
    <w:qFormat/>
    <w:pPr>
      <w:outlineLvl w:val="9"/>
    </w:pPr>
  </w:style>
  <w:style w:type="paragraph" w:styleId="TOC1">
    <w:name w:val="toc 1"/>
    <w:basedOn w:val="Normal"/>
    <w:next w:val="Normal"/>
    <w:autoRedefine/>
    <w:uiPriority w:val="39"/>
    <w:unhideWhenUsed/>
    <w:pPr>
      <w:spacing w:after="100"/>
    </w:p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customStyle="1" w:styleId="FootnoteTextChar">
    <w:name w:val="Footnote Text Char"/>
    <w:basedOn w:val="DefaultParagraphFont"/>
    <w:link w:val="FootnoteText"/>
    <w:uiPriority w:val="99"/>
    <w:semiHidden/>
    <w:rPr>
      <w:sz w:val="20"/>
      <w:szCs w:val="20"/>
    </w:rPr>
  </w:style>
  <w:style w:type="character" w:styleId="FootnoteReference">
    <w:name w:val="footnote reference"/>
    <w:basedOn w:val="DefaultParagraphFont"/>
    <w:uiPriority w:val="99"/>
    <w:semiHidden/>
    <w:unhideWhenUsed/>
    <w:rPr>
      <w:vertAlign w:val="superscript"/>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character" w:customStyle="1" w:styleId="identifier">
    <w:name w:val="identifier"/>
    <w:basedOn w:val="DefaultParagraphFont"/>
    <w:rsid w:val="00DA6594"/>
  </w:style>
  <w:style w:type="character" w:styleId="Emphasis">
    <w:name w:val="Emphasis"/>
    <w:basedOn w:val="DefaultParagraphFont"/>
    <w:uiPriority w:val="20"/>
    <w:qFormat/>
    <w:rsid w:val="00AE2F95"/>
    <w:rPr>
      <w:i/>
      <w:iCs/>
    </w:rPr>
  </w:style>
  <w:style w:type="character" w:customStyle="1" w:styleId="epub-sectionitem">
    <w:name w:val="epub-section__item"/>
    <w:basedOn w:val="DefaultParagraphFont"/>
    <w:rsid w:val="00871BBD"/>
  </w:style>
  <w:style w:type="character" w:styleId="Strong">
    <w:name w:val="Strong"/>
    <w:basedOn w:val="DefaultParagraphFont"/>
    <w:uiPriority w:val="22"/>
    <w:qFormat/>
    <w:rsid w:val="006F40E0"/>
    <w:rPr>
      <w:b/>
      <w:bCs/>
    </w:rPr>
  </w:style>
  <w:style w:type="character" w:customStyle="1" w:styleId="id-label">
    <w:name w:val="id-label"/>
    <w:basedOn w:val="DefaultParagraphFont"/>
    <w:rsid w:val="006F40E0"/>
  </w:style>
  <w:style w:type="character" w:customStyle="1" w:styleId="markedcontent">
    <w:name w:val="markedcontent"/>
    <w:basedOn w:val="DefaultParagraphFont"/>
    <w:rsid w:val="006F40E0"/>
  </w:style>
  <w:style w:type="paragraph" w:styleId="Bibliography">
    <w:name w:val="Bibliography"/>
    <w:basedOn w:val="Normal"/>
    <w:next w:val="Normal"/>
    <w:uiPriority w:val="37"/>
    <w:unhideWhenUsed/>
    <w:rsid w:val="005872D8"/>
    <w:pPr>
      <w:tabs>
        <w:tab w:val="left" w:pos="380"/>
      </w:tabs>
      <w:spacing w:after="240" w:line="240" w:lineRule="auto"/>
      <w:ind w:left="384" w:hanging="384"/>
    </w:pPr>
  </w:style>
  <w:style w:type="paragraph" w:styleId="ListParagraph">
    <w:name w:val="List Paragraph"/>
    <w:basedOn w:val="Normal"/>
    <w:uiPriority w:val="34"/>
    <w:qFormat/>
    <w:rsid w:val="00762B01"/>
    <w:pPr>
      <w:ind w:left="720"/>
      <w:contextualSpacing/>
    </w:pPr>
  </w:style>
  <w:style w:type="paragraph" w:customStyle="1" w:styleId="EndNoteBibliographyTitle">
    <w:name w:val="EndNote Bibliography Title"/>
    <w:basedOn w:val="Normal"/>
    <w:link w:val="EndNoteBibliographyTitleChar"/>
    <w:rsid w:val="001A61C7"/>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1A61C7"/>
    <w:rPr>
      <w:rFonts w:ascii="Calibri" w:hAnsi="Calibri" w:cs="Calibri"/>
      <w:noProof/>
    </w:rPr>
  </w:style>
  <w:style w:type="paragraph" w:customStyle="1" w:styleId="EndNoteBibliography">
    <w:name w:val="EndNote Bibliography"/>
    <w:basedOn w:val="Normal"/>
    <w:link w:val="EndNoteBibliographyChar"/>
    <w:rsid w:val="001A61C7"/>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1A61C7"/>
    <w:rPr>
      <w:rFonts w:ascii="Calibri" w:hAnsi="Calibri" w:cs="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6309225">
      <w:bodyDiv w:val="1"/>
      <w:marLeft w:val="0"/>
      <w:marRight w:val="0"/>
      <w:marTop w:val="0"/>
      <w:marBottom w:val="0"/>
      <w:divBdr>
        <w:top w:val="none" w:sz="0" w:space="0" w:color="auto"/>
        <w:left w:val="none" w:sz="0" w:space="0" w:color="auto"/>
        <w:bottom w:val="none" w:sz="0" w:space="0" w:color="auto"/>
        <w:right w:val="none" w:sz="0" w:space="0" w:color="auto"/>
      </w:divBdr>
    </w:div>
    <w:div w:id="1272740451">
      <w:bodyDiv w:val="1"/>
      <w:marLeft w:val="0"/>
      <w:marRight w:val="0"/>
      <w:marTop w:val="0"/>
      <w:marBottom w:val="0"/>
      <w:divBdr>
        <w:top w:val="none" w:sz="0" w:space="0" w:color="auto"/>
        <w:left w:val="none" w:sz="0" w:space="0" w:color="auto"/>
        <w:bottom w:val="none" w:sz="0" w:space="0" w:color="auto"/>
        <w:right w:val="none" w:sz="0" w:space="0" w:color="auto"/>
      </w:divBdr>
    </w:div>
    <w:div w:id="1367103013">
      <w:bodyDiv w:val="1"/>
      <w:marLeft w:val="0"/>
      <w:marRight w:val="0"/>
      <w:marTop w:val="0"/>
      <w:marBottom w:val="0"/>
      <w:divBdr>
        <w:top w:val="none" w:sz="0" w:space="0" w:color="auto"/>
        <w:left w:val="none" w:sz="0" w:space="0" w:color="auto"/>
        <w:bottom w:val="none" w:sz="0" w:space="0" w:color="auto"/>
        <w:right w:val="none" w:sz="0" w:space="0" w:color="auto"/>
      </w:divBdr>
    </w:div>
    <w:div w:id="2090149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m02.safelinks.protection.outlook.com/?url=http%3A%2F%2Fwww.mesa-nhlbi.org%2F&amp;data=04%7C01%7Cwpost%40jhmi.edu%7Ce250d1c265a847ec090f08d9fbc439a1%7C9fa4f438b1e6473b803f86f8aedf0dec%7C0%7C0%7C637817642593854966%7CUnknown%7CTWFpbGZsb3d8eyJWIjoiMC4wLjAwMDAiLCJQIjoiV2luMzIiLCJBTiI6Ik1haWwiLCJXVCI6Mn0%3D%7C3000&amp;sdata=tVqOVyqCZnioV87T5M39EUUQjtfxVyF4i%2FhQtZTLbwY%3D&amp;reserved=0" TargetMode="External"/><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image" Target="media/image7.emf"/><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6C30EB-5B2A-4964-8EE1-8D8B43F839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105</TotalTime>
  <Pages>30</Pages>
  <Words>26771</Words>
  <Characters>152596</Characters>
  <Application>Microsoft Office Word</Application>
  <DocSecurity>0</DocSecurity>
  <Lines>1271</Lines>
  <Paragraphs>358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Bui, Helena (NIH/NHLBI) [F]</dc:creator>
  <cp:keywords/>
  <dc:description/>
  <cp:lastModifiedBy>Mengyao Wang</cp:lastModifiedBy>
  <cp:revision>46</cp:revision>
  <dcterms:created xsi:type="dcterms:W3CDTF">2024-02-29T14:28:00Z</dcterms:created>
  <dcterms:modified xsi:type="dcterms:W3CDTF">2024-04-09T03:31:00Z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http://www.zotero.org/styles/national-library-of-medicine</vt:lpwstr>
  </property>
  <property fmtid="{D5CDD505-2E9C-101B-9397-08002B2CF9AE}" pid="19" name="Mendeley Recent Style Name 8_1">
    <vt:lpwstr>National Library of Medicine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e239d58d-9cec-38c8-b79b-07ea7d1aa57e</vt:lpwstr>
  </property>
  <property fmtid="{D5CDD505-2E9C-101B-9397-08002B2CF9AE}" pid="24" name="Mendeley Citation Style_1">
    <vt:lpwstr>http://www.zotero.org/styles/american-medical-association</vt:lpwstr>
  </property>
  <property fmtid="{D5CDD505-2E9C-101B-9397-08002B2CF9AE}" pid="25" name="GrammarlyDocumentId">
    <vt:lpwstr>503bdec26cdab8807ea63cf85b7429d73754cb9d372bb575705e9757aa0ad20f</vt:lpwstr>
  </property>
  <property fmtid="{D5CDD505-2E9C-101B-9397-08002B2CF9AE}" pid="26" name="ZOTERO_PREF_1">
    <vt:lpwstr>&lt;data data-version="3" zotero-version="6.0.31"&gt;&lt;session id="qS4agUuI"/&gt;&lt;style id="http://www.zotero.org/styles/american-medical-association" hasBibliography="1" bibliographyStyleHasBeenSet="1"/&gt;&lt;prefs&gt;&lt;pref name="fieldType" value="Field"/&gt;&lt;/prefs&gt;&lt;/data&gt;</vt:lpwstr>
  </property>
</Properties>
</file>