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5E383" w14:textId="77777777" w:rsidR="008E05EA" w:rsidRPr="002A721E" w:rsidRDefault="008E05EA" w:rsidP="008E05EA">
      <w:pPr>
        <w:pStyle w:val="TableCaption"/>
        <w:spacing w:before="240" w:after="0" w:line="360" w:lineRule="auto"/>
        <w:rPr>
          <w:rFonts w:ascii="Times New Roman" w:hAnsi="Times New Roman"/>
          <w:b/>
          <w:bCs/>
          <w:sz w:val="21"/>
          <w:szCs w:val="21"/>
          <w:vertAlign w:val="superscript"/>
        </w:rPr>
      </w:pPr>
      <w:bookmarkStart w:id="0" w:name="_Ref161744776"/>
      <w:r w:rsidRPr="002A721E">
        <w:rPr>
          <w:rFonts w:ascii="Times New Roman" w:hAnsi="Times New Roman"/>
          <w:b/>
          <w:bCs/>
          <w:sz w:val="21"/>
          <w:szCs w:val="21"/>
        </w:rPr>
        <w:t xml:space="preserve">Table </w:t>
      </w:r>
      <w:r w:rsidRPr="002A721E">
        <w:rPr>
          <w:rFonts w:ascii="Times New Roman" w:hAnsi="Times New Roman"/>
          <w:b/>
          <w:bCs/>
          <w:sz w:val="21"/>
          <w:szCs w:val="21"/>
        </w:rPr>
        <w:fldChar w:fldCharType="begin"/>
      </w:r>
      <w:r w:rsidRPr="002A721E">
        <w:rPr>
          <w:rFonts w:ascii="Times New Roman" w:hAnsi="Times New Roman"/>
          <w:b/>
          <w:bCs/>
          <w:sz w:val="21"/>
          <w:szCs w:val="21"/>
        </w:rPr>
        <w:instrText xml:space="preserve"> SEQ Table \* ARABIC </w:instrText>
      </w:r>
      <w:r w:rsidRPr="002A721E">
        <w:rPr>
          <w:rFonts w:ascii="Times New Roman" w:hAnsi="Times New Roman"/>
          <w:b/>
          <w:bCs/>
          <w:sz w:val="21"/>
          <w:szCs w:val="21"/>
        </w:rPr>
        <w:fldChar w:fldCharType="separate"/>
      </w:r>
      <w:r w:rsidRPr="002A721E">
        <w:rPr>
          <w:rFonts w:ascii="Times New Roman" w:hAnsi="Times New Roman"/>
          <w:b/>
          <w:bCs/>
          <w:noProof/>
          <w:sz w:val="21"/>
          <w:szCs w:val="21"/>
        </w:rPr>
        <w:t>1</w:t>
      </w:r>
      <w:r w:rsidRPr="002A721E">
        <w:rPr>
          <w:rFonts w:ascii="Times New Roman" w:hAnsi="Times New Roman"/>
          <w:b/>
          <w:bCs/>
          <w:sz w:val="21"/>
          <w:szCs w:val="21"/>
        </w:rPr>
        <w:fldChar w:fldCharType="end"/>
      </w:r>
      <w:bookmarkEnd w:id="0"/>
      <w:r w:rsidRPr="002A721E"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 w:rsidRPr="002A721E">
        <w:rPr>
          <w:rFonts w:ascii="Times New Roman" w:hAnsi="Times New Roman" w:hint="eastAsia"/>
          <w:b/>
          <w:sz w:val="21"/>
          <w:szCs w:val="21"/>
        </w:rPr>
        <w:t>|</w:t>
      </w:r>
      <w:r w:rsidRPr="002A721E">
        <w:rPr>
          <w:rFonts w:ascii="Times New Roman" w:hAnsi="Times New Roman"/>
          <w:b/>
          <w:bCs/>
          <w:sz w:val="21"/>
          <w:szCs w:val="21"/>
        </w:rPr>
        <w:t xml:space="preserve"> Re</w:t>
      </w:r>
      <w:r w:rsidRPr="002A721E"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>presentative re</w:t>
      </w:r>
      <w:r w:rsidRPr="002A721E">
        <w:rPr>
          <w:rFonts w:ascii="Times New Roman" w:hAnsi="Times New Roman"/>
          <w:b/>
          <w:bCs/>
          <w:sz w:val="21"/>
          <w:szCs w:val="21"/>
        </w:rPr>
        <w:t>action optimization.</w:t>
      </w:r>
      <w:r w:rsidRPr="002A721E">
        <w:rPr>
          <w:rFonts w:ascii="Times New Roman" w:hAnsi="Times New Roman"/>
          <w:b/>
          <w:bCs/>
          <w:i/>
          <w:iCs/>
          <w:sz w:val="21"/>
          <w:szCs w:val="21"/>
          <w:vertAlign w:val="superscript"/>
        </w:rPr>
        <w:t>a</w:t>
      </w:r>
    </w:p>
    <w:bookmarkStart w:id="1" w:name="_Hlk159678277"/>
    <w:p w14:paraId="5E75F6FF" w14:textId="77777777" w:rsidR="008E05EA" w:rsidRPr="002A721E" w:rsidRDefault="008E05EA" w:rsidP="008E05EA">
      <w:pPr>
        <w:pStyle w:val="P1"/>
        <w:spacing w:line="360" w:lineRule="auto"/>
        <w:jc w:val="center"/>
        <w:rPr>
          <w:rFonts w:ascii="Times New Roman" w:hAnsi="Times New Roman"/>
          <w:sz w:val="21"/>
          <w:szCs w:val="21"/>
          <w:highlight w:val="yellow"/>
        </w:rPr>
      </w:pPr>
      <w:r w:rsidRPr="002A721E">
        <w:rPr>
          <w:rFonts w:ascii="Times New Roman" w:hAnsi="Times New Roman"/>
          <w:sz w:val="21"/>
          <w:szCs w:val="21"/>
        </w:rPr>
        <w:object w:dxaOrig="10176" w:dyaOrig="1824" w14:anchorId="5335BC4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6pt;height:54.75pt;mso-position-vertical:absolute" o:ole="">
            <v:imagedata r:id="rId4" o:title=""/>
          </v:shape>
          <o:OLEObject Type="Embed" ProgID="ChemDraw.Document.6.0" ShapeID="_x0000_i1025" DrawAspect="Content" ObjectID="_1775391323" r:id="rId5"/>
        </w:object>
      </w:r>
      <w:bookmarkEnd w:id="1"/>
    </w:p>
    <w:tbl>
      <w:tblPr>
        <w:tblW w:w="7903" w:type="dxa"/>
        <w:jc w:val="center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5842"/>
        <w:gridCol w:w="1408"/>
      </w:tblGrid>
      <w:tr w:rsidR="008E05EA" w:rsidRPr="002A721E" w14:paraId="1C428DC1" w14:textId="77777777" w:rsidTr="00385962">
        <w:trPr>
          <w:trHeight w:val="248"/>
          <w:jc w:val="center"/>
        </w:trPr>
        <w:tc>
          <w:tcPr>
            <w:tcW w:w="653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E918FBE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entry</w:t>
            </w:r>
          </w:p>
        </w:tc>
        <w:tc>
          <w:tcPr>
            <w:tcW w:w="58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1445692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2A721E">
              <w:rPr>
                <w:rFonts w:ascii="Times New Roman" w:hAnsi="Times New Roman"/>
                <w:sz w:val="21"/>
                <w:szCs w:val="21"/>
              </w:rPr>
              <w:t>variation from the optimal conditions</w:t>
            </w:r>
          </w:p>
        </w:tc>
        <w:tc>
          <w:tcPr>
            <w:tcW w:w="1408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5BA0445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 xml:space="preserve">yield of </w:t>
            </w:r>
            <w:r w:rsidRPr="002A721E">
              <w:rPr>
                <w:rFonts w:ascii="Times New Roman" w:eastAsiaTheme="minorEastAsia" w:hAnsi="Times New Roman"/>
                <w:b/>
                <w:bCs/>
                <w:sz w:val="21"/>
                <w:szCs w:val="21"/>
                <w:lang w:eastAsia="zh-CN"/>
              </w:rPr>
              <w:t>3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 xml:space="preserve"> (%)</w:t>
            </w:r>
          </w:p>
        </w:tc>
      </w:tr>
      <w:tr w:rsidR="008E05EA" w:rsidRPr="002A721E" w14:paraId="53F25315" w14:textId="77777777" w:rsidTr="00385962">
        <w:trPr>
          <w:trHeight w:val="95"/>
          <w:jc w:val="center"/>
        </w:trPr>
        <w:tc>
          <w:tcPr>
            <w:tcW w:w="653" w:type="dxa"/>
            <w:tcBorders>
              <w:top w:val="single" w:sz="12" w:space="0" w:color="auto"/>
              <w:right w:val="nil"/>
            </w:tcBorders>
          </w:tcPr>
          <w:p w14:paraId="4044F1EA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1</w:t>
            </w:r>
          </w:p>
        </w:tc>
        <w:tc>
          <w:tcPr>
            <w:tcW w:w="5842" w:type="dxa"/>
            <w:tcBorders>
              <w:top w:val="single" w:sz="12" w:space="0" w:color="auto"/>
              <w:left w:val="nil"/>
              <w:right w:val="nil"/>
            </w:tcBorders>
          </w:tcPr>
          <w:p w14:paraId="30017ED1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2A721E">
              <w:rPr>
                <w:rFonts w:ascii="Times New Roman" w:hAnsi="Times New Roman"/>
                <w:sz w:val="21"/>
                <w:szCs w:val="21"/>
              </w:rPr>
              <w:t xml:space="preserve">without </w:t>
            </w:r>
            <w:r w:rsidRPr="002A721E">
              <w:rPr>
                <w:rFonts w:ascii="Times New Roman" w:hAnsi="Times New Roman"/>
                <w:b/>
                <w:bCs/>
                <w:sz w:val="21"/>
                <w:szCs w:val="21"/>
              </w:rPr>
              <w:t>2a</w:t>
            </w:r>
          </w:p>
        </w:tc>
        <w:tc>
          <w:tcPr>
            <w:tcW w:w="1408" w:type="dxa"/>
            <w:tcBorders>
              <w:top w:val="single" w:sz="12" w:space="0" w:color="auto"/>
              <w:left w:val="nil"/>
            </w:tcBorders>
          </w:tcPr>
          <w:p w14:paraId="446AE57A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2A721E">
              <w:rPr>
                <w:rFonts w:ascii="Times New Roman" w:eastAsiaTheme="minorEastAsia" w:hAnsi="Times New Roman"/>
                <w:b/>
                <w:bCs/>
                <w:sz w:val="21"/>
                <w:szCs w:val="21"/>
                <w:lang w:eastAsia="zh-CN"/>
              </w:rPr>
              <w:t>1a’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 xml:space="preserve"> decomp.</w:t>
            </w:r>
          </w:p>
        </w:tc>
      </w:tr>
      <w:tr w:rsidR="008E05EA" w:rsidRPr="002A721E" w14:paraId="739EDACC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</w:tcPr>
          <w:p w14:paraId="126A3DB3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2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</w:tcPr>
          <w:p w14:paraId="10CDB32E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None</w:t>
            </w:r>
          </w:p>
        </w:tc>
        <w:tc>
          <w:tcPr>
            <w:tcW w:w="1408" w:type="dxa"/>
            <w:tcBorders>
              <w:top w:val="nil"/>
              <w:left w:val="nil"/>
            </w:tcBorders>
          </w:tcPr>
          <w:p w14:paraId="3E5F9333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73</w:t>
            </w:r>
          </w:p>
        </w:tc>
      </w:tr>
      <w:tr w:rsidR="008E05EA" w:rsidRPr="002A721E" w14:paraId="65C62D4D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</w:tcPr>
          <w:p w14:paraId="303CCB0E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3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  <w:vAlign w:val="center"/>
          </w:tcPr>
          <w:p w14:paraId="2746B72C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MeOH/CH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vertAlign w:val="subscript"/>
                <w:lang w:val="en-US" w:eastAsia="zh-CN"/>
              </w:rPr>
              <w:t>3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CN (3:1) as solvent</w:t>
            </w:r>
          </w:p>
        </w:tc>
        <w:tc>
          <w:tcPr>
            <w:tcW w:w="1408" w:type="dxa"/>
            <w:tcBorders>
              <w:top w:val="nil"/>
              <w:left w:val="nil"/>
            </w:tcBorders>
            <w:vAlign w:val="center"/>
          </w:tcPr>
          <w:p w14:paraId="5EEDD9B7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60</w:t>
            </w:r>
          </w:p>
        </w:tc>
      </w:tr>
      <w:tr w:rsidR="008E05EA" w:rsidRPr="002A721E" w14:paraId="661B6312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</w:tcPr>
          <w:p w14:paraId="7EC4CB6B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4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  <w:vAlign w:val="center"/>
          </w:tcPr>
          <w:p w14:paraId="5EBCD004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MeOH/THF (3:1) as solvent</w:t>
            </w:r>
          </w:p>
        </w:tc>
        <w:tc>
          <w:tcPr>
            <w:tcW w:w="1408" w:type="dxa"/>
            <w:tcBorders>
              <w:top w:val="nil"/>
              <w:left w:val="nil"/>
            </w:tcBorders>
            <w:vAlign w:val="center"/>
          </w:tcPr>
          <w:p w14:paraId="0C8504F2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69</w:t>
            </w:r>
          </w:p>
        </w:tc>
      </w:tr>
      <w:tr w:rsidR="008E05EA" w:rsidRPr="002A721E" w14:paraId="23AED562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</w:tcPr>
          <w:p w14:paraId="43B49B5B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5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  <w:vAlign w:val="center"/>
          </w:tcPr>
          <w:p w14:paraId="02B8C888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MeOH as solvent</w:t>
            </w:r>
          </w:p>
        </w:tc>
        <w:tc>
          <w:tcPr>
            <w:tcW w:w="1408" w:type="dxa"/>
            <w:tcBorders>
              <w:top w:val="nil"/>
              <w:left w:val="nil"/>
            </w:tcBorders>
            <w:vAlign w:val="center"/>
          </w:tcPr>
          <w:p w14:paraId="05F1AE0D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68</w:t>
            </w:r>
          </w:p>
        </w:tc>
      </w:tr>
      <w:tr w:rsidR="008E05EA" w:rsidRPr="002A721E" w14:paraId="5B457C37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</w:tcPr>
          <w:p w14:paraId="053CE4F7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6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  <w:vAlign w:val="center"/>
          </w:tcPr>
          <w:p w14:paraId="0C289031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CPME as solvent</w:t>
            </w:r>
          </w:p>
        </w:tc>
        <w:tc>
          <w:tcPr>
            <w:tcW w:w="1408" w:type="dxa"/>
            <w:tcBorders>
              <w:top w:val="nil"/>
              <w:left w:val="nil"/>
            </w:tcBorders>
            <w:vAlign w:val="center"/>
          </w:tcPr>
          <w:p w14:paraId="0B306954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&lt;1</w:t>
            </w:r>
          </w:p>
        </w:tc>
      </w:tr>
      <w:tr w:rsidR="008E05EA" w:rsidRPr="002A721E" w14:paraId="0B73CFA4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</w:tcPr>
          <w:p w14:paraId="13BB311F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7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  <w:vAlign w:val="center"/>
          </w:tcPr>
          <w:p w14:paraId="0F583A0C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(+)C|Pt(–) as electrode</w:t>
            </w:r>
          </w:p>
        </w:tc>
        <w:tc>
          <w:tcPr>
            <w:tcW w:w="1408" w:type="dxa"/>
            <w:tcBorders>
              <w:top w:val="nil"/>
              <w:left w:val="nil"/>
            </w:tcBorders>
            <w:vAlign w:val="center"/>
          </w:tcPr>
          <w:p w14:paraId="46B79249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58</w:t>
            </w:r>
          </w:p>
        </w:tc>
      </w:tr>
      <w:tr w:rsidR="008E05EA" w:rsidRPr="002A721E" w14:paraId="4C467160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  <w:vAlign w:val="center"/>
          </w:tcPr>
          <w:p w14:paraId="74F1873D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8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</w:tcPr>
          <w:p w14:paraId="70DE25FE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(+)GF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|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GF(–) as electrode</w:t>
            </w:r>
          </w:p>
        </w:tc>
        <w:tc>
          <w:tcPr>
            <w:tcW w:w="1408" w:type="dxa"/>
            <w:tcBorders>
              <w:top w:val="nil"/>
              <w:left w:val="nil"/>
            </w:tcBorders>
          </w:tcPr>
          <w:p w14:paraId="156484C7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52</w:t>
            </w:r>
          </w:p>
        </w:tc>
      </w:tr>
      <w:tr w:rsidR="008E05EA" w:rsidRPr="002A721E" w14:paraId="6D9DC233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  <w:vAlign w:val="center"/>
          </w:tcPr>
          <w:p w14:paraId="45785AB9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  <w:vAlign w:val="center"/>
          </w:tcPr>
          <w:p w14:paraId="353D45CC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PhSO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  <w:lang w:val="en-US"/>
              </w:rPr>
              <w:t>2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L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i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, PhSO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  <w:lang w:val="en-US"/>
              </w:rPr>
              <w:t>2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K, PhSO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  <w:lang w:val="en-US"/>
              </w:rPr>
              <w:t>2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 xml:space="preserve">Cs, 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or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 xml:space="preserve"> PhSO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  <w:lang w:val="en-US"/>
              </w:rPr>
              <w:t>2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N</w:t>
            </w:r>
            <w:r w:rsidRPr="002A721E">
              <w:rPr>
                <w:rFonts w:ascii="Times New Roman" w:hAnsi="Times New Roman"/>
                <w:i/>
                <w:iCs/>
                <w:sz w:val="21"/>
                <w:szCs w:val="21"/>
                <w:vertAlign w:val="superscript"/>
                <w:lang w:val="en-US"/>
              </w:rPr>
              <w:t>n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Bu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  <w:lang w:val="en-US"/>
              </w:rPr>
              <w:t>4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 xml:space="preserve"> instead of PhSO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  <w:lang w:val="en-US"/>
              </w:rPr>
              <w:t>2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Na</w:t>
            </w:r>
          </w:p>
        </w:tc>
        <w:tc>
          <w:tcPr>
            <w:tcW w:w="1408" w:type="dxa"/>
            <w:tcBorders>
              <w:top w:val="nil"/>
              <w:left w:val="nil"/>
            </w:tcBorders>
            <w:vAlign w:val="center"/>
          </w:tcPr>
          <w:p w14:paraId="0AAB6DBE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55, 64, 63, 66</w:t>
            </w:r>
          </w:p>
        </w:tc>
      </w:tr>
      <w:tr w:rsidR="008E05EA" w:rsidRPr="002A721E" w14:paraId="4180DBBE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</w:tcPr>
          <w:p w14:paraId="583016DC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  <w:vAlign w:val="center"/>
          </w:tcPr>
          <w:p w14:paraId="47E9EB56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bookmarkStart w:id="2" w:name="_Hlk154666050"/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PhSO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  <w:lang w:val="en-US"/>
              </w:rPr>
              <w:t>2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NHNH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  <w:lang w:val="en-US"/>
              </w:rPr>
              <w:t>2</w:t>
            </w:r>
            <w:bookmarkEnd w:id="2"/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 xml:space="preserve"> instead of PhSO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  <w:lang w:val="en-US"/>
              </w:rPr>
              <w:t>2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Na</w:t>
            </w:r>
          </w:p>
        </w:tc>
        <w:tc>
          <w:tcPr>
            <w:tcW w:w="1408" w:type="dxa"/>
            <w:tcBorders>
              <w:top w:val="nil"/>
              <w:left w:val="nil"/>
            </w:tcBorders>
            <w:vAlign w:val="center"/>
          </w:tcPr>
          <w:p w14:paraId="73F60DEB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40</w:t>
            </w:r>
          </w:p>
        </w:tc>
      </w:tr>
      <w:tr w:rsidR="008E05EA" w:rsidRPr="002A721E" w14:paraId="6FE64B54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</w:tcPr>
          <w:p w14:paraId="077AED1B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  <w:vAlign w:val="center"/>
          </w:tcPr>
          <w:p w14:paraId="11E6D990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PhSO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  <w:lang w:val="en-US"/>
              </w:rPr>
              <w:t>2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H (3 equiv.)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 xml:space="preserve"> + 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Na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  <w:lang w:val="en-US"/>
              </w:rPr>
              <w:t>2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CO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  <w:lang w:val="en-US"/>
              </w:rPr>
              <w:t>3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 xml:space="preserve"> (1.5 equiv.)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 xml:space="preserve"> 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instead of PhSO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  <w:lang w:val="en-US"/>
              </w:rPr>
              <w:t>2</w:t>
            </w:r>
            <w:r w:rsidRPr="002A721E">
              <w:rPr>
                <w:rFonts w:ascii="Times New Roman" w:hAnsi="Times New Roman"/>
                <w:sz w:val="21"/>
                <w:szCs w:val="21"/>
                <w:lang w:val="en-US"/>
              </w:rPr>
              <w:t>Na</w:t>
            </w:r>
          </w:p>
        </w:tc>
        <w:tc>
          <w:tcPr>
            <w:tcW w:w="1408" w:type="dxa"/>
            <w:tcBorders>
              <w:top w:val="nil"/>
              <w:left w:val="nil"/>
            </w:tcBorders>
            <w:vAlign w:val="center"/>
          </w:tcPr>
          <w:p w14:paraId="603517FE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24</w:t>
            </w:r>
          </w:p>
        </w:tc>
      </w:tr>
      <w:tr w:rsidR="008E05EA" w:rsidRPr="002A721E" w14:paraId="1FB083C4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</w:tcPr>
          <w:p w14:paraId="70E4D078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  <w:vAlign w:val="center"/>
          </w:tcPr>
          <w:p w14:paraId="151E8EA5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3 mA</w:t>
            </w:r>
          </w:p>
        </w:tc>
        <w:tc>
          <w:tcPr>
            <w:tcW w:w="1408" w:type="dxa"/>
            <w:tcBorders>
              <w:top w:val="nil"/>
              <w:left w:val="nil"/>
            </w:tcBorders>
            <w:vAlign w:val="center"/>
          </w:tcPr>
          <w:p w14:paraId="50531DF1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22</w:t>
            </w:r>
          </w:p>
        </w:tc>
      </w:tr>
      <w:tr w:rsidR="008E05EA" w:rsidRPr="002A721E" w14:paraId="4BDB37F1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</w:tcPr>
          <w:p w14:paraId="51BBA82E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  <w:vAlign w:val="center"/>
          </w:tcPr>
          <w:p w14:paraId="272FCC79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7 mA</w:t>
            </w:r>
          </w:p>
        </w:tc>
        <w:tc>
          <w:tcPr>
            <w:tcW w:w="1408" w:type="dxa"/>
            <w:tcBorders>
              <w:top w:val="nil"/>
              <w:left w:val="nil"/>
            </w:tcBorders>
            <w:vAlign w:val="center"/>
          </w:tcPr>
          <w:p w14:paraId="6FC3F6AD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37</w:t>
            </w:r>
          </w:p>
        </w:tc>
      </w:tr>
      <w:tr w:rsidR="008E05EA" w:rsidRPr="002A721E" w14:paraId="4F784837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</w:tcPr>
          <w:p w14:paraId="33FE0460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  <w:vAlign w:val="center"/>
          </w:tcPr>
          <w:p w14:paraId="32FA98F6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under air</w:t>
            </w:r>
          </w:p>
        </w:tc>
        <w:tc>
          <w:tcPr>
            <w:tcW w:w="1408" w:type="dxa"/>
            <w:tcBorders>
              <w:top w:val="nil"/>
              <w:left w:val="nil"/>
            </w:tcBorders>
            <w:vAlign w:val="center"/>
          </w:tcPr>
          <w:p w14:paraId="52CAF726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46</w:t>
            </w:r>
          </w:p>
        </w:tc>
      </w:tr>
      <w:tr w:rsidR="008E05EA" w:rsidRPr="002A721E" w14:paraId="10440928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</w:tcPr>
          <w:p w14:paraId="547756E5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  <w:vAlign w:val="center"/>
          </w:tcPr>
          <w:p w14:paraId="014D8522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no electrolyte</w:t>
            </w:r>
          </w:p>
        </w:tc>
        <w:tc>
          <w:tcPr>
            <w:tcW w:w="1408" w:type="dxa"/>
            <w:tcBorders>
              <w:top w:val="nil"/>
              <w:left w:val="nil"/>
            </w:tcBorders>
            <w:vAlign w:val="center"/>
          </w:tcPr>
          <w:p w14:paraId="15F91915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45</w:t>
            </w:r>
          </w:p>
        </w:tc>
      </w:tr>
      <w:tr w:rsidR="008E05EA" w:rsidRPr="002A721E" w14:paraId="28885B30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right w:val="nil"/>
            </w:tcBorders>
            <w:vAlign w:val="center"/>
          </w:tcPr>
          <w:p w14:paraId="1D20104C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5842" w:type="dxa"/>
            <w:tcBorders>
              <w:top w:val="nil"/>
              <w:left w:val="nil"/>
              <w:right w:val="nil"/>
            </w:tcBorders>
            <w:vAlign w:val="center"/>
          </w:tcPr>
          <w:p w14:paraId="721DFDC0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no electricity</w:t>
            </w:r>
          </w:p>
        </w:tc>
        <w:tc>
          <w:tcPr>
            <w:tcW w:w="1408" w:type="dxa"/>
            <w:tcBorders>
              <w:top w:val="nil"/>
              <w:left w:val="nil"/>
            </w:tcBorders>
            <w:vAlign w:val="center"/>
          </w:tcPr>
          <w:p w14:paraId="039C918C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&lt;1</w:t>
            </w:r>
          </w:p>
        </w:tc>
      </w:tr>
      <w:tr w:rsidR="008E05EA" w:rsidRPr="002A721E" w14:paraId="2CE4CB2C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bottom w:val="nil"/>
              <w:right w:val="nil"/>
            </w:tcBorders>
            <w:vAlign w:val="center"/>
          </w:tcPr>
          <w:p w14:paraId="121F042D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5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FED9E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BQ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, K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vertAlign w:val="subscript"/>
                <w:lang w:val="en-US" w:eastAsia="zh-CN"/>
              </w:rPr>
              <w:t>2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S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vertAlign w:val="subscript"/>
                <w:lang w:val="en-US" w:eastAsia="zh-CN"/>
              </w:rPr>
              <w:t>2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O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vertAlign w:val="subscript"/>
                <w:lang w:val="en-US" w:eastAsia="zh-CN"/>
              </w:rPr>
              <w:t>8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, or Ag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vertAlign w:val="subscript"/>
                <w:lang w:val="en-US" w:eastAsia="zh-CN"/>
              </w:rPr>
              <w:t>2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CO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vertAlign w:val="subscript"/>
                <w:lang w:val="en-US" w:eastAsia="zh-CN"/>
              </w:rPr>
              <w:t>3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 xml:space="preserve"> (2 equiv.) instead of electricity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</w:tcBorders>
            <w:vAlign w:val="center"/>
          </w:tcPr>
          <w:p w14:paraId="717B93DF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&lt;1</w:t>
            </w:r>
          </w:p>
        </w:tc>
      </w:tr>
      <w:tr w:rsidR="008E05EA" w:rsidRPr="002A721E" w14:paraId="76554A30" w14:textId="77777777" w:rsidTr="00385962">
        <w:trPr>
          <w:trHeight w:val="111"/>
          <w:jc w:val="center"/>
        </w:trPr>
        <w:tc>
          <w:tcPr>
            <w:tcW w:w="653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605325E2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58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E13334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I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vertAlign w:val="subscript"/>
                <w:lang w:val="en-US" w:eastAsia="zh-CN"/>
              </w:rPr>
              <w:t>2</w:t>
            </w: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 xml:space="preserve"> (2 equiv.) instead of electricity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0A764582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2A721E"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  <w:t>8%</w:t>
            </w:r>
          </w:p>
        </w:tc>
      </w:tr>
      <w:tr w:rsidR="008E05EA" w:rsidRPr="002A721E" w14:paraId="08995E0C" w14:textId="77777777" w:rsidTr="00385962">
        <w:trPr>
          <w:trHeight w:val="32"/>
          <w:jc w:val="center"/>
        </w:trPr>
        <w:tc>
          <w:tcPr>
            <w:tcW w:w="7903" w:type="dxa"/>
            <w:gridSpan w:val="3"/>
            <w:tcBorders>
              <w:top w:val="single" w:sz="12" w:space="0" w:color="auto"/>
            </w:tcBorders>
          </w:tcPr>
          <w:p w14:paraId="410C1BF5" w14:textId="77777777" w:rsidR="008E05EA" w:rsidRPr="002A721E" w:rsidRDefault="008E05EA" w:rsidP="00385962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2A721E">
              <w:rPr>
                <w:rFonts w:ascii="Times New Roman" w:hAnsi="Times New Roman"/>
                <w:i/>
                <w:iCs/>
                <w:sz w:val="21"/>
                <w:szCs w:val="21"/>
                <w:vertAlign w:val="superscript"/>
              </w:rPr>
              <w:t>a</w:t>
            </w:r>
            <w:r w:rsidRPr="002A721E">
              <w:rPr>
                <w:rFonts w:ascii="Times New Roman" w:hAnsi="Times New Roman"/>
                <w:sz w:val="21"/>
                <w:szCs w:val="21"/>
              </w:rPr>
              <w:t xml:space="preserve">Conditions: </w:t>
            </w:r>
            <w:r w:rsidRPr="002A721E">
              <w:rPr>
                <w:rFonts w:ascii="Times New Roman" w:hAnsi="Times New Roman"/>
                <w:b/>
                <w:sz w:val="21"/>
                <w:szCs w:val="21"/>
              </w:rPr>
              <w:t>1a’</w:t>
            </w:r>
            <w:r w:rsidRPr="002A721E">
              <w:rPr>
                <w:rFonts w:ascii="Times New Roman" w:hAnsi="Times New Roman"/>
                <w:bCs/>
                <w:sz w:val="21"/>
                <w:szCs w:val="21"/>
              </w:rPr>
              <w:t xml:space="preserve"> (</w:t>
            </w:r>
            <w:r w:rsidRPr="002A721E">
              <w:rPr>
                <w:rFonts w:ascii="Times New Roman" w:hAnsi="Times New Roman"/>
                <w:sz w:val="21"/>
                <w:szCs w:val="21"/>
              </w:rPr>
              <w:t xml:space="preserve">0.15 mmol), </w:t>
            </w:r>
            <w:r w:rsidRPr="002A721E">
              <w:rPr>
                <w:rFonts w:ascii="Times New Roman" w:hAnsi="Times New Roman"/>
                <w:b/>
                <w:sz w:val="21"/>
                <w:szCs w:val="21"/>
              </w:rPr>
              <w:t>2a</w:t>
            </w:r>
            <w:r w:rsidRPr="002A721E">
              <w:rPr>
                <w:rFonts w:ascii="Times New Roman" w:hAnsi="Times New Roman"/>
                <w:bCs/>
                <w:sz w:val="21"/>
                <w:szCs w:val="21"/>
              </w:rPr>
              <w:t xml:space="preserve"> (0.45 </w:t>
            </w:r>
            <w:r w:rsidRPr="002A721E">
              <w:rPr>
                <w:rFonts w:ascii="Times New Roman" w:hAnsi="Times New Roman"/>
                <w:sz w:val="21"/>
                <w:szCs w:val="21"/>
              </w:rPr>
              <w:t xml:space="preserve">mmol), </w:t>
            </w:r>
            <w:r w:rsidRPr="002A721E">
              <w:rPr>
                <w:rFonts w:ascii="Times New Roman" w:hAnsi="Times New Roman"/>
                <w:i/>
                <w:iCs/>
                <w:sz w:val="21"/>
                <w:szCs w:val="21"/>
                <w:vertAlign w:val="superscript"/>
              </w:rPr>
              <w:t>n</w:t>
            </w:r>
            <w:r w:rsidRPr="002A721E">
              <w:rPr>
                <w:rFonts w:ascii="Times New Roman" w:hAnsi="Times New Roman"/>
                <w:sz w:val="21"/>
                <w:szCs w:val="21"/>
              </w:rPr>
              <w:t>Bu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</w:rPr>
              <w:t>4</w:t>
            </w:r>
            <w:r w:rsidRPr="002A721E">
              <w:rPr>
                <w:rFonts w:ascii="Times New Roman" w:hAnsi="Times New Roman"/>
                <w:sz w:val="21"/>
                <w:szCs w:val="21"/>
              </w:rPr>
              <w:t>NBF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</w:rPr>
              <w:t>4</w:t>
            </w:r>
            <w:r w:rsidRPr="002A721E">
              <w:rPr>
                <w:rFonts w:ascii="Times New Roman" w:hAnsi="Times New Roman"/>
                <w:bCs/>
                <w:sz w:val="21"/>
                <w:szCs w:val="21"/>
              </w:rPr>
              <w:t xml:space="preserve"> (</w:t>
            </w:r>
            <w:r w:rsidRPr="002A721E">
              <w:rPr>
                <w:rFonts w:ascii="Times New Roman" w:hAnsi="Times New Roman"/>
                <w:sz w:val="21"/>
                <w:szCs w:val="21"/>
              </w:rPr>
              <w:t xml:space="preserve">0.15 mmol), MeOH/CPME (3:1, 2 mL), undivided cell with GF </w:t>
            </w:r>
            <w:r w:rsidRPr="002A721E">
              <w:rPr>
                <w:rFonts w:ascii="Times New Roman" w:hAnsi="Times New Roman"/>
                <w:sz w:val="21"/>
                <w:szCs w:val="21"/>
                <w:lang w:eastAsia="zh-CN"/>
              </w:rPr>
              <w:t>anode</w:t>
            </w:r>
            <w:r w:rsidRPr="002A721E">
              <w:rPr>
                <w:rFonts w:ascii="Times New Roman" w:hAnsi="Times New Roman"/>
                <w:sz w:val="21"/>
                <w:szCs w:val="21"/>
              </w:rPr>
              <w:t xml:space="preserve"> electrode (10 </w:t>
            </w:r>
            <w:r w:rsidRPr="002A721E">
              <w:rPr>
                <w:rFonts w:ascii="Times New Roman" w:hAnsi="Times New Roman"/>
                <w:sz w:val="21"/>
                <w:szCs w:val="21"/>
                <w:lang w:eastAsia="zh-CN"/>
              </w:rPr>
              <w:t>mm</w:t>
            </w:r>
            <w:r w:rsidRPr="002A721E">
              <w:rPr>
                <w:rFonts w:ascii="Times New Roman" w:hAnsi="Times New Roman"/>
                <w:sz w:val="21"/>
                <w:szCs w:val="21"/>
              </w:rPr>
              <w:t xml:space="preserve"> × 20 mm × 2 mm) and Pt cathode electrode (10 </w:t>
            </w:r>
            <w:r w:rsidRPr="002A721E">
              <w:rPr>
                <w:rFonts w:ascii="Times New Roman" w:hAnsi="Times New Roman"/>
                <w:sz w:val="21"/>
                <w:szCs w:val="21"/>
                <w:lang w:eastAsia="zh-CN"/>
              </w:rPr>
              <w:t>mm</w:t>
            </w:r>
            <w:r w:rsidRPr="002A721E">
              <w:rPr>
                <w:rFonts w:ascii="Times New Roman" w:hAnsi="Times New Roman"/>
                <w:sz w:val="21"/>
                <w:szCs w:val="21"/>
              </w:rPr>
              <w:t xml:space="preserve"> × 20 mm × 0.3 mm), constant current of 5 mA (ca. 1.9 F</w:t>
            </w:r>
            <w:r w:rsidRPr="002A721E">
              <w:rPr>
                <w:rFonts w:ascii="Times New Roman" w:hAnsi="Times New Roman"/>
                <w:b/>
                <w:sz w:val="21"/>
                <w:szCs w:val="21"/>
                <w:vertAlign w:val="superscript"/>
              </w:rPr>
              <w:t>.</w:t>
            </w:r>
            <w:r w:rsidRPr="002A721E">
              <w:rPr>
                <w:rFonts w:ascii="Times New Roman" w:hAnsi="Times New Roman"/>
                <w:sz w:val="21"/>
                <w:szCs w:val="21"/>
              </w:rPr>
              <w:t>mol</w:t>
            </w:r>
            <w:r w:rsidRPr="002A721E">
              <w:rPr>
                <w:rFonts w:ascii="Times New Roman" w:hAnsi="Times New Roman"/>
                <w:sz w:val="21"/>
                <w:szCs w:val="21"/>
                <w:vertAlign w:val="superscript"/>
              </w:rPr>
              <w:t>-1</w:t>
            </w:r>
            <w:r w:rsidRPr="002A721E">
              <w:rPr>
                <w:rFonts w:ascii="Times New Roman" w:hAnsi="Times New Roman"/>
                <w:sz w:val="21"/>
                <w:szCs w:val="21"/>
              </w:rPr>
              <w:t>), room temperature (25 °C), 1.5 h, under N</w:t>
            </w:r>
            <w:r w:rsidRPr="002A721E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2A721E">
              <w:rPr>
                <w:rFonts w:ascii="Times New Roman" w:hAnsi="Times New Roman"/>
                <w:sz w:val="21"/>
                <w:szCs w:val="21"/>
              </w:rPr>
              <w:t xml:space="preserve">; then hydrolysis with 6 M HCl (5 mL) in MeCN at </w:t>
            </w:r>
            <w:bookmarkStart w:id="3" w:name="_Hlk150789626"/>
            <w:r w:rsidRPr="002A721E">
              <w:rPr>
                <w:rFonts w:ascii="Times New Roman" w:hAnsi="Times New Roman"/>
                <w:sz w:val="21"/>
                <w:szCs w:val="21"/>
              </w:rPr>
              <w:t xml:space="preserve">60 </w:t>
            </w:r>
            <w:bookmarkStart w:id="4" w:name="_Hlk163596165"/>
            <w:r w:rsidRPr="002A721E">
              <w:rPr>
                <w:rFonts w:ascii="Times New Roman" w:hAnsi="Times New Roman"/>
                <w:sz w:val="21"/>
                <w:szCs w:val="21"/>
              </w:rPr>
              <w:t>°C</w:t>
            </w:r>
            <w:bookmarkEnd w:id="3"/>
            <w:r w:rsidRPr="002A721E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bookmarkEnd w:id="4"/>
            <w:r w:rsidRPr="002A721E">
              <w:rPr>
                <w:rFonts w:ascii="Times New Roman" w:hAnsi="Times New Roman"/>
                <w:sz w:val="21"/>
                <w:szCs w:val="21"/>
              </w:rPr>
              <w:t xml:space="preserve">for 24 h. </w:t>
            </w:r>
            <w:bookmarkStart w:id="5" w:name="_Hlk64838880"/>
            <w:r w:rsidRPr="002A721E">
              <w:rPr>
                <w:rFonts w:ascii="Times New Roman" w:hAnsi="Times New Roman"/>
                <w:sz w:val="21"/>
                <w:szCs w:val="21"/>
              </w:rPr>
              <w:t>Isolated yields.</w:t>
            </w:r>
            <w:bookmarkEnd w:id="5"/>
          </w:p>
        </w:tc>
      </w:tr>
    </w:tbl>
    <w:p w14:paraId="1E73FC95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5EA"/>
    <w:rsid w:val="00110104"/>
    <w:rsid w:val="0021090F"/>
    <w:rsid w:val="00220E4E"/>
    <w:rsid w:val="003A76DF"/>
    <w:rsid w:val="008E05EA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9DD10"/>
  <w15:chartTrackingRefBased/>
  <w15:docId w15:val="{8DCBE580-CD09-4460-928D-5DB6510D6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5EA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qFormat/>
    <w:rsid w:val="008E05EA"/>
    <w:pPr>
      <w:widowControl/>
      <w:spacing w:line="225" w:lineRule="exact"/>
    </w:pPr>
    <w:rPr>
      <w:rFonts w:ascii="Arial" w:eastAsia="MS Mincho" w:hAnsi="Arial"/>
      <w:kern w:val="0"/>
      <w:sz w:val="17"/>
      <w:szCs w:val="24"/>
      <w:lang w:eastAsia="ja-JP"/>
    </w:rPr>
  </w:style>
  <w:style w:type="paragraph" w:customStyle="1" w:styleId="TableCaption">
    <w:name w:val="TableCaption"/>
    <w:basedOn w:val="Normal"/>
    <w:autoRedefine/>
    <w:qFormat/>
    <w:rsid w:val="008E05EA"/>
    <w:pPr>
      <w:widowControl/>
      <w:spacing w:after="120" w:line="180" w:lineRule="exact"/>
    </w:pPr>
    <w:rPr>
      <w:rFonts w:ascii="Arial" w:eastAsia="MS Mincho" w:hAnsi="Arial"/>
      <w:kern w:val="0"/>
      <w:sz w:val="14"/>
      <w:szCs w:val="14"/>
      <w:lang w:val="en-GB" w:eastAsia="ja-JP"/>
    </w:rPr>
  </w:style>
  <w:style w:type="paragraph" w:customStyle="1" w:styleId="TableBody">
    <w:name w:val="TableBody"/>
    <w:basedOn w:val="Normal"/>
    <w:qFormat/>
    <w:rsid w:val="008E05EA"/>
    <w:pPr>
      <w:widowControl/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line="180" w:lineRule="exact"/>
    </w:pPr>
    <w:rPr>
      <w:rFonts w:ascii="Arial" w:eastAsia="MS Mincho" w:hAnsi="Arial"/>
      <w:kern w:val="0"/>
      <w:sz w:val="14"/>
      <w:szCs w:val="1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953</Characters>
  <Application>Microsoft Office Word</Application>
  <DocSecurity>0</DocSecurity>
  <Lines>7</Lines>
  <Paragraphs>2</Paragraphs>
  <ScaleCrop>false</ScaleCrop>
  <Company>Springer Nature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2024-04-23T09:58:00Z</dcterms:created>
  <dcterms:modified xsi:type="dcterms:W3CDTF">2024-04-23T09:59:00Z</dcterms:modified>
</cp:coreProperties>
</file>