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94DFA2" w14:textId="2E18A364" w:rsidR="00E11B99" w:rsidRDefault="00E11B99" w:rsidP="00E11B99">
      <w:r>
        <w:rPr>
          <w:noProof/>
        </w:rPr>
        <w:drawing>
          <wp:inline distT="0" distB="0" distL="114300" distR="114300" wp14:anchorId="0240F798" wp14:editId="1167218B">
            <wp:extent cx="5274310" cy="2334895"/>
            <wp:effectExtent l="0" t="0" r="8890" b="1905"/>
            <wp:docPr id="9" name="图片 9" descr="Figure 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Figure S1"/>
                    <pic:cNvPicPr>
                      <a:picLocks noChangeAspect="1"/>
                    </pic:cNvPicPr>
                  </pic:nvPicPr>
                  <pic:blipFill>
                    <a:blip r:embed="rId4"/>
                    <a:stretch>
                      <a:fillRect/>
                    </a:stretch>
                  </pic:blipFill>
                  <pic:spPr>
                    <a:xfrm>
                      <a:off x="0" y="0"/>
                      <a:ext cx="5274310" cy="2334895"/>
                    </a:xfrm>
                    <a:prstGeom prst="rect">
                      <a:avLst/>
                    </a:prstGeom>
                  </pic:spPr>
                </pic:pic>
              </a:graphicData>
            </a:graphic>
          </wp:inline>
        </w:drawing>
      </w:r>
    </w:p>
    <w:p w14:paraId="74540DCF" w14:textId="77777777" w:rsidR="00E11B99" w:rsidRDefault="00E11B99" w:rsidP="00E11B99">
      <w:r>
        <w:t>Fig. S1.</w:t>
      </w:r>
    </w:p>
    <w:p w14:paraId="57A2B4BC" w14:textId="77777777" w:rsidR="00E11B99" w:rsidRDefault="00E11B99" w:rsidP="00E11B99">
      <w:r>
        <w:br w:type="page"/>
      </w:r>
    </w:p>
    <w:p w14:paraId="17FC77ED" w14:textId="77777777" w:rsidR="00E11B99" w:rsidRDefault="00E11B99" w:rsidP="00E11B99">
      <w:r>
        <w:rPr>
          <w:noProof/>
        </w:rPr>
        <w:lastRenderedPageBreak/>
        <w:drawing>
          <wp:inline distT="0" distB="0" distL="114300" distR="114300" wp14:anchorId="6D3A3208" wp14:editId="6C9E5071">
            <wp:extent cx="5271770" cy="3225800"/>
            <wp:effectExtent l="0" t="0" r="11430" b="0"/>
            <wp:docPr id="10" name="图片 10" descr="Figure 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Figure S2"/>
                    <pic:cNvPicPr>
                      <a:picLocks noChangeAspect="1"/>
                    </pic:cNvPicPr>
                  </pic:nvPicPr>
                  <pic:blipFill>
                    <a:blip r:embed="rId5"/>
                    <a:stretch>
                      <a:fillRect/>
                    </a:stretch>
                  </pic:blipFill>
                  <pic:spPr>
                    <a:xfrm>
                      <a:off x="0" y="0"/>
                      <a:ext cx="5271770" cy="3225800"/>
                    </a:xfrm>
                    <a:prstGeom prst="rect">
                      <a:avLst/>
                    </a:prstGeom>
                  </pic:spPr>
                </pic:pic>
              </a:graphicData>
            </a:graphic>
          </wp:inline>
        </w:drawing>
      </w:r>
    </w:p>
    <w:p w14:paraId="4B917A97" w14:textId="77777777" w:rsidR="00E11B99" w:rsidRDefault="00E11B99" w:rsidP="00E11B99">
      <w:r>
        <w:t>Fig. S2.</w:t>
      </w:r>
    </w:p>
    <w:p w14:paraId="2718D53D" w14:textId="77777777" w:rsidR="00E11B99" w:rsidRDefault="00E11B99" w:rsidP="00E11B99">
      <w:r>
        <w:br w:type="page"/>
      </w:r>
    </w:p>
    <w:p w14:paraId="7EB94B97" w14:textId="77777777" w:rsidR="00E11B99" w:rsidRDefault="00E11B99" w:rsidP="00E11B99">
      <w:r>
        <w:rPr>
          <w:noProof/>
        </w:rPr>
        <w:lastRenderedPageBreak/>
        <w:drawing>
          <wp:inline distT="0" distB="0" distL="114300" distR="114300" wp14:anchorId="108102DA" wp14:editId="40572C27">
            <wp:extent cx="5267325" cy="3731260"/>
            <wp:effectExtent l="0" t="0" r="3175" b="2540"/>
            <wp:docPr id="11" name="图片 11" descr="Figure 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Figure S3"/>
                    <pic:cNvPicPr>
                      <a:picLocks noChangeAspect="1"/>
                    </pic:cNvPicPr>
                  </pic:nvPicPr>
                  <pic:blipFill>
                    <a:blip r:embed="rId6"/>
                    <a:stretch>
                      <a:fillRect/>
                    </a:stretch>
                  </pic:blipFill>
                  <pic:spPr>
                    <a:xfrm>
                      <a:off x="0" y="0"/>
                      <a:ext cx="5267325" cy="3731260"/>
                    </a:xfrm>
                    <a:prstGeom prst="rect">
                      <a:avLst/>
                    </a:prstGeom>
                  </pic:spPr>
                </pic:pic>
              </a:graphicData>
            </a:graphic>
          </wp:inline>
        </w:drawing>
      </w:r>
    </w:p>
    <w:p w14:paraId="2595D62B" w14:textId="77777777" w:rsidR="00E11B99" w:rsidRDefault="00E11B99" w:rsidP="00E11B99">
      <w:r>
        <w:t>Fig. S3.</w:t>
      </w:r>
    </w:p>
    <w:p w14:paraId="00460245" w14:textId="77777777" w:rsidR="00E11B99" w:rsidRDefault="00E11B99" w:rsidP="00E11B99">
      <w:r>
        <w:br w:type="page"/>
      </w:r>
    </w:p>
    <w:p w14:paraId="18D1D1F5" w14:textId="77777777" w:rsidR="00E11B99" w:rsidRDefault="00E11B99" w:rsidP="00E11B99">
      <w:r>
        <w:rPr>
          <w:noProof/>
        </w:rPr>
        <w:lastRenderedPageBreak/>
        <w:drawing>
          <wp:inline distT="0" distB="0" distL="114300" distR="114300" wp14:anchorId="6B45AE87" wp14:editId="6B45737E">
            <wp:extent cx="5267325" cy="3649345"/>
            <wp:effectExtent l="0" t="0" r="3175" b="8255"/>
            <wp:docPr id="12" name="图片 12" descr="Figure 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Figure S4"/>
                    <pic:cNvPicPr>
                      <a:picLocks noChangeAspect="1"/>
                    </pic:cNvPicPr>
                  </pic:nvPicPr>
                  <pic:blipFill>
                    <a:blip r:embed="rId7"/>
                    <a:stretch>
                      <a:fillRect/>
                    </a:stretch>
                  </pic:blipFill>
                  <pic:spPr>
                    <a:xfrm>
                      <a:off x="0" y="0"/>
                      <a:ext cx="5267325" cy="3649345"/>
                    </a:xfrm>
                    <a:prstGeom prst="rect">
                      <a:avLst/>
                    </a:prstGeom>
                  </pic:spPr>
                </pic:pic>
              </a:graphicData>
            </a:graphic>
          </wp:inline>
        </w:drawing>
      </w:r>
    </w:p>
    <w:p w14:paraId="44706305" w14:textId="77777777" w:rsidR="00E11B99" w:rsidRDefault="00E11B99" w:rsidP="00E11B99">
      <w:r>
        <w:t>Fig. S4.</w:t>
      </w:r>
    </w:p>
    <w:p w14:paraId="269395CF" w14:textId="77777777" w:rsidR="00E11B99" w:rsidRDefault="00E11B99" w:rsidP="00E11B99">
      <w:r>
        <w:br w:type="page"/>
      </w:r>
    </w:p>
    <w:p w14:paraId="06E6EDD6" w14:textId="77777777" w:rsidR="00E11B99" w:rsidRDefault="00E11B99" w:rsidP="00E11B99">
      <w:r>
        <w:rPr>
          <w:noProof/>
        </w:rPr>
        <w:lastRenderedPageBreak/>
        <w:drawing>
          <wp:inline distT="0" distB="0" distL="114300" distR="114300" wp14:anchorId="626C8BC0" wp14:editId="793A4300">
            <wp:extent cx="5267960" cy="3782695"/>
            <wp:effectExtent l="0" t="0" r="2540" b="1905"/>
            <wp:docPr id="13" name="图片 13" descr="Figure S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Figure S5"/>
                    <pic:cNvPicPr>
                      <a:picLocks noChangeAspect="1"/>
                    </pic:cNvPicPr>
                  </pic:nvPicPr>
                  <pic:blipFill>
                    <a:blip r:embed="rId8"/>
                    <a:stretch>
                      <a:fillRect/>
                    </a:stretch>
                  </pic:blipFill>
                  <pic:spPr>
                    <a:xfrm>
                      <a:off x="0" y="0"/>
                      <a:ext cx="5267960" cy="3782695"/>
                    </a:xfrm>
                    <a:prstGeom prst="rect">
                      <a:avLst/>
                    </a:prstGeom>
                  </pic:spPr>
                </pic:pic>
              </a:graphicData>
            </a:graphic>
          </wp:inline>
        </w:drawing>
      </w:r>
    </w:p>
    <w:p w14:paraId="643ED0BB" w14:textId="77777777" w:rsidR="00E11B99" w:rsidRDefault="00E11B99" w:rsidP="00E11B99">
      <w:r>
        <w:t>Fig. S5.</w:t>
      </w:r>
    </w:p>
    <w:p w14:paraId="58DA734B" w14:textId="77777777" w:rsidR="00E11B99" w:rsidRDefault="00E11B99" w:rsidP="00E11B99">
      <w:r>
        <w:br w:type="page"/>
      </w:r>
    </w:p>
    <w:p w14:paraId="4F85EA86" w14:textId="77777777" w:rsidR="00E11B99" w:rsidRDefault="00E11B99" w:rsidP="00E11B99">
      <w:r>
        <w:rPr>
          <w:noProof/>
        </w:rPr>
        <w:lastRenderedPageBreak/>
        <w:drawing>
          <wp:inline distT="0" distB="0" distL="114300" distR="114300" wp14:anchorId="4B2959AD" wp14:editId="0C62134C">
            <wp:extent cx="5268595" cy="3722370"/>
            <wp:effectExtent l="0" t="0" r="1905" b="11430"/>
            <wp:docPr id="14" name="图片 14" descr="Figure S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Figure S6"/>
                    <pic:cNvPicPr>
                      <a:picLocks noChangeAspect="1"/>
                    </pic:cNvPicPr>
                  </pic:nvPicPr>
                  <pic:blipFill>
                    <a:blip r:embed="rId9"/>
                    <a:stretch>
                      <a:fillRect/>
                    </a:stretch>
                  </pic:blipFill>
                  <pic:spPr>
                    <a:xfrm>
                      <a:off x="0" y="0"/>
                      <a:ext cx="5268595" cy="3722370"/>
                    </a:xfrm>
                    <a:prstGeom prst="rect">
                      <a:avLst/>
                    </a:prstGeom>
                  </pic:spPr>
                </pic:pic>
              </a:graphicData>
            </a:graphic>
          </wp:inline>
        </w:drawing>
      </w:r>
    </w:p>
    <w:p w14:paraId="5F82EE32" w14:textId="77777777" w:rsidR="00E11B99" w:rsidRDefault="00E11B99" w:rsidP="00E11B99">
      <w:r>
        <w:t>Fig. S6.</w:t>
      </w:r>
    </w:p>
    <w:p w14:paraId="3CF8D3FF" w14:textId="77777777" w:rsidR="00E11B99" w:rsidRDefault="00E11B99" w:rsidP="00E11B99">
      <w:r>
        <w:br w:type="page"/>
      </w:r>
    </w:p>
    <w:p w14:paraId="30E9C3B1" w14:textId="77777777" w:rsidR="00E11B99" w:rsidRDefault="00E11B99" w:rsidP="00E11B99">
      <w:r>
        <w:rPr>
          <w:noProof/>
        </w:rPr>
        <w:lastRenderedPageBreak/>
        <w:drawing>
          <wp:inline distT="0" distB="0" distL="114300" distR="114300" wp14:anchorId="298B0F18" wp14:editId="56CEE64E">
            <wp:extent cx="5268595" cy="2287905"/>
            <wp:effectExtent l="0" t="0" r="1905" b="10795"/>
            <wp:docPr id="15" name="图片 15" descr="Figure S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Figure S7"/>
                    <pic:cNvPicPr>
                      <a:picLocks noChangeAspect="1"/>
                    </pic:cNvPicPr>
                  </pic:nvPicPr>
                  <pic:blipFill>
                    <a:blip r:embed="rId10"/>
                    <a:stretch>
                      <a:fillRect/>
                    </a:stretch>
                  </pic:blipFill>
                  <pic:spPr>
                    <a:xfrm>
                      <a:off x="0" y="0"/>
                      <a:ext cx="5268595" cy="2287905"/>
                    </a:xfrm>
                    <a:prstGeom prst="rect">
                      <a:avLst/>
                    </a:prstGeom>
                  </pic:spPr>
                </pic:pic>
              </a:graphicData>
            </a:graphic>
          </wp:inline>
        </w:drawing>
      </w:r>
    </w:p>
    <w:p w14:paraId="13051FEA" w14:textId="77777777" w:rsidR="00E11B99" w:rsidRDefault="00E11B99" w:rsidP="00E11B99">
      <w:r>
        <w:t>Fig. S7.</w:t>
      </w:r>
    </w:p>
    <w:p w14:paraId="266A8312" w14:textId="77777777" w:rsidR="00E11B99" w:rsidRDefault="00E11B99" w:rsidP="00E11B99"/>
    <w:p w14:paraId="5F33166A" w14:textId="77777777" w:rsidR="00E11B99" w:rsidRDefault="00E11B99" w:rsidP="00E11B99">
      <w:pPr>
        <w:spacing w:line="480" w:lineRule="auto"/>
        <w:rPr>
          <w:rFonts w:eastAsia="DengXian"/>
          <w:color w:val="000000" w:themeColor="text1"/>
          <w:sz w:val="24"/>
        </w:rPr>
      </w:pPr>
      <w:r>
        <w:rPr>
          <w:rFonts w:eastAsia="DengXian"/>
          <w:b/>
          <w:bCs/>
          <w:color w:val="000000" w:themeColor="text1"/>
          <w:sz w:val="24"/>
        </w:rPr>
        <w:t>Fig. S1.</w:t>
      </w:r>
      <w:r>
        <w:rPr>
          <w:rFonts w:eastAsia="DengXian"/>
          <w:color w:val="000000" w:themeColor="text1"/>
          <w:sz w:val="24"/>
        </w:rPr>
        <w:t xml:space="preserve"> The major clinical data among the four groups. (A–H) Boxplots with major clinical outcomes for participants in the four groups. (A) Age. (B) BMI. (C) SBP. (D) DBP. (E) TC. (F) TG. (G) LDL-C. (H) HDL-C. BMI, body mass index; SBP, systolic pressure; DBP, diastolic pressure; TC, total cholesterol; TG, triglyceride; LDL-C, low density lipoprotein cholesterol; HDL-C, high-density lipoprotein cholesterol; H, healthy; PDM, prediabetes; NDDM, newly diagnosed diabetes; P2DM, post medication type 2 diabetes. *</w:t>
      </w:r>
      <w:r>
        <w:rPr>
          <w:rFonts w:eastAsia="DengXian"/>
          <w:i/>
          <w:iCs/>
          <w:color w:val="000000" w:themeColor="text1"/>
          <w:sz w:val="24"/>
        </w:rPr>
        <w:t>p</w:t>
      </w:r>
      <w:r>
        <w:rPr>
          <w:rFonts w:eastAsia="DengXian"/>
          <w:color w:val="000000" w:themeColor="text1"/>
          <w:sz w:val="24"/>
        </w:rPr>
        <w:t xml:space="preserve"> &lt; 0.05; ****</w:t>
      </w:r>
      <w:r>
        <w:rPr>
          <w:rFonts w:eastAsia="DengXian"/>
          <w:i/>
          <w:iCs/>
          <w:color w:val="000000" w:themeColor="text1"/>
          <w:sz w:val="24"/>
        </w:rPr>
        <w:t>p</w:t>
      </w:r>
      <w:r>
        <w:rPr>
          <w:rFonts w:eastAsia="DengXian"/>
          <w:color w:val="000000" w:themeColor="text1"/>
          <w:sz w:val="24"/>
        </w:rPr>
        <w:t xml:space="preserve"> &lt; 0.0001; ns: no significant difference.</w:t>
      </w:r>
    </w:p>
    <w:p w14:paraId="45EFC849" w14:textId="77777777" w:rsidR="00E11B99" w:rsidRDefault="00E11B99" w:rsidP="00E11B99">
      <w:pPr>
        <w:spacing w:line="480" w:lineRule="auto"/>
        <w:rPr>
          <w:rFonts w:eastAsia="DengXian"/>
          <w:color w:val="000000" w:themeColor="text1"/>
          <w:sz w:val="24"/>
        </w:rPr>
      </w:pPr>
      <w:r>
        <w:rPr>
          <w:b/>
          <w:bCs/>
          <w:color w:val="000000" w:themeColor="text1"/>
          <w:sz w:val="24"/>
        </w:rPr>
        <w:t>Fig. S2</w:t>
      </w:r>
      <w:r>
        <w:rPr>
          <w:color w:val="000000" w:themeColor="text1"/>
          <w:sz w:val="24"/>
        </w:rPr>
        <w:t xml:space="preserve">. </w:t>
      </w:r>
      <w:r>
        <w:rPr>
          <w:rFonts w:eastAsia="DengXian"/>
          <w:color w:val="000000" w:themeColor="text1"/>
          <w:sz w:val="24"/>
        </w:rPr>
        <w:t>Alpha-diversity and beta-diversity of microbial community among the four groups. (A) The microbial diversity estimated by simpson index on species level. (B) The microbial diversity estimated by chao index on species level. (C) NMDS analysis of the bacterial community in four groups. (D) Venn diagrams of microbial community at the phylum level. (E) Venn diagrams of microbial community at the genus level. NMDS, non-metric multidimensional scaling. H, healthy; PDM, prediabetes; NDDM, newly diagnosed diabetes; P2DM, post medication type 2 diabetes.</w:t>
      </w:r>
    </w:p>
    <w:p w14:paraId="1AE361F4" w14:textId="77777777" w:rsidR="00E11B99" w:rsidRDefault="00E11B99" w:rsidP="00E11B99">
      <w:pPr>
        <w:spacing w:line="480" w:lineRule="auto"/>
        <w:rPr>
          <w:rFonts w:eastAsia="DengXian"/>
          <w:color w:val="000000" w:themeColor="text1"/>
          <w:sz w:val="24"/>
        </w:rPr>
      </w:pPr>
      <w:r>
        <w:rPr>
          <w:rFonts w:eastAsia="DengXian"/>
          <w:b/>
          <w:bCs/>
          <w:color w:val="000000" w:themeColor="text1"/>
          <w:sz w:val="24"/>
        </w:rPr>
        <w:t xml:space="preserve">Fig. S3. </w:t>
      </w:r>
      <w:r>
        <w:rPr>
          <w:rFonts w:eastAsia="DengXian"/>
          <w:color w:val="000000" w:themeColor="text1"/>
          <w:sz w:val="24"/>
        </w:rPr>
        <w:t xml:space="preserve">Comparison of the microbial community composition at the species level among the four groups. (A) Heatmap plot showing the differential species abundance analysis to assess significant elevation or depletion in different stage of type 2 diabetes compared with the control group. (B) </w:t>
      </w:r>
      <w:r>
        <w:rPr>
          <w:rFonts w:eastAsia="DengXian"/>
          <w:color w:val="000000" w:themeColor="text1"/>
          <w:sz w:val="24"/>
        </w:rPr>
        <w:lastRenderedPageBreak/>
        <w:t>Comparison of</w:t>
      </w:r>
      <w:r>
        <w:rPr>
          <w:color w:val="000000" w:themeColor="text1"/>
          <w:sz w:val="24"/>
        </w:rPr>
        <w:t xml:space="preserve"> </w:t>
      </w:r>
      <w:r>
        <w:rPr>
          <w:rFonts w:eastAsia="DengXian"/>
          <w:i/>
          <w:iCs/>
          <w:color w:val="000000" w:themeColor="text1"/>
          <w:sz w:val="24"/>
        </w:rPr>
        <w:t>Escherichia coli</w:t>
      </w:r>
      <w:r>
        <w:rPr>
          <w:color w:val="000000" w:themeColor="text1"/>
          <w:sz w:val="24"/>
        </w:rPr>
        <w:t xml:space="preserve"> in different groups</w:t>
      </w:r>
      <w:r>
        <w:rPr>
          <w:rFonts w:eastAsia="DengXian"/>
          <w:color w:val="000000" w:themeColor="text1"/>
          <w:sz w:val="24"/>
        </w:rPr>
        <w:t>. (C) Comparison of</w:t>
      </w:r>
      <w:r>
        <w:rPr>
          <w:color w:val="000000" w:themeColor="text1"/>
          <w:sz w:val="24"/>
        </w:rPr>
        <w:t xml:space="preserve"> </w:t>
      </w:r>
      <w:r>
        <w:rPr>
          <w:rFonts w:eastAsia="DengXian"/>
          <w:i/>
          <w:iCs/>
          <w:color w:val="000000" w:themeColor="text1"/>
          <w:sz w:val="24"/>
        </w:rPr>
        <w:t>Ruminococcus torques</w:t>
      </w:r>
      <w:r>
        <w:rPr>
          <w:color w:val="000000" w:themeColor="text1"/>
          <w:sz w:val="24"/>
        </w:rPr>
        <w:t xml:space="preserve"> in different groups</w:t>
      </w:r>
      <w:r>
        <w:rPr>
          <w:rFonts w:eastAsia="DengXian"/>
          <w:color w:val="000000" w:themeColor="text1"/>
          <w:sz w:val="24"/>
        </w:rPr>
        <w:t>. (D) Comparison of</w:t>
      </w:r>
      <w:r>
        <w:rPr>
          <w:color w:val="000000" w:themeColor="text1"/>
          <w:sz w:val="24"/>
        </w:rPr>
        <w:t xml:space="preserve"> </w:t>
      </w:r>
      <w:r>
        <w:rPr>
          <w:rFonts w:eastAsia="DengXian"/>
          <w:i/>
          <w:iCs/>
          <w:color w:val="000000" w:themeColor="text1"/>
          <w:sz w:val="24"/>
        </w:rPr>
        <w:t>Ruthenibacterium lactatiformans</w:t>
      </w:r>
      <w:r>
        <w:rPr>
          <w:color w:val="000000" w:themeColor="text1"/>
          <w:sz w:val="24"/>
        </w:rPr>
        <w:t xml:space="preserve"> in different groups</w:t>
      </w:r>
      <w:r>
        <w:rPr>
          <w:rFonts w:eastAsia="DengXian"/>
          <w:color w:val="000000" w:themeColor="text1"/>
          <w:sz w:val="24"/>
        </w:rPr>
        <w:t>. (E) Comparison of</w:t>
      </w:r>
      <w:r>
        <w:rPr>
          <w:color w:val="000000" w:themeColor="text1"/>
          <w:sz w:val="24"/>
        </w:rPr>
        <w:t xml:space="preserve"> </w:t>
      </w:r>
      <w:r>
        <w:rPr>
          <w:rFonts w:eastAsia="DengXian"/>
          <w:i/>
          <w:iCs/>
          <w:color w:val="000000" w:themeColor="text1"/>
          <w:sz w:val="24"/>
        </w:rPr>
        <w:t xml:space="preserve">Akkermansia muciniphila </w:t>
      </w:r>
      <w:r>
        <w:rPr>
          <w:color w:val="000000" w:themeColor="text1"/>
          <w:sz w:val="24"/>
        </w:rPr>
        <w:t>in different groups</w:t>
      </w:r>
      <w:r>
        <w:rPr>
          <w:rFonts w:eastAsia="DengXian"/>
          <w:color w:val="000000" w:themeColor="text1"/>
          <w:sz w:val="24"/>
        </w:rPr>
        <w:t>. (F) Comparison of</w:t>
      </w:r>
      <w:r>
        <w:rPr>
          <w:color w:val="000000" w:themeColor="text1"/>
          <w:sz w:val="24"/>
        </w:rPr>
        <w:t xml:space="preserve"> </w:t>
      </w:r>
      <w:r>
        <w:rPr>
          <w:rFonts w:eastAsia="DengXian"/>
          <w:i/>
          <w:iCs/>
          <w:color w:val="000000" w:themeColor="text1"/>
          <w:sz w:val="24"/>
        </w:rPr>
        <w:t>Klebsiella pneumoniae</w:t>
      </w:r>
      <w:r>
        <w:rPr>
          <w:color w:val="000000" w:themeColor="text1"/>
          <w:sz w:val="24"/>
        </w:rPr>
        <w:t>in different groups</w:t>
      </w:r>
      <w:r>
        <w:rPr>
          <w:rFonts w:eastAsia="DengXian"/>
          <w:color w:val="000000" w:themeColor="text1"/>
          <w:sz w:val="24"/>
        </w:rPr>
        <w:t>. (G) Comparison of</w:t>
      </w:r>
      <w:r>
        <w:rPr>
          <w:color w:val="000000" w:themeColor="text1"/>
          <w:sz w:val="24"/>
        </w:rPr>
        <w:t xml:space="preserve"> </w:t>
      </w:r>
      <w:r>
        <w:rPr>
          <w:rFonts w:eastAsia="DengXian"/>
          <w:i/>
          <w:iCs/>
          <w:color w:val="000000" w:themeColor="text1"/>
          <w:sz w:val="24"/>
        </w:rPr>
        <w:t>Bifidobacterium longum</w:t>
      </w:r>
      <w:r>
        <w:rPr>
          <w:color w:val="000000" w:themeColor="text1"/>
          <w:sz w:val="24"/>
        </w:rPr>
        <w:t xml:space="preserve"> in different groups</w:t>
      </w:r>
      <w:r>
        <w:rPr>
          <w:rFonts w:eastAsia="DengXian"/>
          <w:color w:val="000000" w:themeColor="text1"/>
          <w:sz w:val="24"/>
        </w:rPr>
        <w:t>. (H) Comparison of</w:t>
      </w:r>
      <w:r>
        <w:rPr>
          <w:color w:val="000000" w:themeColor="text1"/>
          <w:sz w:val="24"/>
        </w:rPr>
        <w:t xml:space="preserve"> </w:t>
      </w:r>
      <w:r>
        <w:rPr>
          <w:rFonts w:eastAsia="DengXian"/>
          <w:i/>
          <w:iCs/>
          <w:color w:val="000000" w:themeColor="text1"/>
          <w:sz w:val="24"/>
        </w:rPr>
        <w:t>Alistipes putredinis</w:t>
      </w:r>
      <w:r>
        <w:rPr>
          <w:color w:val="000000" w:themeColor="text1"/>
          <w:sz w:val="24"/>
        </w:rPr>
        <w:t xml:space="preserve"> in different groups</w:t>
      </w:r>
      <w:r>
        <w:rPr>
          <w:rFonts w:eastAsia="DengXian"/>
          <w:color w:val="000000" w:themeColor="text1"/>
          <w:sz w:val="24"/>
        </w:rPr>
        <w:t>. (I) Comparison of</w:t>
      </w:r>
      <w:r>
        <w:rPr>
          <w:color w:val="000000" w:themeColor="text1"/>
          <w:sz w:val="24"/>
        </w:rPr>
        <w:t xml:space="preserve"> </w:t>
      </w:r>
      <w:r>
        <w:rPr>
          <w:rFonts w:eastAsia="DengXian"/>
          <w:i/>
          <w:iCs/>
          <w:color w:val="000000" w:themeColor="text1"/>
          <w:sz w:val="24"/>
        </w:rPr>
        <w:t>Bacteroides stercoris</w:t>
      </w:r>
      <w:r>
        <w:rPr>
          <w:color w:val="000000" w:themeColor="text1"/>
          <w:sz w:val="24"/>
        </w:rPr>
        <w:t xml:space="preserve"> in different groups</w:t>
      </w:r>
      <w:r>
        <w:rPr>
          <w:rFonts w:eastAsia="DengXian"/>
          <w:color w:val="000000" w:themeColor="text1"/>
          <w:sz w:val="24"/>
        </w:rPr>
        <w:t>. (J) Comparison of</w:t>
      </w:r>
      <w:r>
        <w:rPr>
          <w:color w:val="000000" w:themeColor="text1"/>
          <w:sz w:val="24"/>
        </w:rPr>
        <w:t xml:space="preserve"> </w:t>
      </w:r>
      <w:r>
        <w:rPr>
          <w:rFonts w:eastAsia="DengXian"/>
          <w:i/>
          <w:iCs/>
          <w:color w:val="000000" w:themeColor="text1"/>
          <w:sz w:val="24"/>
        </w:rPr>
        <w:t>Bacteroides ovatus</w:t>
      </w:r>
      <w:r>
        <w:rPr>
          <w:color w:val="000000" w:themeColor="text1"/>
          <w:sz w:val="24"/>
        </w:rPr>
        <w:t xml:space="preserve"> in different groups</w:t>
      </w:r>
      <w:r>
        <w:rPr>
          <w:rFonts w:eastAsia="DengXian"/>
          <w:color w:val="000000" w:themeColor="text1"/>
          <w:sz w:val="24"/>
        </w:rPr>
        <w:t>. (K) Comparison of</w:t>
      </w:r>
      <w:r>
        <w:rPr>
          <w:color w:val="000000" w:themeColor="text1"/>
          <w:sz w:val="24"/>
        </w:rPr>
        <w:t xml:space="preserve"> </w:t>
      </w:r>
      <w:r>
        <w:rPr>
          <w:rFonts w:eastAsia="DengXian"/>
          <w:i/>
          <w:iCs/>
          <w:color w:val="000000" w:themeColor="text1"/>
          <w:sz w:val="24"/>
        </w:rPr>
        <w:t xml:space="preserve">Bacteroides uniformis </w:t>
      </w:r>
      <w:r>
        <w:rPr>
          <w:color w:val="000000" w:themeColor="text1"/>
          <w:sz w:val="24"/>
        </w:rPr>
        <w:t>in different groups</w:t>
      </w:r>
      <w:r>
        <w:rPr>
          <w:rFonts w:eastAsia="DengXian"/>
          <w:color w:val="000000" w:themeColor="text1"/>
          <w:sz w:val="24"/>
        </w:rPr>
        <w:t>. (L) Comparison of</w:t>
      </w:r>
      <w:r>
        <w:rPr>
          <w:color w:val="000000" w:themeColor="text1"/>
          <w:sz w:val="24"/>
        </w:rPr>
        <w:t xml:space="preserve"> </w:t>
      </w:r>
      <w:r>
        <w:rPr>
          <w:rFonts w:eastAsia="DengXian"/>
          <w:i/>
          <w:iCs/>
          <w:color w:val="000000" w:themeColor="text1"/>
          <w:sz w:val="24"/>
        </w:rPr>
        <w:t>Roseburia inulinivorans</w:t>
      </w:r>
      <w:r>
        <w:rPr>
          <w:color w:val="000000" w:themeColor="text1"/>
          <w:sz w:val="24"/>
        </w:rPr>
        <w:t xml:space="preserve"> in different groups</w:t>
      </w:r>
      <w:r>
        <w:rPr>
          <w:rFonts w:eastAsia="DengXian"/>
          <w:color w:val="000000" w:themeColor="text1"/>
          <w:sz w:val="24"/>
        </w:rPr>
        <w:t>. (M) Comparison of</w:t>
      </w:r>
      <w:r>
        <w:rPr>
          <w:color w:val="000000" w:themeColor="text1"/>
          <w:sz w:val="24"/>
        </w:rPr>
        <w:t xml:space="preserve"> </w:t>
      </w:r>
      <w:r>
        <w:rPr>
          <w:rFonts w:eastAsia="DengXian"/>
          <w:i/>
          <w:iCs/>
          <w:color w:val="000000" w:themeColor="text1"/>
          <w:sz w:val="24"/>
        </w:rPr>
        <w:t>Phocaeicola vulgatus</w:t>
      </w:r>
      <w:r>
        <w:rPr>
          <w:color w:val="000000" w:themeColor="text1"/>
          <w:sz w:val="24"/>
        </w:rPr>
        <w:t xml:space="preserve"> in different groups</w:t>
      </w:r>
      <w:r>
        <w:rPr>
          <w:rFonts w:eastAsia="DengXian"/>
          <w:color w:val="000000" w:themeColor="text1"/>
          <w:sz w:val="24"/>
        </w:rPr>
        <w:t>. (N) Comparison of</w:t>
      </w:r>
      <w:r>
        <w:rPr>
          <w:color w:val="000000" w:themeColor="text1"/>
          <w:sz w:val="24"/>
        </w:rPr>
        <w:t xml:space="preserve"> </w:t>
      </w:r>
      <w:r>
        <w:rPr>
          <w:rFonts w:eastAsia="DengXian"/>
          <w:i/>
          <w:iCs/>
          <w:color w:val="000000" w:themeColor="text1"/>
          <w:sz w:val="24"/>
        </w:rPr>
        <w:t>Phocaeicola dorei</w:t>
      </w:r>
      <w:r>
        <w:rPr>
          <w:color w:val="000000" w:themeColor="text1"/>
          <w:sz w:val="24"/>
        </w:rPr>
        <w:t xml:space="preserve"> in different groups</w:t>
      </w:r>
      <w:r>
        <w:rPr>
          <w:rFonts w:eastAsia="DengXian"/>
          <w:color w:val="000000" w:themeColor="text1"/>
          <w:sz w:val="24"/>
        </w:rPr>
        <w:t>. (O) Comparison of</w:t>
      </w:r>
      <w:r>
        <w:rPr>
          <w:color w:val="000000" w:themeColor="text1"/>
          <w:sz w:val="24"/>
        </w:rPr>
        <w:t xml:space="preserve"> </w:t>
      </w:r>
      <w:r>
        <w:rPr>
          <w:rFonts w:eastAsia="DengXian"/>
          <w:i/>
          <w:iCs/>
          <w:color w:val="000000" w:themeColor="text1"/>
          <w:sz w:val="24"/>
        </w:rPr>
        <w:t>Phocaeicola massiliensis</w:t>
      </w:r>
      <w:r>
        <w:rPr>
          <w:color w:val="000000" w:themeColor="text1"/>
          <w:sz w:val="24"/>
        </w:rPr>
        <w:t xml:space="preserve"> in different groups</w:t>
      </w:r>
      <w:r>
        <w:rPr>
          <w:rFonts w:eastAsia="DengXian"/>
          <w:color w:val="000000" w:themeColor="text1"/>
          <w:sz w:val="24"/>
        </w:rPr>
        <w:t>. (P) Comparison of</w:t>
      </w:r>
      <w:r>
        <w:rPr>
          <w:color w:val="000000" w:themeColor="text1"/>
          <w:sz w:val="24"/>
        </w:rPr>
        <w:t xml:space="preserve"> </w:t>
      </w:r>
      <w:r>
        <w:rPr>
          <w:rFonts w:eastAsia="DengXian"/>
          <w:i/>
          <w:iCs/>
          <w:color w:val="000000" w:themeColor="text1"/>
          <w:sz w:val="24"/>
        </w:rPr>
        <w:t>Prevotella copri</w:t>
      </w:r>
      <w:r>
        <w:rPr>
          <w:color w:val="000000" w:themeColor="text1"/>
          <w:sz w:val="24"/>
        </w:rPr>
        <w:t xml:space="preserve"> in different groups</w:t>
      </w:r>
      <w:r>
        <w:rPr>
          <w:rFonts w:eastAsia="DengXian"/>
          <w:color w:val="000000" w:themeColor="text1"/>
          <w:sz w:val="24"/>
        </w:rPr>
        <w:t>. (Q) Comparison of</w:t>
      </w:r>
      <w:r>
        <w:rPr>
          <w:color w:val="000000" w:themeColor="text1"/>
          <w:sz w:val="24"/>
        </w:rPr>
        <w:t xml:space="preserve"> </w:t>
      </w:r>
      <w:r>
        <w:rPr>
          <w:rFonts w:eastAsia="DengXian"/>
          <w:i/>
          <w:iCs/>
          <w:color w:val="000000" w:themeColor="text1"/>
          <w:sz w:val="24"/>
        </w:rPr>
        <w:t>Prevotella pectinovora</w:t>
      </w:r>
      <w:r>
        <w:rPr>
          <w:color w:val="000000" w:themeColor="text1"/>
          <w:sz w:val="24"/>
        </w:rPr>
        <w:t xml:space="preserve"> in different groups</w:t>
      </w:r>
      <w:r>
        <w:rPr>
          <w:rFonts w:eastAsia="DengXian"/>
          <w:color w:val="000000" w:themeColor="text1"/>
          <w:sz w:val="24"/>
        </w:rPr>
        <w:t>. H, healthy; PDM, prediabetes; NDDM, newly diagnosed diabetes; P2DM, post medication type 2 diabetes. *</w:t>
      </w:r>
      <w:r>
        <w:rPr>
          <w:rFonts w:eastAsia="DengXian"/>
          <w:i/>
          <w:iCs/>
          <w:color w:val="000000" w:themeColor="text1"/>
          <w:sz w:val="24"/>
        </w:rPr>
        <w:t>p</w:t>
      </w:r>
      <w:r>
        <w:rPr>
          <w:rFonts w:eastAsia="DengXian"/>
          <w:color w:val="000000" w:themeColor="text1"/>
          <w:sz w:val="24"/>
        </w:rPr>
        <w:t xml:space="preserve"> &lt; 0.05; **</w:t>
      </w:r>
      <w:r>
        <w:rPr>
          <w:rFonts w:eastAsia="DengXian"/>
          <w:i/>
          <w:iCs/>
          <w:color w:val="000000" w:themeColor="text1"/>
          <w:sz w:val="24"/>
        </w:rPr>
        <w:t>p</w:t>
      </w:r>
      <w:r>
        <w:rPr>
          <w:rFonts w:eastAsia="DengXian"/>
          <w:color w:val="000000" w:themeColor="text1"/>
          <w:sz w:val="24"/>
        </w:rPr>
        <w:t>&lt;0.01; ***</w:t>
      </w:r>
      <w:r>
        <w:rPr>
          <w:rFonts w:eastAsia="DengXian"/>
          <w:i/>
          <w:iCs/>
          <w:color w:val="000000" w:themeColor="text1"/>
          <w:sz w:val="24"/>
        </w:rPr>
        <w:t>p</w:t>
      </w:r>
      <w:r>
        <w:rPr>
          <w:rFonts w:eastAsia="DengXian"/>
          <w:color w:val="000000" w:themeColor="text1"/>
          <w:sz w:val="24"/>
        </w:rPr>
        <w:t xml:space="preserve"> &lt; 0.001.</w:t>
      </w:r>
    </w:p>
    <w:p w14:paraId="2031816B" w14:textId="77777777" w:rsidR="00E11B99" w:rsidRDefault="00E11B99" w:rsidP="00E11B99">
      <w:pPr>
        <w:spacing w:line="480" w:lineRule="auto"/>
        <w:rPr>
          <w:color w:val="000000" w:themeColor="text1"/>
          <w:sz w:val="24"/>
        </w:rPr>
      </w:pPr>
      <w:r>
        <w:rPr>
          <w:rFonts w:eastAsia="DengXian"/>
          <w:b/>
          <w:bCs/>
          <w:color w:val="000000" w:themeColor="text1"/>
          <w:sz w:val="24"/>
        </w:rPr>
        <w:t xml:space="preserve">Fig. S4. </w:t>
      </w:r>
      <w:r>
        <w:rPr>
          <w:rFonts w:eastAsia="DengXian"/>
          <w:color w:val="000000" w:themeColor="text1"/>
          <w:sz w:val="24"/>
        </w:rPr>
        <w:t xml:space="preserve">Comparison of </w:t>
      </w:r>
      <w:r>
        <w:rPr>
          <w:color w:val="000000" w:themeColor="text1"/>
          <w:sz w:val="24"/>
        </w:rPr>
        <w:t xml:space="preserve">microbial community structure of insulin administration and non insulin administration. (A) Relative abundance of the microbial community at the phylum level in insulin administration and non insulin administration groups. </w:t>
      </w:r>
      <w:r>
        <w:rPr>
          <w:rFonts w:eastAsia="DengXian"/>
          <w:color w:val="000000" w:themeColor="text1"/>
          <w:sz w:val="24"/>
        </w:rPr>
        <w:t>(B) Comparison of</w:t>
      </w:r>
      <w:r>
        <w:rPr>
          <w:color w:val="000000" w:themeColor="text1"/>
          <w:sz w:val="24"/>
        </w:rPr>
        <w:t xml:space="preserve"> Firmicutes in insulin administration and non insulin administration groups. (C) </w:t>
      </w:r>
      <w:r>
        <w:rPr>
          <w:rFonts w:eastAsia="DengXian"/>
          <w:color w:val="000000" w:themeColor="text1"/>
          <w:sz w:val="24"/>
        </w:rPr>
        <w:t>Comparison of</w:t>
      </w:r>
      <w:r>
        <w:rPr>
          <w:color w:val="000000" w:themeColor="text1"/>
          <w:sz w:val="24"/>
        </w:rPr>
        <w:t xml:space="preserve"> Bacteroidota in insulin administration and non insulin administration groups. (D) </w:t>
      </w:r>
      <w:r>
        <w:rPr>
          <w:rFonts w:eastAsia="DengXian"/>
          <w:color w:val="000000" w:themeColor="text1"/>
          <w:sz w:val="24"/>
        </w:rPr>
        <w:t>Comparison of</w:t>
      </w:r>
      <w:r>
        <w:rPr>
          <w:color w:val="000000" w:themeColor="text1"/>
          <w:sz w:val="24"/>
        </w:rPr>
        <w:t xml:space="preserve"> Proteobacteria in insulin administration and non insulin administration groups. (E) Relative abundance of the microbial community at the genus level in insulin administration and non insulin administration groups. (F) Relative abundance of </w:t>
      </w:r>
      <w:r>
        <w:rPr>
          <w:i/>
          <w:iCs/>
          <w:color w:val="000000" w:themeColor="text1"/>
          <w:sz w:val="24"/>
        </w:rPr>
        <w:t>Clostridium botulinum</w:t>
      </w:r>
      <w:r>
        <w:rPr>
          <w:color w:val="000000" w:themeColor="text1"/>
          <w:sz w:val="24"/>
        </w:rPr>
        <w:t xml:space="preserve">. (G) Relative abundance of </w:t>
      </w:r>
      <w:r>
        <w:rPr>
          <w:i/>
          <w:iCs/>
          <w:color w:val="000000" w:themeColor="text1"/>
          <w:sz w:val="24"/>
        </w:rPr>
        <w:t>Desulfovibrio</w:t>
      </w:r>
      <w:r>
        <w:rPr>
          <w:color w:val="000000" w:themeColor="text1"/>
          <w:sz w:val="24"/>
        </w:rPr>
        <w:t xml:space="preserve"> sp. G11. (H) Relative abundance of </w:t>
      </w:r>
      <w:r>
        <w:rPr>
          <w:i/>
          <w:iCs/>
          <w:color w:val="000000" w:themeColor="text1"/>
          <w:sz w:val="24"/>
        </w:rPr>
        <w:t>Escherichia coli</w:t>
      </w:r>
      <w:r>
        <w:rPr>
          <w:color w:val="000000" w:themeColor="text1"/>
          <w:sz w:val="24"/>
        </w:rPr>
        <w:t xml:space="preserve">. I) Relative abundance of </w:t>
      </w:r>
      <w:r>
        <w:rPr>
          <w:i/>
          <w:iCs/>
          <w:color w:val="000000" w:themeColor="text1"/>
          <w:sz w:val="24"/>
        </w:rPr>
        <w:t>Klebsiella pneumoniae</w:t>
      </w:r>
      <w:r>
        <w:rPr>
          <w:color w:val="000000" w:themeColor="text1"/>
          <w:sz w:val="24"/>
        </w:rPr>
        <w:t xml:space="preserve">. J) Relative abundance of </w:t>
      </w:r>
      <w:r>
        <w:rPr>
          <w:i/>
          <w:iCs/>
          <w:color w:val="000000" w:themeColor="text1"/>
          <w:sz w:val="24"/>
        </w:rPr>
        <w:t>Lactobacillus nasalidis</w:t>
      </w:r>
      <w:r>
        <w:rPr>
          <w:color w:val="000000" w:themeColor="text1"/>
          <w:sz w:val="24"/>
        </w:rPr>
        <w:t xml:space="preserve">. K) Relative abundance of </w:t>
      </w:r>
      <w:r>
        <w:rPr>
          <w:i/>
          <w:iCs/>
          <w:color w:val="000000" w:themeColor="text1"/>
          <w:sz w:val="24"/>
        </w:rPr>
        <w:t>Prevotella</w:t>
      </w:r>
      <w:r>
        <w:rPr>
          <w:color w:val="000000" w:themeColor="text1"/>
          <w:sz w:val="24"/>
        </w:rPr>
        <w:t xml:space="preserve"> sp. CAG:5226. L) Relative abundance of </w:t>
      </w:r>
      <w:r>
        <w:rPr>
          <w:i/>
          <w:iCs/>
          <w:color w:val="000000" w:themeColor="text1"/>
          <w:sz w:val="24"/>
        </w:rPr>
        <w:t>Prevotella melaninogenica</w:t>
      </w:r>
      <w:r>
        <w:rPr>
          <w:color w:val="000000" w:themeColor="text1"/>
          <w:sz w:val="24"/>
        </w:rPr>
        <w:t xml:space="preserve">. M) Relative abundance of </w:t>
      </w:r>
      <w:r>
        <w:rPr>
          <w:i/>
          <w:iCs/>
          <w:color w:val="000000" w:themeColor="text1"/>
          <w:sz w:val="24"/>
        </w:rPr>
        <w:lastRenderedPageBreak/>
        <w:t>Bacteroides faecis</w:t>
      </w:r>
      <w:r>
        <w:rPr>
          <w:color w:val="000000" w:themeColor="text1"/>
          <w:sz w:val="24"/>
        </w:rPr>
        <w:t xml:space="preserve"> CAG:32. N) Relative abundance of </w:t>
      </w:r>
      <w:r>
        <w:rPr>
          <w:i/>
          <w:iCs/>
          <w:color w:val="000000" w:themeColor="text1"/>
          <w:sz w:val="24"/>
        </w:rPr>
        <w:t>Bacteroides eggerthii</w:t>
      </w:r>
      <w:r>
        <w:rPr>
          <w:color w:val="000000" w:themeColor="text1"/>
          <w:sz w:val="24"/>
        </w:rPr>
        <w:t xml:space="preserve"> CAG:109. </w:t>
      </w:r>
      <w:r>
        <w:rPr>
          <w:rFonts w:eastAsia="DengXian"/>
          <w:color w:val="000000" w:themeColor="text1"/>
          <w:sz w:val="24"/>
        </w:rPr>
        <w:t>*</w:t>
      </w:r>
      <w:r>
        <w:rPr>
          <w:rFonts w:eastAsia="DengXian"/>
          <w:i/>
          <w:iCs/>
          <w:color w:val="000000" w:themeColor="text1"/>
          <w:sz w:val="24"/>
        </w:rPr>
        <w:t>p</w:t>
      </w:r>
      <w:r>
        <w:rPr>
          <w:rFonts w:eastAsia="DengXian"/>
          <w:color w:val="000000" w:themeColor="text1"/>
          <w:sz w:val="24"/>
        </w:rPr>
        <w:t xml:space="preserve"> &lt; 0.05; **</w:t>
      </w:r>
      <w:r>
        <w:rPr>
          <w:rFonts w:eastAsia="DengXian"/>
          <w:i/>
          <w:iCs/>
          <w:color w:val="000000" w:themeColor="text1"/>
          <w:sz w:val="24"/>
        </w:rPr>
        <w:t>p</w:t>
      </w:r>
      <w:r>
        <w:rPr>
          <w:rFonts w:eastAsia="DengXian"/>
          <w:color w:val="000000" w:themeColor="text1"/>
          <w:sz w:val="24"/>
        </w:rPr>
        <w:t>&lt;0.01; ns: no significant difference.</w:t>
      </w:r>
    </w:p>
    <w:p w14:paraId="263EAD0E" w14:textId="77777777" w:rsidR="00E11B99" w:rsidRDefault="00E11B99" w:rsidP="00E11B99">
      <w:pPr>
        <w:widowControl/>
        <w:spacing w:line="480" w:lineRule="auto"/>
        <w:rPr>
          <w:rFonts w:eastAsia="DengXian"/>
          <w:color w:val="000000" w:themeColor="text1"/>
          <w:sz w:val="24"/>
        </w:rPr>
      </w:pPr>
      <w:r>
        <w:rPr>
          <w:rFonts w:eastAsia="DengXian"/>
          <w:b/>
          <w:bCs/>
          <w:color w:val="000000" w:themeColor="text1"/>
          <w:sz w:val="24"/>
        </w:rPr>
        <w:t>Fig. S5.</w:t>
      </w:r>
      <w:r>
        <w:rPr>
          <w:rFonts w:eastAsia="DengXian"/>
          <w:color w:val="000000" w:themeColor="text1"/>
          <w:sz w:val="24"/>
        </w:rPr>
        <w:t xml:space="preserve"> KEGG </w:t>
      </w:r>
      <w:r>
        <w:rPr>
          <w:color w:val="000000" w:themeColor="text1"/>
          <w:sz w:val="24"/>
        </w:rPr>
        <w:t>annotation profile of the four groups microbiome</w:t>
      </w:r>
      <w:r>
        <w:rPr>
          <w:rFonts w:eastAsia="DengXian"/>
          <w:color w:val="000000" w:themeColor="text1"/>
          <w:sz w:val="24"/>
        </w:rPr>
        <w:t>. (A) Relative abundance of EC2.7.8.20 (lipoteichoic acid synthase). (B) Relative abundance of K19005. (C) LtaS specific information. (D) Alterations of related enzymes in the glyceride metabolism pathway among four groups. (E) Relative abundance of metabolism among four groups. (F) Relative abundance of alanine, aspartate, and glutamate metabolism among four groups. (G) Relative abundance of the citrate cycle among four groups. (H) Relative abundance of tryptophan metabolism among four groups. (I) Relative abundance of phenylalanine metabolism among four groups. (J) Relative abundance of tyrosine metabolism among four groups. (K) Relative abundance of butanoate metabolism among four groups. H, healthy; PDM, prediabetes; NDDM, newly diagnosed diabetes; P2DM, post medication type 2 diabetes.</w:t>
      </w:r>
    </w:p>
    <w:p w14:paraId="4D81BAFE" w14:textId="77777777" w:rsidR="00E11B99" w:rsidRDefault="00E11B99" w:rsidP="00E11B99">
      <w:pPr>
        <w:spacing w:line="480" w:lineRule="auto"/>
        <w:rPr>
          <w:rFonts w:eastAsia="DengXian"/>
          <w:color w:val="000000" w:themeColor="text1"/>
          <w:sz w:val="24"/>
        </w:rPr>
      </w:pPr>
      <w:r>
        <w:rPr>
          <w:b/>
          <w:bCs/>
          <w:color w:val="000000" w:themeColor="text1"/>
          <w:sz w:val="24"/>
        </w:rPr>
        <w:t>Fig. S6.</w:t>
      </w:r>
      <w:r>
        <w:rPr>
          <w:color w:val="000000" w:themeColor="text1"/>
          <w:sz w:val="24"/>
        </w:rPr>
        <w:t xml:space="preserve"> (A, B) Altered metabolites based on volcano plot analysis with </w:t>
      </w:r>
      <w:r>
        <w:rPr>
          <w:i/>
          <w:iCs/>
          <w:color w:val="000000" w:themeColor="text1"/>
          <w:sz w:val="24"/>
        </w:rPr>
        <w:t>p</w:t>
      </w:r>
      <w:r>
        <w:rPr>
          <w:color w:val="000000" w:themeColor="text1"/>
          <w:sz w:val="24"/>
        </w:rPr>
        <w:t xml:space="preserve"> &lt; 0.05 and |log2(FC)| &gt; 1 in the positive and negative ion modes </w:t>
      </w:r>
      <w:r>
        <w:rPr>
          <w:rFonts w:eastAsia="DengXian"/>
          <w:color w:val="000000" w:themeColor="text1"/>
          <w:sz w:val="24"/>
        </w:rPr>
        <w:t>(H vs PDM). (</w:t>
      </w:r>
      <w:r>
        <w:rPr>
          <w:color w:val="000000" w:themeColor="text1"/>
          <w:sz w:val="24"/>
        </w:rPr>
        <w:t xml:space="preserve">C, D) Altered metabolites based on volcano plot analysis with p &lt; 0.05 and |log2(FC)| &gt; 1 in the positive and negative ion modes </w:t>
      </w:r>
      <w:r>
        <w:rPr>
          <w:rFonts w:eastAsia="DengXian"/>
          <w:color w:val="000000" w:themeColor="text1"/>
          <w:sz w:val="24"/>
        </w:rPr>
        <w:t>(PDM vs NDDM). (</w:t>
      </w:r>
      <w:r>
        <w:rPr>
          <w:color w:val="000000" w:themeColor="text1"/>
          <w:sz w:val="24"/>
        </w:rPr>
        <w:t xml:space="preserve">E, F) Altered metabolites based on volcano plot analysis with p &lt; 0.05 and |log2(FC)| &gt; 1 in the positive and negative ion modes </w:t>
      </w:r>
      <w:r>
        <w:rPr>
          <w:rFonts w:eastAsia="DengXian"/>
          <w:color w:val="000000" w:themeColor="text1"/>
          <w:sz w:val="24"/>
        </w:rPr>
        <w:t xml:space="preserve">(NDDM vs P2DM). (G-R) Comparative analysis of the level of aromatic amino acid and bile acid in different groups (G: muricholic acid; H: deoxycholic acid; I: 7-ketodeoxycholic acid; J: dehydrocholic acid; K: cholic acid; L: chenodeoxycholic acid. M: phenylalanine; N: tryptophan; O: tyrosine; P: AAAs; Q: indole-lactic acid; R:indole-butyric acid). S: Bubble plot showing the enriched metabolic pathways in H vs PDM; T: Bubble plot showing the enriched metabolic pathways in PDM vs NDDM; U: Bubble plot showing the enriched metabolic pathways in NDDM vs P2DM. H, healthy; PDM, prediabetes; NDDM, newly </w:t>
      </w:r>
      <w:r>
        <w:rPr>
          <w:rFonts w:eastAsia="DengXian"/>
          <w:color w:val="000000" w:themeColor="text1"/>
          <w:sz w:val="24"/>
        </w:rPr>
        <w:lastRenderedPageBreak/>
        <w:t>diagnosed diabetes; P2DM, post medication type 2 diabetes; AAAs: aromatic amino acids.</w:t>
      </w:r>
    </w:p>
    <w:p w14:paraId="04EF7200" w14:textId="77777777" w:rsidR="00E11B99" w:rsidRDefault="00E11B99" w:rsidP="00E11B99">
      <w:pPr>
        <w:spacing w:line="480" w:lineRule="auto"/>
        <w:rPr>
          <w:rFonts w:eastAsia="DengXian"/>
          <w:color w:val="000000" w:themeColor="text1"/>
          <w:sz w:val="24"/>
        </w:rPr>
      </w:pPr>
      <w:r>
        <w:rPr>
          <w:rFonts w:eastAsia="DengXian"/>
          <w:b/>
          <w:bCs/>
          <w:color w:val="000000" w:themeColor="text1"/>
          <w:sz w:val="24"/>
        </w:rPr>
        <w:t>Fig. S7.</w:t>
      </w:r>
      <w:r>
        <w:rPr>
          <w:rFonts w:eastAsia="DengXian"/>
          <w:color w:val="000000" w:themeColor="text1"/>
          <w:sz w:val="24"/>
        </w:rPr>
        <w:t xml:space="preserve"> (A) The level of serum total cholesterol in three groups. (B) The level of serum HDL-cholesterol in three groups. (C) The level of serum LDL-cholesterol in three groups. ns: no significant difference.</w:t>
      </w:r>
    </w:p>
    <w:p w14:paraId="46A619D7" w14:textId="4F19A8B8" w:rsidR="00E11B99" w:rsidRDefault="00E11B99" w:rsidP="00E11B99">
      <w:r>
        <w:br w:type="page"/>
      </w:r>
    </w:p>
    <w:p w14:paraId="05359B24" w14:textId="77777777" w:rsidR="00E11B99" w:rsidRDefault="00E11B99"/>
    <w:sectPr w:rsidR="00E11B9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B99"/>
    <w:rsid w:val="00E11B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F88BC"/>
  <w15:chartTrackingRefBased/>
  <w15:docId w15:val="{346A288D-4631-4F6C-AE79-FCBA21451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utoRedefine/>
    <w:qFormat/>
    <w:rsid w:val="00E11B99"/>
    <w:pPr>
      <w:widowControl w:val="0"/>
      <w:spacing w:after="0" w:line="240" w:lineRule="auto"/>
      <w:jc w:val="both"/>
    </w:pPr>
    <w:rPr>
      <w:rFonts w:ascii="Times New Roman" w:eastAsia="SimSun" w:hAnsi="Times New Roman" w:cs="Times New Roman"/>
      <w:sz w:val="21"/>
      <w:szCs w:val="24"/>
      <w:lang w:eastAsia="zh-C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tiff"/><Relationship Id="rId3" Type="http://schemas.openxmlformats.org/officeDocument/2006/relationships/webSettings" Target="webSettings.xml"/><Relationship Id="rId7" Type="http://schemas.openxmlformats.org/officeDocument/2006/relationships/image" Target="media/image4.tiff"/><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tiff"/><Relationship Id="rId11" Type="http://schemas.openxmlformats.org/officeDocument/2006/relationships/fontTable" Target="fontTable.xml"/><Relationship Id="rId5" Type="http://schemas.openxmlformats.org/officeDocument/2006/relationships/image" Target="media/image2.tiff"/><Relationship Id="rId10" Type="http://schemas.openxmlformats.org/officeDocument/2006/relationships/image" Target="media/image7.tiff"/><Relationship Id="rId4" Type="http://schemas.openxmlformats.org/officeDocument/2006/relationships/image" Target="media/image1.tiff"/><Relationship Id="rId9" Type="http://schemas.openxmlformats.org/officeDocument/2006/relationships/image" Target="media/image6.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892</Words>
  <Characters>5090</Characters>
  <Application>Microsoft Office Word</Application>
  <DocSecurity>0</DocSecurity>
  <Lines>42</Lines>
  <Paragraphs>11</Paragraphs>
  <ScaleCrop>false</ScaleCrop>
  <Company>Springer Nature</Company>
  <LinksUpToDate>false</LinksUpToDate>
  <CharactersWithSpaces>5971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Rohit Pandey</dc:creator>
  <cp:keywords/>
  <dc:description/>
  <cp:lastModifiedBy>Rohit Pandey</cp:lastModifiedBy>
  <cp:revision>1</cp:revision>
  <dcterms:created xsi:type="dcterms:W3CDTF">2024-04-15T16:07:00Z</dcterms:created>
  <dcterms:modified xsi:type="dcterms:W3CDTF">2024-04-15T16:09:00Z</dcterms:modified>
</cp:coreProperties>
</file>