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5B1D9C" w14:textId="0EB64698" w:rsidR="005D19D4" w:rsidRPr="00EF6B64" w:rsidRDefault="005D19D4" w:rsidP="002D5D6D">
      <w:pPr>
        <w:spacing w:line="276" w:lineRule="auto"/>
        <w:ind w:left="720" w:hanging="360"/>
        <w:rPr>
          <w:rFonts w:asciiTheme="majorBidi" w:hAnsiTheme="majorBidi" w:cstheme="majorBidi"/>
          <w:b/>
          <w:bCs/>
        </w:rPr>
      </w:pPr>
      <w:r w:rsidRPr="00EF6B64">
        <w:rPr>
          <w:rFonts w:asciiTheme="majorBidi" w:hAnsiTheme="majorBidi" w:cstheme="majorBidi"/>
          <w:b/>
          <w:bCs/>
        </w:rPr>
        <w:t>Highlights</w:t>
      </w:r>
    </w:p>
    <w:p w14:paraId="37D0F628" w14:textId="66802FED" w:rsidR="005D19D4" w:rsidRPr="002D5D6D" w:rsidRDefault="005D19D4" w:rsidP="002D5D6D">
      <w:pPr>
        <w:spacing w:line="276" w:lineRule="auto"/>
        <w:rPr>
          <w:rFonts w:asciiTheme="majorBidi" w:hAnsiTheme="majorBidi" w:cstheme="majorBidi"/>
          <w:color w:val="000000" w:themeColor="text1"/>
        </w:rPr>
      </w:pPr>
    </w:p>
    <w:p w14:paraId="5EBB774E" w14:textId="58DCCDDE" w:rsidR="005D19D4" w:rsidRDefault="005D19D4" w:rsidP="002D5D6D">
      <w:pPr>
        <w:pStyle w:val="ListParagraph"/>
        <w:spacing w:line="276" w:lineRule="auto"/>
        <w:rPr>
          <w:rFonts w:asciiTheme="majorBidi" w:hAnsiTheme="majorBidi" w:cstheme="majorBidi"/>
          <w:color w:val="000000" w:themeColor="text1"/>
        </w:rPr>
      </w:pPr>
    </w:p>
    <w:p w14:paraId="29D29205" w14:textId="77777777" w:rsidR="005D19D4" w:rsidRPr="005D19D4" w:rsidRDefault="005D19D4" w:rsidP="002D5D6D">
      <w:pPr>
        <w:pStyle w:val="ListParagraph"/>
        <w:spacing w:line="276" w:lineRule="auto"/>
        <w:rPr>
          <w:rFonts w:asciiTheme="majorBidi" w:hAnsiTheme="majorBidi" w:cstheme="majorBidi"/>
          <w:color w:val="000000" w:themeColor="text1"/>
        </w:rPr>
      </w:pPr>
    </w:p>
    <w:p w14:paraId="2BB74417" w14:textId="258415DD" w:rsidR="00A42AD3" w:rsidRPr="005D19D4" w:rsidRDefault="00656635" w:rsidP="002D5D6D">
      <w:pPr>
        <w:pStyle w:val="ListParagraph"/>
        <w:numPr>
          <w:ilvl w:val="0"/>
          <w:numId w:val="1"/>
        </w:numPr>
        <w:spacing w:line="276" w:lineRule="auto"/>
        <w:rPr>
          <w:rFonts w:asciiTheme="majorBidi" w:hAnsiTheme="majorBidi" w:cstheme="majorBidi"/>
          <w:color w:val="000000" w:themeColor="text1"/>
        </w:rPr>
      </w:pPr>
      <w:r w:rsidRPr="005D19D4">
        <w:rPr>
          <w:rFonts w:asciiTheme="majorBidi" w:hAnsiTheme="majorBidi" w:cstheme="majorBidi"/>
          <w:color w:val="000000" w:themeColor="text1"/>
        </w:rPr>
        <w:t>Wilms tumor (WT) or nephroblastoma in adults is rare, comprising only 3% of all nephroblastomas, equating to 0.2 cases per million individuals</w:t>
      </w:r>
      <w:r w:rsidR="00075A62" w:rsidRPr="005D19D4">
        <w:rPr>
          <w:rFonts w:asciiTheme="majorBidi" w:hAnsiTheme="majorBidi" w:cstheme="majorBidi"/>
          <w:color w:val="000000" w:themeColor="text1"/>
        </w:rPr>
        <w:t>.</w:t>
      </w:r>
    </w:p>
    <w:p w14:paraId="67FA52CB" w14:textId="5CAFC4C4" w:rsidR="00075A62" w:rsidRPr="005D19D4" w:rsidRDefault="00075A62" w:rsidP="002D5D6D">
      <w:pPr>
        <w:spacing w:line="276" w:lineRule="auto"/>
        <w:rPr>
          <w:rFonts w:asciiTheme="majorBidi" w:hAnsiTheme="majorBidi" w:cstheme="majorBidi"/>
          <w:color w:val="000000" w:themeColor="text1"/>
        </w:rPr>
      </w:pPr>
    </w:p>
    <w:p w14:paraId="5E1C7E93" w14:textId="77777777" w:rsidR="00075A62" w:rsidRPr="005D19D4" w:rsidRDefault="00075A62" w:rsidP="002D5D6D">
      <w:pPr>
        <w:spacing w:line="276" w:lineRule="auto"/>
        <w:rPr>
          <w:rFonts w:asciiTheme="majorBidi" w:hAnsiTheme="majorBidi" w:cstheme="majorBidi"/>
          <w:color w:val="000000" w:themeColor="text1"/>
        </w:rPr>
      </w:pPr>
    </w:p>
    <w:p w14:paraId="0CAE8444" w14:textId="7221103E" w:rsidR="00075A62" w:rsidRPr="005D19D4" w:rsidRDefault="00D2271F" w:rsidP="002D5D6D">
      <w:pPr>
        <w:pStyle w:val="ListParagraph"/>
        <w:numPr>
          <w:ilvl w:val="0"/>
          <w:numId w:val="1"/>
        </w:numPr>
        <w:spacing w:line="276" w:lineRule="auto"/>
        <w:rPr>
          <w:rFonts w:asciiTheme="majorBidi" w:hAnsiTheme="majorBidi" w:cstheme="majorBidi"/>
        </w:rPr>
      </w:pPr>
      <w:r w:rsidRPr="005D19D4">
        <w:rPr>
          <w:rFonts w:asciiTheme="majorBidi" w:hAnsiTheme="majorBidi" w:cstheme="majorBidi"/>
          <w:color w:val="000000" w:themeColor="text1"/>
        </w:rPr>
        <w:t xml:space="preserve">Extrarenal Wilms' tumor (ERWT) is an exceptionally rare form, accounting for about 0.5 to 1% of all Wilms tumor cases, occurring beyond the renal boundaries. </w:t>
      </w:r>
      <w:r w:rsidRPr="005D19D4">
        <w:rPr>
          <w:rFonts w:asciiTheme="majorBidi" w:hAnsiTheme="majorBidi" w:cstheme="majorBidi"/>
          <w:color w:val="000000" w:themeColor="text1"/>
        </w:rPr>
        <w:br/>
      </w:r>
    </w:p>
    <w:p w14:paraId="79791A33" w14:textId="32123A92" w:rsidR="00D2271F" w:rsidRPr="005D19D4" w:rsidRDefault="00D2271F" w:rsidP="002D5D6D">
      <w:pPr>
        <w:spacing w:line="276" w:lineRule="auto"/>
        <w:rPr>
          <w:rFonts w:asciiTheme="majorBidi" w:hAnsiTheme="majorBidi" w:cstheme="majorBidi"/>
        </w:rPr>
      </w:pPr>
    </w:p>
    <w:p w14:paraId="005DB701" w14:textId="602F6C46" w:rsidR="00D2271F" w:rsidRPr="005D19D4" w:rsidRDefault="00D2271F" w:rsidP="002D5D6D">
      <w:pPr>
        <w:pStyle w:val="ListParagraph"/>
        <w:numPr>
          <w:ilvl w:val="0"/>
          <w:numId w:val="1"/>
        </w:numPr>
        <w:spacing w:line="276" w:lineRule="auto"/>
        <w:rPr>
          <w:rFonts w:asciiTheme="majorBidi" w:hAnsiTheme="majorBidi" w:cstheme="majorBidi"/>
        </w:rPr>
      </w:pPr>
      <w:r w:rsidRPr="005D19D4">
        <w:rPr>
          <w:rFonts w:asciiTheme="majorBidi" w:hAnsiTheme="majorBidi" w:cstheme="majorBidi"/>
          <w:color w:val="000000" w:themeColor="text1"/>
        </w:rPr>
        <w:t xml:space="preserve"> To our knowledge, this case presents the first occurrence of an intramedullary extrarenal Wilms' tumor in the adult population.</w:t>
      </w:r>
    </w:p>
    <w:p w14:paraId="584ABE76" w14:textId="4679972C" w:rsidR="00D2271F" w:rsidRPr="005D19D4" w:rsidRDefault="00D2271F" w:rsidP="002D5D6D">
      <w:pPr>
        <w:spacing w:line="276" w:lineRule="auto"/>
        <w:rPr>
          <w:rFonts w:asciiTheme="majorBidi" w:hAnsiTheme="majorBidi" w:cstheme="majorBidi"/>
        </w:rPr>
      </w:pPr>
    </w:p>
    <w:p w14:paraId="41A958D0" w14:textId="77777777" w:rsidR="00D2271F" w:rsidRPr="005D19D4" w:rsidRDefault="00D2271F" w:rsidP="002D5D6D">
      <w:pPr>
        <w:spacing w:line="276" w:lineRule="auto"/>
        <w:rPr>
          <w:rFonts w:asciiTheme="majorBidi" w:hAnsiTheme="majorBidi" w:cstheme="majorBidi"/>
        </w:rPr>
      </w:pPr>
    </w:p>
    <w:p w14:paraId="4D7A25B7" w14:textId="737FC092" w:rsidR="00075A62" w:rsidRPr="005D19D4" w:rsidRDefault="005D19D4" w:rsidP="002D5D6D">
      <w:pPr>
        <w:pStyle w:val="ListParagraph"/>
        <w:numPr>
          <w:ilvl w:val="0"/>
          <w:numId w:val="1"/>
        </w:numPr>
        <w:spacing w:line="276" w:lineRule="auto"/>
        <w:rPr>
          <w:rFonts w:asciiTheme="majorBidi" w:hAnsiTheme="majorBidi" w:cstheme="majorBidi"/>
        </w:rPr>
      </w:pPr>
      <w:r w:rsidRPr="005D19D4">
        <w:rPr>
          <w:rFonts w:asciiTheme="majorBidi" w:hAnsiTheme="majorBidi" w:cstheme="majorBidi"/>
          <w:color w:val="000000" w:themeColor="text1"/>
        </w:rPr>
        <w:t>The development of extrarenal Wilms' tumor (ERWT) is not fully understood, but a widely accepted hypothesis suggests that oncogenic mutations in ectopic nephrogenic rests (NR) contribute to its formation.</w:t>
      </w:r>
    </w:p>
    <w:p w14:paraId="70623FC0" w14:textId="77777777" w:rsidR="00075A62" w:rsidRPr="005D19D4" w:rsidRDefault="00075A62" w:rsidP="002D5D6D">
      <w:pPr>
        <w:spacing w:line="276" w:lineRule="auto"/>
        <w:rPr>
          <w:rFonts w:asciiTheme="majorBidi" w:hAnsiTheme="majorBidi" w:cstheme="majorBidi"/>
        </w:rPr>
      </w:pPr>
    </w:p>
    <w:p w14:paraId="5A34F329" w14:textId="21595D8C" w:rsidR="00075A62" w:rsidRPr="005D19D4" w:rsidRDefault="005D19D4" w:rsidP="002D5D6D">
      <w:pPr>
        <w:pStyle w:val="ListParagraph"/>
        <w:numPr>
          <w:ilvl w:val="0"/>
          <w:numId w:val="1"/>
        </w:numPr>
        <w:spacing w:line="276" w:lineRule="auto"/>
        <w:rPr>
          <w:rFonts w:asciiTheme="majorBidi" w:hAnsiTheme="majorBidi" w:cstheme="majorBidi"/>
        </w:rPr>
      </w:pPr>
      <w:r w:rsidRPr="005D19D4">
        <w:rPr>
          <w:rFonts w:asciiTheme="majorBidi" w:hAnsiTheme="majorBidi" w:cstheme="majorBidi"/>
        </w:rPr>
        <w:t>Microscopic examination usually shows classical histological features with a triphasic composition involving blastema, epithelial, and stromal regions.</w:t>
      </w:r>
    </w:p>
    <w:p w14:paraId="7C9A397F" w14:textId="439CC355" w:rsidR="00075A62" w:rsidRPr="005D19D4" w:rsidRDefault="00075A62" w:rsidP="00075A62">
      <w:pPr>
        <w:rPr>
          <w:rFonts w:asciiTheme="majorBidi" w:hAnsiTheme="majorBidi" w:cstheme="majorBidi"/>
        </w:rPr>
      </w:pPr>
    </w:p>
    <w:p w14:paraId="6FFE7A01" w14:textId="109B684F" w:rsidR="00075A62" w:rsidRPr="005D19D4" w:rsidRDefault="00075A62" w:rsidP="00075A62">
      <w:pPr>
        <w:rPr>
          <w:rFonts w:asciiTheme="majorBidi" w:hAnsiTheme="majorBidi" w:cstheme="majorBidi"/>
        </w:rPr>
      </w:pPr>
    </w:p>
    <w:p w14:paraId="17A6257D" w14:textId="556DD8C0" w:rsidR="00075A62" w:rsidRPr="005D19D4" w:rsidRDefault="00D2271F" w:rsidP="00D2271F">
      <w:pPr>
        <w:spacing w:line="360" w:lineRule="auto"/>
        <w:rPr>
          <w:rFonts w:asciiTheme="majorBidi" w:hAnsiTheme="majorBidi" w:cstheme="majorBidi"/>
          <w:color w:val="000000" w:themeColor="text1"/>
        </w:rPr>
      </w:pPr>
      <w:r w:rsidRPr="005D19D4">
        <w:rPr>
          <w:rFonts w:asciiTheme="majorBidi" w:hAnsiTheme="majorBidi" w:cstheme="majorBidi"/>
          <w:color w:val="000000" w:themeColor="text1"/>
        </w:rPr>
        <w:br/>
      </w:r>
      <w:r w:rsidRPr="005D19D4">
        <w:rPr>
          <w:rFonts w:asciiTheme="majorBidi" w:hAnsiTheme="majorBidi" w:cstheme="majorBidi"/>
          <w:color w:val="000000" w:themeColor="text1"/>
        </w:rPr>
        <w:br/>
      </w:r>
    </w:p>
    <w:p w14:paraId="34FD6090" w14:textId="7C66947B" w:rsidR="00075A62" w:rsidRDefault="00075A62" w:rsidP="00075A62"/>
    <w:sectPr w:rsidR="00075A62" w:rsidSect="00CE4B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B724CD"/>
    <w:multiLevelType w:val="hybridMultilevel"/>
    <w:tmpl w:val="A50C5D18"/>
    <w:lvl w:ilvl="0" w:tplc="ADCE3F1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9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A62"/>
    <w:rsid w:val="00075A62"/>
    <w:rsid w:val="000B4EE4"/>
    <w:rsid w:val="0016403A"/>
    <w:rsid w:val="002D5D6D"/>
    <w:rsid w:val="005D19D4"/>
    <w:rsid w:val="00656635"/>
    <w:rsid w:val="00A42AD3"/>
    <w:rsid w:val="00CE4B43"/>
    <w:rsid w:val="00D2271F"/>
    <w:rsid w:val="00EF6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6DC15C9"/>
  <w15:chartTrackingRefBased/>
  <w15:docId w15:val="{A78A33DB-3626-4D40-B9FC-054D67A6D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75A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121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dcterms:created xsi:type="dcterms:W3CDTF">2023-11-29T06:00:00Z</dcterms:created>
  <dcterms:modified xsi:type="dcterms:W3CDTF">2023-11-29T07:14:00Z</dcterms:modified>
</cp:coreProperties>
</file>