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564F1" w14:textId="77777777" w:rsidR="007547F0" w:rsidRDefault="007547F0" w:rsidP="007547F0">
      <w:pPr>
        <w:pStyle w:val="Heading2"/>
        <w:spacing w:before="240" w:beforeAutospacing="0" w:after="240" w:afterAutospacing="0"/>
      </w:pPr>
      <w:r>
        <w:rPr>
          <w:rFonts w:ascii="Calibri" w:hAnsi="Calibri" w:cs="Calibri"/>
          <w:b w:val="0"/>
          <w:bCs w:val="0"/>
          <w:color w:val="000000"/>
          <w:sz w:val="32"/>
          <w:szCs w:val="32"/>
        </w:rPr>
        <w:t>Extended Data Figures</w:t>
      </w:r>
    </w:p>
    <w:p w14:paraId="7B1E1D88" w14:textId="77777777" w:rsidR="007547F0" w:rsidRDefault="007547F0" w:rsidP="007547F0">
      <w:pPr>
        <w:pStyle w:val="NormalWeb"/>
        <w:spacing w:before="240" w:beforeAutospacing="0" w:after="240" w:afterAutospacing="0"/>
        <w:jc w:val="center"/>
      </w:pPr>
      <w:r>
        <w:rPr>
          <w:rFonts w:ascii="Calibri" w:hAnsi="Calibri" w:cs="Calibri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1617F793" wp14:editId="30816F6F">
            <wp:extent cx="5734050" cy="3476625"/>
            <wp:effectExtent l="0" t="0" r="0" b="9525"/>
            <wp:docPr id="7" name="Picture 7" descr="https://lh7-us.googleusercontent.com/J-Oav29TkO8NOyj8-rWRHMM4OhZsBqfW_ucXROxOYytHLskPCPxTzn3Gp3IPSuZofVxt2Sfh9SnWLVxa1TY20ljGeeHT5KC1H9LsTGnT2CzQblc-z-cN-FApTBJX82uKVI7d3BmSbQoUJQwzYms9M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7-us.googleusercontent.com/J-Oav29TkO8NOyj8-rWRHMM4OhZsBqfW_ucXROxOYytHLskPCPxTzn3Gp3IPSuZofVxt2Sfh9SnWLVxa1TY20ljGeeHT5KC1H9LsTGnT2CzQblc-z-cN-FApTBJX82uKVI7d3BmSbQoUJQwzYms9MR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FDC26" w14:textId="77777777" w:rsidR="007547F0" w:rsidRDefault="007547F0" w:rsidP="007547F0">
      <w:pPr>
        <w:pStyle w:val="NormalWeb"/>
        <w:spacing w:before="240" w:beforeAutospacing="0" w:after="24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01D3A">
        <w:rPr>
          <w:rFonts w:asciiTheme="minorHAnsi" w:hAnsiTheme="minorHAnsi" w:cstheme="minorHAnsi"/>
          <w:b/>
          <w:color w:val="000000"/>
          <w:sz w:val="22"/>
          <w:szCs w:val="22"/>
        </w:rPr>
        <w:t>Extended Data Fig. 1. Calculating the fuel-switching CO</w:t>
      </w:r>
      <w:r w:rsidRPr="00901D3A">
        <w:rPr>
          <w:rFonts w:asciiTheme="minorHAnsi" w:hAnsiTheme="minorHAnsi" w:cstheme="minorHAnsi"/>
          <w:b/>
          <w:color w:val="000000"/>
          <w:sz w:val="22"/>
          <w:szCs w:val="22"/>
          <w:vertAlign w:val="subscript"/>
        </w:rPr>
        <w:t>2</w:t>
      </w:r>
      <w:r w:rsidRPr="00901D3A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price (FSCP) for each abatement option available to the five hard-to-electrify sectors.</w:t>
      </w:r>
      <w:r w:rsidRPr="00901D3A">
        <w:rPr>
          <w:rFonts w:asciiTheme="minorHAnsi" w:hAnsiTheme="minorHAnsi" w:cstheme="minorHAnsi"/>
          <w:color w:val="000000"/>
          <w:sz w:val="22"/>
          <w:szCs w:val="22"/>
        </w:rPr>
        <w:t xml:space="preserve"> The first row shows the levelized cost of the product (LCOX) concerned, with the cost contribution from green hydrogen (H</w:t>
      </w:r>
      <w:r w:rsidRPr="00901D3A">
        <w:rPr>
          <w:rFonts w:asciiTheme="minorHAnsi" w:hAnsiTheme="minorHAnsi" w:cstheme="minorHAnsi"/>
          <w:color w:val="000000"/>
          <w:sz w:val="22"/>
          <w:szCs w:val="22"/>
          <w:vertAlign w:val="subscript"/>
        </w:rPr>
        <w:t>2</w:t>
      </w:r>
      <w:r w:rsidRPr="00901D3A">
        <w:rPr>
          <w:rFonts w:asciiTheme="minorHAnsi" w:hAnsiTheme="minorHAnsi" w:cstheme="minorHAnsi"/>
          <w:color w:val="000000"/>
          <w:sz w:val="22"/>
          <w:szCs w:val="22"/>
        </w:rPr>
        <w:t>) and CO</w:t>
      </w:r>
      <w:r w:rsidRPr="00901D3A">
        <w:rPr>
          <w:rFonts w:asciiTheme="minorHAnsi" w:hAnsiTheme="minorHAnsi" w:cstheme="minorHAnsi"/>
          <w:color w:val="000000"/>
          <w:sz w:val="22"/>
          <w:szCs w:val="22"/>
          <w:vertAlign w:val="subscript"/>
        </w:rPr>
        <w:t>2</w:t>
      </w:r>
      <w:r w:rsidRPr="00901D3A">
        <w:rPr>
          <w:rFonts w:asciiTheme="minorHAnsi" w:hAnsiTheme="minorHAnsi" w:cstheme="minorHAnsi"/>
          <w:color w:val="000000"/>
          <w:sz w:val="22"/>
          <w:szCs w:val="22"/>
        </w:rPr>
        <w:t xml:space="preserve"> from direct-air capture (DAC) shown. The second row shows the </w:t>
      </w:r>
      <w:r w:rsidRPr="00901D3A">
        <w:rPr>
          <w:rFonts w:asciiTheme="minorHAnsi" w:hAnsiTheme="minorHAnsi" w:cstheme="minorHAnsi"/>
          <w:color w:val="000000"/>
          <w:sz w:val="22"/>
          <w:szCs w:val="22"/>
          <w:lang w:val="en-US"/>
        </w:rPr>
        <w:t>CO</w:t>
      </w:r>
      <w:r w:rsidRPr="00901D3A">
        <w:rPr>
          <w:rFonts w:asciiTheme="minorHAnsi" w:hAnsiTheme="minorHAnsi" w:cstheme="minorHAnsi"/>
          <w:color w:val="000000"/>
          <w:sz w:val="22"/>
          <w:szCs w:val="22"/>
          <w:vertAlign w:val="subscript"/>
          <w:lang w:val="en-US"/>
        </w:rPr>
        <w:t>2</w:t>
      </w:r>
      <w:r w:rsidRPr="00901D3A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</w:t>
      </w:r>
      <w:r w:rsidRPr="00901D3A">
        <w:rPr>
          <w:rFonts w:asciiTheme="minorHAnsi" w:hAnsiTheme="minorHAnsi" w:cstheme="minorHAnsi"/>
          <w:color w:val="000000"/>
          <w:sz w:val="22"/>
          <w:szCs w:val="22"/>
        </w:rPr>
        <w:t>emissions, and the third row displays the FSCP. DACCS: DAC and</w:t>
      </w:r>
      <w:r w:rsidRPr="00901D3A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CO</w:t>
      </w:r>
      <w:r w:rsidRPr="00901D3A">
        <w:rPr>
          <w:rFonts w:asciiTheme="minorHAnsi" w:hAnsiTheme="minorHAnsi" w:cstheme="minorHAnsi"/>
          <w:color w:val="000000"/>
          <w:sz w:val="22"/>
          <w:szCs w:val="22"/>
          <w:vertAlign w:val="subscript"/>
          <w:lang w:val="en-US"/>
        </w:rPr>
        <w:t>2</w:t>
      </w:r>
      <w:r w:rsidRPr="00901D3A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</w:t>
      </w:r>
      <w:r w:rsidRPr="00901D3A">
        <w:rPr>
          <w:rFonts w:asciiTheme="minorHAnsi" w:hAnsiTheme="minorHAnsi" w:cstheme="minorHAnsi"/>
          <w:color w:val="000000"/>
          <w:sz w:val="22"/>
          <w:szCs w:val="22"/>
        </w:rPr>
        <w:t>transport and storage. CCS: carbon capture and storage, CCU: carbon capture and utilization, NH</w:t>
      </w:r>
      <w:r w:rsidRPr="00901D3A">
        <w:rPr>
          <w:rFonts w:asciiTheme="minorHAnsi" w:hAnsiTheme="minorHAnsi" w:cstheme="minorHAnsi"/>
          <w:color w:val="000000"/>
          <w:sz w:val="22"/>
          <w:szCs w:val="22"/>
          <w:vertAlign w:val="subscript"/>
        </w:rPr>
        <w:t>3</w:t>
      </w:r>
      <w:r w:rsidRPr="00901D3A">
        <w:rPr>
          <w:rFonts w:asciiTheme="minorHAnsi" w:hAnsiTheme="minorHAnsi" w:cstheme="minorHAnsi"/>
          <w:color w:val="000000"/>
          <w:sz w:val="22"/>
          <w:szCs w:val="22"/>
        </w:rPr>
        <w:t>: green ammonia. MTO: methanol-to-olefins, BF-BOF: blast furnace and basic oxygen furnace, DRI-EAF: direct reduction of iron and electric arc furnace.</w:t>
      </w:r>
    </w:p>
    <w:p w14:paraId="718D6D73" w14:textId="77777777" w:rsidR="007547F0" w:rsidRDefault="007547F0" w:rsidP="007547F0">
      <w:pPr>
        <w:pStyle w:val="NormalWeb"/>
        <w:spacing w:before="240" w:beforeAutospacing="0" w:after="240" w:afterAutospacing="0"/>
        <w:rPr>
          <w:rFonts w:asciiTheme="minorHAnsi" w:hAnsiTheme="minorHAnsi" w:cstheme="minorHAnsi"/>
          <w:sz w:val="22"/>
          <w:szCs w:val="22"/>
        </w:rPr>
      </w:pPr>
    </w:p>
    <w:p w14:paraId="59ACD833" w14:textId="77777777" w:rsidR="007547F0" w:rsidRDefault="007547F0" w:rsidP="007547F0">
      <w:pPr>
        <w:pStyle w:val="NormalWeb"/>
        <w:spacing w:before="240" w:beforeAutospacing="0" w:after="240" w:afterAutospacing="0"/>
        <w:rPr>
          <w:rFonts w:asciiTheme="minorHAnsi" w:hAnsiTheme="minorHAnsi" w:cstheme="minorHAnsi"/>
          <w:sz w:val="22"/>
          <w:szCs w:val="22"/>
        </w:rPr>
      </w:pPr>
    </w:p>
    <w:p w14:paraId="56EF0D71" w14:textId="77777777" w:rsidR="007547F0" w:rsidRPr="00901D3A" w:rsidRDefault="007547F0" w:rsidP="007547F0">
      <w:pPr>
        <w:pStyle w:val="NormalWeb"/>
        <w:spacing w:before="240" w:beforeAutospacing="0" w:after="240" w:afterAutospacing="0"/>
        <w:rPr>
          <w:rFonts w:asciiTheme="minorHAnsi" w:hAnsiTheme="minorHAnsi" w:cstheme="minorHAnsi"/>
          <w:sz w:val="22"/>
          <w:szCs w:val="22"/>
        </w:rPr>
      </w:pPr>
    </w:p>
    <w:p w14:paraId="2BE39DFD" w14:textId="77777777" w:rsidR="007547F0" w:rsidRPr="00901D3A" w:rsidRDefault="007547F0" w:rsidP="007547F0">
      <w:pPr>
        <w:pStyle w:val="NormalWeb"/>
        <w:spacing w:before="240" w:beforeAutospacing="0" w:after="240" w:afterAutospacing="0"/>
        <w:jc w:val="center"/>
        <w:rPr>
          <w:rFonts w:asciiTheme="minorHAnsi" w:hAnsiTheme="minorHAnsi" w:cstheme="minorHAnsi"/>
          <w:sz w:val="22"/>
          <w:szCs w:val="22"/>
        </w:rPr>
      </w:pPr>
      <w:r w:rsidRPr="00901D3A">
        <w:rPr>
          <w:rFonts w:asciiTheme="minorHAnsi" w:hAnsiTheme="minorHAnsi" w:cstheme="minorHAnsi"/>
          <w:noProof/>
          <w:color w:val="000000"/>
          <w:sz w:val="22"/>
          <w:szCs w:val="22"/>
          <w:bdr w:val="none" w:sz="0" w:space="0" w:color="auto" w:frame="1"/>
        </w:rPr>
        <w:lastRenderedPageBreak/>
        <w:drawing>
          <wp:inline distT="0" distB="0" distL="0" distR="0" wp14:anchorId="709CD588" wp14:editId="33A1423E">
            <wp:extent cx="5734050" cy="3133725"/>
            <wp:effectExtent l="0" t="0" r="0" b="9525"/>
            <wp:docPr id="6" name="Picture 6" descr="https://lh7-us.googleusercontent.com/aVlzmfTZUbtF4HFCV8f3rvWNbsPJ1Yp-oyD19zj3k1HEL6d1DbuZjUvXZd_bFV8S_fHfxkgiI62Qq1k-IBjHdga4lz3mjibmMR8yLM-YfY1Cz_PCkb-bhyd2zsorswXxYSucDnKxSCnlqyQ-fepQp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h7-us.googleusercontent.com/aVlzmfTZUbtF4HFCV8f3rvWNbsPJ1Yp-oyD19zj3k1HEL6d1DbuZjUvXZd_bFV8S_fHfxkgiI62Qq1k-IBjHdga4lz3mjibmMR8yLM-YfY1Cz_PCkb-bhyd2zsorswXxYSucDnKxSCnlqyQ-fepQpE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0C900" w14:textId="77777777" w:rsidR="007547F0" w:rsidRDefault="007547F0" w:rsidP="007547F0">
      <w:pPr>
        <w:pStyle w:val="NormalWeb"/>
        <w:spacing w:before="240" w:beforeAutospacing="0" w:after="24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01D3A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Extended Data Fig. 2. Sensitivity of the fuel-switching </w:t>
      </w:r>
      <w:r w:rsidRPr="00901D3A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>CO</w:t>
      </w:r>
      <w:r w:rsidRPr="00901D3A">
        <w:rPr>
          <w:rFonts w:asciiTheme="minorHAnsi" w:hAnsiTheme="minorHAnsi" w:cstheme="minorHAnsi"/>
          <w:b/>
          <w:color w:val="000000"/>
          <w:sz w:val="22"/>
          <w:szCs w:val="22"/>
          <w:vertAlign w:val="subscript"/>
          <w:lang w:val="en-US"/>
        </w:rPr>
        <w:t>2</w:t>
      </w:r>
      <w:r w:rsidRPr="00901D3A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price (FSCP) mitigation landscapes to the </w:t>
      </w:r>
      <w:r w:rsidRPr="00901D3A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>CO</w:t>
      </w:r>
      <w:r w:rsidRPr="00901D3A">
        <w:rPr>
          <w:rFonts w:asciiTheme="minorHAnsi" w:hAnsiTheme="minorHAnsi" w:cstheme="minorHAnsi"/>
          <w:b/>
          <w:color w:val="000000"/>
          <w:sz w:val="22"/>
          <w:szCs w:val="22"/>
          <w:vertAlign w:val="subscript"/>
          <w:lang w:val="en-US"/>
        </w:rPr>
        <w:t>2</w:t>
      </w:r>
      <w:r w:rsidRPr="00901D3A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transport and storage cost.</w:t>
      </w:r>
      <w:r w:rsidRPr="00901D3A">
        <w:rPr>
          <w:rFonts w:asciiTheme="minorHAnsi" w:hAnsiTheme="minorHAnsi" w:cstheme="minorHAnsi"/>
          <w:color w:val="000000"/>
          <w:sz w:val="22"/>
          <w:szCs w:val="22"/>
        </w:rPr>
        <w:t xml:space="preserve"> Here, the calculation is repeated using a cost of €8/t</w:t>
      </w:r>
      <w:r w:rsidRPr="00901D3A">
        <w:rPr>
          <w:rFonts w:asciiTheme="minorHAnsi" w:hAnsiTheme="minorHAnsi" w:cstheme="minorHAnsi"/>
          <w:color w:val="000000"/>
          <w:sz w:val="22"/>
          <w:szCs w:val="22"/>
          <w:lang w:val="en-US"/>
        </w:rPr>
        <w:t>CO</w:t>
      </w:r>
      <w:r w:rsidRPr="00901D3A">
        <w:rPr>
          <w:rFonts w:asciiTheme="minorHAnsi" w:hAnsiTheme="minorHAnsi" w:cstheme="minorHAnsi"/>
          <w:color w:val="000000"/>
          <w:sz w:val="22"/>
          <w:szCs w:val="22"/>
          <w:vertAlign w:val="subscript"/>
          <w:lang w:val="en-US"/>
        </w:rPr>
        <w:t>2</w:t>
      </w:r>
      <w:r w:rsidRPr="00901D3A">
        <w:rPr>
          <w:rFonts w:asciiTheme="minorHAnsi" w:hAnsiTheme="minorHAnsi" w:cstheme="minorHAnsi"/>
          <w:color w:val="000000"/>
          <w:sz w:val="22"/>
          <w:szCs w:val="22"/>
        </w:rPr>
        <w:t>, €30/t</w:t>
      </w:r>
      <w:r w:rsidRPr="00901D3A">
        <w:rPr>
          <w:rFonts w:asciiTheme="minorHAnsi" w:hAnsiTheme="minorHAnsi" w:cstheme="minorHAnsi"/>
          <w:color w:val="000000"/>
          <w:sz w:val="22"/>
          <w:szCs w:val="22"/>
          <w:lang w:val="en-US"/>
        </w:rPr>
        <w:t>CO</w:t>
      </w:r>
      <w:r w:rsidRPr="00901D3A">
        <w:rPr>
          <w:rFonts w:asciiTheme="minorHAnsi" w:hAnsiTheme="minorHAnsi" w:cstheme="minorHAnsi"/>
          <w:color w:val="000000"/>
          <w:sz w:val="22"/>
          <w:szCs w:val="22"/>
          <w:vertAlign w:val="subscript"/>
          <w:lang w:val="en-US"/>
        </w:rPr>
        <w:t>2</w:t>
      </w:r>
      <w:r w:rsidRPr="00901D3A">
        <w:rPr>
          <w:rFonts w:asciiTheme="minorHAnsi" w:hAnsiTheme="minorHAnsi" w:cstheme="minorHAnsi"/>
          <w:color w:val="000000"/>
          <w:sz w:val="22"/>
          <w:szCs w:val="22"/>
        </w:rPr>
        <w:t>, €100/t</w:t>
      </w:r>
      <w:r w:rsidRPr="00901D3A">
        <w:rPr>
          <w:rFonts w:asciiTheme="minorHAnsi" w:hAnsiTheme="minorHAnsi" w:cstheme="minorHAnsi"/>
          <w:color w:val="000000"/>
          <w:sz w:val="22"/>
          <w:szCs w:val="22"/>
          <w:lang w:val="en-US"/>
        </w:rPr>
        <w:t>CO</w:t>
      </w:r>
      <w:r w:rsidRPr="00901D3A">
        <w:rPr>
          <w:rFonts w:asciiTheme="minorHAnsi" w:hAnsiTheme="minorHAnsi" w:cstheme="minorHAnsi"/>
          <w:color w:val="000000"/>
          <w:sz w:val="22"/>
          <w:szCs w:val="22"/>
          <w:vertAlign w:val="subscript"/>
          <w:lang w:val="en-US"/>
        </w:rPr>
        <w:t>2</w:t>
      </w:r>
      <w:r w:rsidRPr="00901D3A">
        <w:rPr>
          <w:rFonts w:asciiTheme="minorHAnsi" w:hAnsiTheme="minorHAnsi" w:cstheme="minorHAnsi"/>
          <w:color w:val="000000"/>
          <w:sz w:val="22"/>
          <w:szCs w:val="22"/>
        </w:rPr>
        <w:t xml:space="preserve"> and €200/t</w:t>
      </w:r>
      <w:r w:rsidRPr="00901D3A">
        <w:rPr>
          <w:rFonts w:asciiTheme="minorHAnsi" w:hAnsiTheme="minorHAnsi" w:cstheme="minorHAnsi"/>
          <w:color w:val="000000"/>
          <w:sz w:val="22"/>
          <w:szCs w:val="22"/>
          <w:lang w:val="en-US"/>
        </w:rPr>
        <w:t>CO</w:t>
      </w:r>
      <w:r w:rsidRPr="00901D3A">
        <w:rPr>
          <w:rFonts w:asciiTheme="minorHAnsi" w:hAnsiTheme="minorHAnsi" w:cstheme="minorHAnsi"/>
          <w:color w:val="000000"/>
          <w:sz w:val="22"/>
          <w:szCs w:val="22"/>
          <w:vertAlign w:val="subscript"/>
          <w:lang w:val="en-US"/>
        </w:rPr>
        <w:t>2</w:t>
      </w:r>
      <w:r w:rsidRPr="00901D3A">
        <w:rPr>
          <w:rFonts w:asciiTheme="minorHAnsi" w:hAnsiTheme="minorHAnsi" w:cstheme="minorHAnsi"/>
          <w:color w:val="000000"/>
          <w:sz w:val="22"/>
          <w:szCs w:val="22"/>
        </w:rPr>
        <w:t>. H</w:t>
      </w:r>
      <w:r w:rsidRPr="00901D3A">
        <w:rPr>
          <w:rFonts w:asciiTheme="minorHAnsi" w:hAnsiTheme="minorHAnsi" w:cstheme="minorHAnsi"/>
          <w:color w:val="000000"/>
          <w:sz w:val="22"/>
          <w:szCs w:val="22"/>
          <w:vertAlign w:val="subscript"/>
        </w:rPr>
        <w:t>2</w:t>
      </w:r>
      <w:r w:rsidRPr="00901D3A">
        <w:rPr>
          <w:rFonts w:asciiTheme="minorHAnsi" w:hAnsiTheme="minorHAnsi" w:cstheme="minorHAnsi"/>
          <w:color w:val="000000"/>
          <w:sz w:val="22"/>
          <w:szCs w:val="22"/>
        </w:rPr>
        <w:t>: green hydrogen, DAC: direct-air capture, DACCS: DAC and CO</w:t>
      </w:r>
      <w:r w:rsidRPr="00F0038E">
        <w:rPr>
          <w:rFonts w:asciiTheme="minorHAnsi" w:hAnsiTheme="minorHAnsi" w:cstheme="minorHAnsi"/>
          <w:color w:val="000000"/>
          <w:sz w:val="22"/>
          <w:szCs w:val="22"/>
          <w:vertAlign w:val="subscript"/>
        </w:rPr>
        <w:t>2</w:t>
      </w:r>
      <w:r w:rsidRPr="00901D3A">
        <w:rPr>
          <w:rFonts w:asciiTheme="minorHAnsi" w:hAnsiTheme="minorHAnsi" w:cstheme="minorHAnsi"/>
          <w:color w:val="000000"/>
          <w:sz w:val="22"/>
          <w:szCs w:val="22"/>
        </w:rPr>
        <w:t xml:space="preserve"> transport and storage. CCS: carbon capture and storage, CCU: carbon capture and utilization, NH</w:t>
      </w:r>
      <w:r w:rsidRPr="00901D3A">
        <w:rPr>
          <w:rFonts w:asciiTheme="minorHAnsi" w:hAnsiTheme="minorHAnsi" w:cstheme="minorHAnsi"/>
          <w:color w:val="000000"/>
          <w:sz w:val="22"/>
          <w:szCs w:val="22"/>
          <w:vertAlign w:val="subscript"/>
        </w:rPr>
        <w:t>3</w:t>
      </w:r>
      <w:r w:rsidRPr="00901D3A">
        <w:rPr>
          <w:rFonts w:asciiTheme="minorHAnsi" w:hAnsiTheme="minorHAnsi" w:cstheme="minorHAnsi"/>
          <w:color w:val="000000"/>
          <w:sz w:val="22"/>
          <w:szCs w:val="22"/>
        </w:rPr>
        <w:t>: green ammonia.</w:t>
      </w:r>
    </w:p>
    <w:p w14:paraId="289BF9E4" w14:textId="77777777" w:rsidR="007547F0" w:rsidRPr="00901D3A" w:rsidRDefault="007547F0" w:rsidP="007547F0">
      <w:pPr>
        <w:pStyle w:val="NormalWeb"/>
        <w:spacing w:before="240" w:beforeAutospacing="0" w:after="240" w:afterAutospacing="0"/>
        <w:rPr>
          <w:rFonts w:asciiTheme="minorHAnsi" w:hAnsiTheme="minorHAnsi" w:cstheme="minorHAnsi"/>
          <w:sz w:val="22"/>
          <w:szCs w:val="22"/>
        </w:rPr>
      </w:pPr>
    </w:p>
    <w:p w14:paraId="02CE6118" w14:textId="77777777" w:rsidR="007547F0" w:rsidRPr="00901D3A" w:rsidRDefault="007547F0" w:rsidP="007547F0">
      <w:pPr>
        <w:pStyle w:val="NormalWeb"/>
        <w:spacing w:before="240" w:beforeAutospacing="0" w:after="240" w:afterAutospacing="0"/>
        <w:jc w:val="center"/>
        <w:rPr>
          <w:rFonts w:asciiTheme="minorHAnsi" w:hAnsiTheme="minorHAnsi" w:cstheme="minorHAnsi"/>
          <w:sz w:val="22"/>
          <w:szCs w:val="22"/>
        </w:rPr>
      </w:pPr>
      <w:r w:rsidRPr="00901D3A">
        <w:rPr>
          <w:rFonts w:asciiTheme="minorHAnsi" w:hAnsiTheme="minorHAnsi" w:cstheme="minorHAnsi"/>
          <w:noProof/>
          <w:sz w:val="22"/>
          <w:szCs w:val="22"/>
        </w:rPr>
        <w:lastRenderedPageBreak/>
        <w:drawing>
          <wp:inline distT="0" distB="0" distL="0" distR="0" wp14:anchorId="059C5FA3" wp14:editId="5B0D9886">
            <wp:extent cx="4513478" cy="4513478"/>
            <wp:effectExtent l="0" t="0" r="1905" b="1905"/>
            <wp:docPr id="8" name="Picture 8" descr="A graph of different col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graph of different colors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5694" cy="4525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F9136" w14:textId="77777777" w:rsidR="007547F0" w:rsidRPr="00901D3A" w:rsidRDefault="007547F0" w:rsidP="007547F0">
      <w:pPr>
        <w:pStyle w:val="NormalWeb"/>
        <w:spacing w:before="240" w:beforeAutospacing="0" w:after="240" w:afterAutospacing="0"/>
        <w:rPr>
          <w:rFonts w:asciiTheme="minorHAnsi" w:hAnsiTheme="minorHAnsi" w:cstheme="minorHAnsi"/>
          <w:sz w:val="22"/>
          <w:szCs w:val="22"/>
        </w:rPr>
      </w:pPr>
      <w:r w:rsidRPr="00901D3A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Extended Data Fig. 3. Greenfield and </w:t>
      </w:r>
      <w:r w:rsidRPr="00901D3A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>retrofit</w:t>
      </w:r>
      <w:r w:rsidRPr="00901D3A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comparison for the steel sector, under the standard case and the climate-neutral case.</w:t>
      </w:r>
      <w:r w:rsidRPr="00901D3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901D3A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In the first row, for the standard case, residual emissions are not compensated. </w:t>
      </w:r>
      <w:r w:rsidRPr="00901D3A">
        <w:rPr>
          <w:rFonts w:asciiTheme="minorHAnsi" w:hAnsiTheme="minorHAnsi" w:cstheme="minorHAnsi"/>
          <w:color w:val="000000"/>
          <w:sz w:val="22"/>
          <w:szCs w:val="22"/>
        </w:rPr>
        <w:t>In the climate-neutral case</w:t>
      </w:r>
      <w:r w:rsidRPr="00901D3A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(second row)</w:t>
      </w:r>
      <w:r w:rsidRPr="00901D3A">
        <w:rPr>
          <w:rFonts w:asciiTheme="minorHAnsi" w:hAnsiTheme="minorHAnsi" w:cstheme="minorHAnsi"/>
          <w:color w:val="000000"/>
          <w:sz w:val="22"/>
          <w:szCs w:val="22"/>
        </w:rPr>
        <w:t xml:space="preserve">, compatibility with climate neutrality is required by compensating for any residual </w:t>
      </w:r>
      <w:r w:rsidRPr="00901D3A">
        <w:rPr>
          <w:rFonts w:asciiTheme="minorHAnsi" w:hAnsiTheme="minorHAnsi" w:cstheme="minorHAnsi"/>
          <w:color w:val="000000"/>
          <w:sz w:val="22"/>
          <w:szCs w:val="22"/>
          <w:lang w:val="en-US"/>
        </w:rPr>
        <w:t>CO</w:t>
      </w:r>
      <w:r w:rsidRPr="00901D3A">
        <w:rPr>
          <w:rFonts w:asciiTheme="minorHAnsi" w:hAnsiTheme="minorHAnsi" w:cstheme="minorHAnsi"/>
          <w:color w:val="000000"/>
          <w:sz w:val="22"/>
          <w:szCs w:val="22"/>
          <w:vertAlign w:val="subscript"/>
          <w:lang w:val="en-US"/>
        </w:rPr>
        <w:t>2</w:t>
      </w:r>
      <w:r w:rsidRPr="00901D3A">
        <w:rPr>
          <w:rFonts w:asciiTheme="minorHAnsi" w:hAnsiTheme="minorHAnsi" w:cstheme="minorHAnsi"/>
          <w:color w:val="000000"/>
          <w:sz w:val="22"/>
          <w:szCs w:val="22"/>
        </w:rPr>
        <w:t xml:space="preserve"> emissions using direct-air capture and </w:t>
      </w:r>
      <w:r w:rsidRPr="00901D3A">
        <w:rPr>
          <w:rFonts w:asciiTheme="minorHAnsi" w:hAnsiTheme="minorHAnsi" w:cstheme="minorHAnsi"/>
          <w:color w:val="000000"/>
          <w:sz w:val="22"/>
          <w:szCs w:val="22"/>
          <w:lang w:val="en-US"/>
        </w:rPr>
        <w:t>CO</w:t>
      </w:r>
      <w:r w:rsidRPr="00901D3A">
        <w:rPr>
          <w:rFonts w:asciiTheme="minorHAnsi" w:hAnsiTheme="minorHAnsi" w:cstheme="minorHAnsi"/>
          <w:color w:val="000000"/>
          <w:sz w:val="22"/>
          <w:szCs w:val="22"/>
          <w:vertAlign w:val="subscript"/>
          <w:lang w:val="en-US"/>
        </w:rPr>
        <w:t>2</w:t>
      </w:r>
      <w:r w:rsidRPr="00901D3A">
        <w:rPr>
          <w:rFonts w:asciiTheme="minorHAnsi" w:hAnsiTheme="minorHAnsi" w:cstheme="minorHAnsi"/>
          <w:color w:val="000000"/>
          <w:sz w:val="22"/>
          <w:szCs w:val="22"/>
        </w:rPr>
        <w:t xml:space="preserve"> transport and storage (DACCS). CCS: carbon capture and storage, CCU: carbon capture and utilization, H</w:t>
      </w:r>
      <w:r w:rsidRPr="00901D3A">
        <w:rPr>
          <w:rFonts w:asciiTheme="minorHAnsi" w:hAnsiTheme="minorHAnsi" w:cstheme="minorHAnsi"/>
          <w:color w:val="000000"/>
          <w:sz w:val="22"/>
          <w:szCs w:val="22"/>
          <w:vertAlign w:val="subscript"/>
        </w:rPr>
        <w:t>2</w:t>
      </w:r>
      <w:r w:rsidRPr="00901D3A">
        <w:rPr>
          <w:rFonts w:asciiTheme="minorHAnsi" w:hAnsiTheme="minorHAnsi" w:cstheme="minorHAnsi"/>
          <w:color w:val="000000"/>
          <w:sz w:val="22"/>
          <w:szCs w:val="22"/>
        </w:rPr>
        <w:t>: green hydrogen, NH</w:t>
      </w:r>
      <w:r w:rsidRPr="00901D3A">
        <w:rPr>
          <w:rFonts w:asciiTheme="minorHAnsi" w:hAnsiTheme="minorHAnsi" w:cstheme="minorHAnsi"/>
          <w:color w:val="000000"/>
          <w:sz w:val="22"/>
          <w:szCs w:val="22"/>
          <w:vertAlign w:val="subscript"/>
        </w:rPr>
        <w:t>3</w:t>
      </w:r>
      <w:r w:rsidRPr="00901D3A">
        <w:rPr>
          <w:rFonts w:asciiTheme="minorHAnsi" w:hAnsiTheme="minorHAnsi" w:cstheme="minorHAnsi"/>
          <w:color w:val="000000"/>
          <w:sz w:val="22"/>
          <w:szCs w:val="22"/>
        </w:rPr>
        <w:t>: green ammonia, DAC: direct-air capture.</w:t>
      </w:r>
    </w:p>
    <w:p w14:paraId="4D22A700" w14:textId="77777777" w:rsidR="007547F0" w:rsidRPr="00901D3A" w:rsidRDefault="007547F0" w:rsidP="007547F0">
      <w:pPr>
        <w:tabs>
          <w:tab w:val="left" w:pos="7665"/>
        </w:tabs>
        <w:rPr>
          <w:rFonts w:cstheme="minorHAnsi"/>
          <w:lang/>
        </w:rPr>
      </w:pPr>
    </w:p>
    <w:p w14:paraId="456D8870" w14:textId="77777777" w:rsidR="007547F0" w:rsidRPr="00901D3A" w:rsidRDefault="007547F0" w:rsidP="007547F0">
      <w:pPr>
        <w:spacing w:after="0" w:line="480" w:lineRule="auto"/>
        <w:ind w:hanging="264"/>
        <w:rPr>
          <w:rFonts w:eastAsia="Times New Roman" w:cstheme="minorHAnsi"/>
          <w:lang/>
        </w:rPr>
      </w:pPr>
    </w:p>
    <w:p w14:paraId="0A0C178A" w14:textId="77777777" w:rsidR="00755780" w:rsidRDefault="00755780"/>
    <w:sectPr w:rsidR="00755780" w:rsidSect="00FB19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7F0"/>
    <w:rsid w:val="007547F0"/>
    <w:rsid w:val="00755780"/>
    <w:rsid w:val="00857596"/>
    <w:rsid w:val="00FB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31D41"/>
  <w15:chartTrackingRefBased/>
  <w15:docId w15:val="{5AD59F24-6C8B-4FE9-9682-0D56F8960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7F0"/>
    <w:rPr>
      <w:kern w:val="0"/>
      <w:lang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7547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547F0"/>
    <w:rPr>
      <w:rFonts w:ascii="Times New Roman" w:eastAsia="Times New Roman" w:hAnsi="Times New Roman" w:cs="Times New Roman"/>
      <w:b/>
      <w:bCs/>
      <w:kern w:val="0"/>
      <w:sz w:val="36"/>
      <w:szCs w:val="36"/>
      <w:lang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54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246</Words>
  <Characters>1403</Characters>
  <Application>Microsoft Office Word</Application>
  <DocSecurity>0</DocSecurity>
  <Lines>11</Lines>
  <Paragraphs>3</Paragraphs>
  <ScaleCrop>false</ScaleCrop>
  <Company>Springer Nature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2024-04-17T02:36:00Z</dcterms:created>
  <dcterms:modified xsi:type="dcterms:W3CDTF">2024-04-17T02:36:00Z</dcterms:modified>
</cp:coreProperties>
</file>