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D3AE3" w14:textId="77777777" w:rsidR="007869C1" w:rsidRPr="001E6850" w:rsidRDefault="007869C1" w:rsidP="007869C1">
      <w:pPr>
        <w:ind w:firstLineChars="800" w:firstLine="2400"/>
        <w:rPr>
          <w:rStyle w:val="fontstyle01"/>
          <w:b/>
          <w:sz w:val="30"/>
          <w:szCs w:val="30"/>
        </w:rPr>
      </w:pPr>
      <w:r w:rsidRPr="001E6850">
        <w:rPr>
          <w:rStyle w:val="fontstyle01"/>
          <w:b/>
          <w:sz w:val="30"/>
          <w:szCs w:val="30"/>
        </w:rPr>
        <w:t>Supplementary Material for</w:t>
      </w:r>
    </w:p>
    <w:p w14:paraId="5168F493" w14:textId="77777777" w:rsidR="007869C1" w:rsidRPr="001E6850" w:rsidRDefault="007869C1" w:rsidP="007869C1">
      <w:pPr>
        <w:jc w:val="left"/>
        <w:rPr>
          <w:rFonts w:ascii="Times New Roman" w:hAnsi="Times New Roman"/>
          <w:kern w:val="0"/>
          <w:sz w:val="24"/>
          <w:szCs w:val="24"/>
        </w:rPr>
      </w:pPr>
      <w:bookmarkStart w:id="0" w:name="OLE_LINK77"/>
      <w:bookmarkStart w:id="1" w:name="OLE_LINK78"/>
      <w:r w:rsidRPr="001E6850">
        <w:rPr>
          <w:rFonts w:ascii="Times New Roman" w:hAnsi="Times New Roman"/>
          <w:kern w:val="0"/>
          <w:sz w:val="24"/>
          <w:szCs w:val="24"/>
        </w:rPr>
        <w:t>Brain functional specialization and cooperation in Parkinson’s disease</w:t>
      </w:r>
    </w:p>
    <w:bookmarkEnd w:id="0"/>
    <w:bookmarkEnd w:id="1"/>
    <w:p w14:paraId="427B8AA3" w14:textId="77777777" w:rsidR="007869C1" w:rsidRPr="001E6850" w:rsidRDefault="007869C1" w:rsidP="007869C1">
      <w:pPr>
        <w:jc w:val="left"/>
        <w:rPr>
          <w:rFonts w:ascii="Times New Roman" w:hAnsi="Times New Roman"/>
          <w:kern w:val="0"/>
          <w:sz w:val="24"/>
          <w:szCs w:val="24"/>
        </w:rPr>
      </w:pPr>
    </w:p>
    <w:p w14:paraId="188263E3" w14:textId="77777777" w:rsidR="007869C1" w:rsidRPr="009E774B" w:rsidRDefault="007869C1" w:rsidP="007869C1">
      <w:pPr>
        <w:jc w:val="left"/>
        <w:rPr>
          <w:rFonts w:ascii="Times New Roman" w:hAnsi="Times New Roman"/>
          <w:sz w:val="24"/>
          <w:szCs w:val="28"/>
        </w:rPr>
      </w:pPr>
      <w:proofErr w:type="spellStart"/>
      <w:r w:rsidRPr="009E774B">
        <w:rPr>
          <w:rFonts w:ascii="Times New Roman" w:hAnsi="Times New Roman"/>
          <w:sz w:val="24"/>
          <w:szCs w:val="28"/>
        </w:rPr>
        <w:t>Jinmei</w:t>
      </w:r>
      <w:proofErr w:type="spellEnd"/>
      <w:r w:rsidRPr="009E774B">
        <w:rPr>
          <w:rFonts w:ascii="Times New Roman" w:hAnsi="Times New Roman"/>
          <w:sz w:val="24"/>
          <w:szCs w:val="28"/>
        </w:rPr>
        <w:t xml:space="preserve"> Sun</w:t>
      </w:r>
      <w:r w:rsidRPr="009E774B">
        <w:rPr>
          <w:rFonts w:ascii="Times New Roman" w:hAnsi="Times New Roman"/>
          <w:sz w:val="24"/>
          <w:szCs w:val="28"/>
          <w:vertAlign w:val="superscript"/>
        </w:rPr>
        <w:t>#</w:t>
      </w:r>
      <w:r w:rsidRPr="009E774B">
        <w:rPr>
          <w:rFonts w:ascii="Times New Roman" w:hAnsi="Times New Roman"/>
          <w:sz w:val="24"/>
          <w:szCs w:val="28"/>
        </w:rPr>
        <w:t xml:space="preserve">, </w:t>
      </w:r>
      <w:proofErr w:type="spellStart"/>
      <w:r w:rsidRPr="009E774B">
        <w:rPr>
          <w:rFonts w:ascii="Times New Roman" w:hAnsi="Times New Roman"/>
          <w:sz w:val="24"/>
          <w:szCs w:val="28"/>
        </w:rPr>
        <w:t>Xiaoran</w:t>
      </w:r>
      <w:proofErr w:type="spellEnd"/>
      <w:r w:rsidRPr="009E774B">
        <w:rPr>
          <w:rFonts w:ascii="Times New Roman" w:hAnsi="Times New Roman"/>
          <w:sz w:val="24"/>
          <w:szCs w:val="28"/>
        </w:rPr>
        <w:t xml:space="preserve"> Gao</w:t>
      </w:r>
      <w:r w:rsidRPr="009E774B">
        <w:rPr>
          <w:rFonts w:ascii="Times New Roman" w:hAnsi="Times New Roman"/>
          <w:sz w:val="24"/>
          <w:szCs w:val="28"/>
          <w:vertAlign w:val="superscript"/>
        </w:rPr>
        <w:t>#</w:t>
      </w:r>
      <w:r w:rsidRPr="009E774B">
        <w:rPr>
          <w:rFonts w:ascii="Times New Roman" w:hAnsi="Times New Roman"/>
          <w:sz w:val="24"/>
          <w:szCs w:val="28"/>
        </w:rPr>
        <w:t xml:space="preserve">, </w:t>
      </w:r>
      <w:proofErr w:type="spellStart"/>
      <w:r w:rsidRPr="009E774B">
        <w:rPr>
          <w:rFonts w:ascii="Times New Roman" w:hAnsi="Times New Roman"/>
          <w:sz w:val="24"/>
          <w:szCs w:val="28"/>
        </w:rPr>
        <w:t>Qiang</w:t>
      </w:r>
      <w:proofErr w:type="spellEnd"/>
      <w:r w:rsidRPr="009E774B">
        <w:rPr>
          <w:rFonts w:ascii="Times New Roman" w:hAnsi="Times New Roman"/>
          <w:sz w:val="24"/>
          <w:szCs w:val="28"/>
        </w:rPr>
        <w:t xml:space="preserve"> Hua, </w:t>
      </w:r>
      <w:proofErr w:type="spellStart"/>
      <w:r w:rsidRPr="009E774B">
        <w:rPr>
          <w:rFonts w:ascii="Times New Roman" w:hAnsi="Times New Roman"/>
          <w:sz w:val="24"/>
          <w:szCs w:val="28"/>
        </w:rPr>
        <w:t>Rongrong</w:t>
      </w:r>
      <w:proofErr w:type="spellEnd"/>
      <w:r w:rsidRPr="009E774B">
        <w:rPr>
          <w:rFonts w:ascii="Times New Roman" w:hAnsi="Times New Roman"/>
          <w:sz w:val="24"/>
          <w:szCs w:val="28"/>
        </w:rPr>
        <w:t xml:space="preserve"> Du, </w:t>
      </w:r>
      <w:proofErr w:type="spellStart"/>
      <w:r w:rsidRPr="009E774B">
        <w:rPr>
          <w:rFonts w:ascii="Times New Roman" w:hAnsi="Times New Roman"/>
          <w:sz w:val="24"/>
          <w:szCs w:val="28"/>
        </w:rPr>
        <w:t>Pingping</w:t>
      </w:r>
      <w:proofErr w:type="spellEnd"/>
      <w:r w:rsidRPr="009E774B">
        <w:rPr>
          <w:rFonts w:ascii="Times New Roman" w:hAnsi="Times New Roman"/>
          <w:sz w:val="24"/>
          <w:szCs w:val="28"/>
        </w:rPr>
        <w:t xml:space="preserve"> Liu, </w:t>
      </w:r>
      <w:proofErr w:type="spellStart"/>
      <w:r w:rsidRPr="009E774B">
        <w:rPr>
          <w:rFonts w:ascii="Times New Roman" w:hAnsi="Times New Roman"/>
          <w:sz w:val="24"/>
          <w:szCs w:val="28"/>
        </w:rPr>
        <w:t>Tingting</w:t>
      </w:r>
      <w:proofErr w:type="spellEnd"/>
      <w:r w:rsidRPr="009E774B">
        <w:rPr>
          <w:rFonts w:ascii="Times New Roman" w:hAnsi="Times New Roman"/>
          <w:sz w:val="24"/>
          <w:szCs w:val="28"/>
        </w:rPr>
        <w:t xml:space="preserve"> Liu, </w:t>
      </w:r>
      <w:proofErr w:type="spellStart"/>
      <w:r w:rsidRPr="009E774B">
        <w:rPr>
          <w:rFonts w:ascii="Times New Roman" w:hAnsi="Times New Roman"/>
          <w:sz w:val="24"/>
          <w:szCs w:val="28"/>
        </w:rPr>
        <w:t>Jinying</w:t>
      </w:r>
      <w:proofErr w:type="spellEnd"/>
      <w:r w:rsidRPr="009E774B">
        <w:rPr>
          <w:rFonts w:ascii="Times New Roman" w:hAnsi="Times New Roman"/>
          <w:sz w:val="24"/>
          <w:szCs w:val="28"/>
        </w:rPr>
        <w:t xml:space="preserve"> Yang, </w:t>
      </w:r>
      <w:proofErr w:type="spellStart"/>
      <w:r w:rsidRPr="009E774B">
        <w:rPr>
          <w:rFonts w:ascii="Times New Roman" w:hAnsi="Times New Roman"/>
          <w:sz w:val="24"/>
          <w:szCs w:val="28"/>
        </w:rPr>
        <w:t>Bensheng</w:t>
      </w:r>
      <w:proofErr w:type="spellEnd"/>
      <w:r w:rsidRPr="009E774B">
        <w:rPr>
          <w:rFonts w:ascii="Times New Roman" w:hAnsi="Times New Roman"/>
          <w:sz w:val="24"/>
          <w:szCs w:val="28"/>
        </w:rPr>
        <w:t xml:space="preserve"> </w:t>
      </w:r>
      <w:proofErr w:type="spellStart"/>
      <w:r w:rsidRPr="009E774B">
        <w:rPr>
          <w:rFonts w:ascii="Times New Roman" w:hAnsi="Times New Roman"/>
          <w:sz w:val="24"/>
          <w:szCs w:val="28"/>
        </w:rPr>
        <w:t>Qiu</w:t>
      </w:r>
      <w:proofErr w:type="spellEnd"/>
      <w:r w:rsidRPr="009E774B">
        <w:rPr>
          <w:rFonts w:ascii="Times New Roman" w:hAnsi="Times New Roman"/>
          <w:sz w:val="24"/>
          <w:szCs w:val="28"/>
        </w:rPr>
        <w:t>, Gong-Jun JI</w:t>
      </w:r>
      <w:r w:rsidRPr="009E774B">
        <w:rPr>
          <w:rFonts w:ascii="Times New Roman" w:hAnsi="Times New Roman"/>
          <w:sz w:val="24"/>
          <w:szCs w:val="28"/>
          <w:vertAlign w:val="superscript"/>
        </w:rPr>
        <w:t>*</w:t>
      </w:r>
      <w:r w:rsidRPr="009E774B">
        <w:rPr>
          <w:rFonts w:ascii="Times New Roman" w:hAnsi="Times New Roman"/>
          <w:sz w:val="24"/>
          <w:szCs w:val="28"/>
        </w:rPr>
        <w:t xml:space="preserve">, </w:t>
      </w:r>
      <w:proofErr w:type="spellStart"/>
      <w:r w:rsidRPr="009E774B">
        <w:rPr>
          <w:rFonts w:ascii="Times New Roman" w:hAnsi="Times New Roman"/>
          <w:sz w:val="24"/>
          <w:szCs w:val="28"/>
        </w:rPr>
        <w:t>Panpan</w:t>
      </w:r>
      <w:proofErr w:type="spellEnd"/>
      <w:r w:rsidRPr="009E774B">
        <w:rPr>
          <w:rFonts w:ascii="Times New Roman" w:hAnsi="Times New Roman"/>
          <w:sz w:val="24"/>
          <w:szCs w:val="28"/>
        </w:rPr>
        <w:t xml:space="preserve"> Hu</w:t>
      </w:r>
      <w:r w:rsidRPr="009E774B">
        <w:rPr>
          <w:rFonts w:ascii="Times New Roman" w:hAnsi="Times New Roman"/>
          <w:sz w:val="24"/>
          <w:szCs w:val="28"/>
          <w:vertAlign w:val="superscript"/>
        </w:rPr>
        <w:t>*</w:t>
      </w:r>
      <w:r w:rsidRPr="009E774B">
        <w:rPr>
          <w:rFonts w:ascii="Times New Roman" w:hAnsi="Times New Roman"/>
          <w:sz w:val="24"/>
          <w:szCs w:val="28"/>
        </w:rPr>
        <w:t>, Kai Wang</w:t>
      </w:r>
      <w:r w:rsidRPr="009E774B">
        <w:rPr>
          <w:rFonts w:ascii="Times New Roman" w:hAnsi="Times New Roman"/>
          <w:sz w:val="24"/>
          <w:szCs w:val="28"/>
          <w:vertAlign w:val="superscript"/>
        </w:rPr>
        <w:t>*</w:t>
      </w:r>
    </w:p>
    <w:p w14:paraId="5D3EB8AE" w14:textId="77777777" w:rsidR="007869C1" w:rsidRPr="009E774B" w:rsidRDefault="007869C1" w:rsidP="007869C1"/>
    <w:p w14:paraId="4A3FD469" w14:textId="77777777" w:rsidR="007869C1" w:rsidRPr="009E774B" w:rsidRDefault="007869C1" w:rsidP="007869C1">
      <w:pPr>
        <w:rPr>
          <w:rFonts w:ascii="Times New Roman" w:hAnsi="Times New Roman"/>
          <w:sz w:val="24"/>
          <w:szCs w:val="24"/>
        </w:rPr>
      </w:pPr>
      <w:r w:rsidRPr="009E774B">
        <w:rPr>
          <w:rFonts w:ascii="Times New Roman" w:hAnsi="Times New Roman"/>
          <w:sz w:val="24"/>
          <w:szCs w:val="28"/>
          <w:vertAlign w:val="superscript"/>
        </w:rPr>
        <w:t>*</w:t>
      </w:r>
      <w:r w:rsidRPr="009E774B">
        <w:rPr>
          <w:rFonts w:ascii="Times New Roman" w:hAnsi="Times New Roman"/>
          <w:sz w:val="24"/>
          <w:szCs w:val="24"/>
        </w:rPr>
        <w:t xml:space="preserve">Corresponding author. </w:t>
      </w:r>
    </w:p>
    <w:p w14:paraId="0DC49AE3" w14:textId="77777777" w:rsidR="007869C1" w:rsidRPr="00C1528A" w:rsidRDefault="007869C1" w:rsidP="007869C1">
      <w:pPr>
        <w:rPr>
          <w:rStyle w:val="a8"/>
          <w:rFonts w:ascii="Times New Roman" w:hAnsi="Times New Roman"/>
          <w:color w:val="000000" w:themeColor="text1"/>
          <w:sz w:val="24"/>
          <w:szCs w:val="24"/>
        </w:rPr>
      </w:pPr>
      <w:r w:rsidRPr="00C1528A">
        <w:rPr>
          <w:rFonts w:ascii="Times New Roman" w:hAnsi="Times New Roman"/>
          <w:color w:val="000000" w:themeColor="text1"/>
          <w:sz w:val="24"/>
          <w:szCs w:val="24"/>
        </w:rPr>
        <w:t>E-mail:</w:t>
      </w:r>
      <w:r w:rsidRPr="00C1528A">
        <w:rPr>
          <w:rFonts w:ascii="Times New Roman" w:hAnsi="Times New Roman"/>
          <w:color w:val="000000" w:themeColor="text1"/>
        </w:rPr>
        <w:t xml:space="preserve"> </w:t>
      </w:r>
      <w:proofErr w:type="spellStart"/>
      <w:r w:rsidRPr="00C1528A">
        <w:rPr>
          <w:rStyle w:val="a8"/>
          <w:rFonts w:ascii="Times New Roman" w:hAnsi="Times New Roman"/>
          <w:color w:val="000000" w:themeColor="text1"/>
          <w:sz w:val="24"/>
          <w:szCs w:val="24"/>
        </w:rPr>
        <w:t>wangkai1964@126.com</w:t>
      </w:r>
      <w:proofErr w:type="spellEnd"/>
      <w:r w:rsidRPr="00C1528A">
        <w:rPr>
          <w:rStyle w:val="a8"/>
          <w:rFonts w:ascii="Times New Roman" w:hAnsi="Times New Roman" w:hint="eastAsia"/>
          <w:color w:val="000000" w:themeColor="text1"/>
          <w:sz w:val="24"/>
          <w:szCs w:val="24"/>
        </w:rPr>
        <w:t>；</w:t>
      </w:r>
      <w:proofErr w:type="spellStart"/>
      <w:r w:rsidRPr="00C1528A">
        <w:rPr>
          <w:rStyle w:val="a8"/>
          <w:rFonts w:ascii="Times New Roman" w:hAnsi="Times New Roman"/>
          <w:color w:val="000000" w:themeColor="text1"/>
          <w:sz w:val="24"/>
          <w:szCs w:val="24"/>
        </w:rPr>
        <w:t>jigongjun@163.com</w:t>
      </w:r>
      <w:proofErr w:type="spellEnd"/>
      <w:r w:rsidRPr="00C1528A">
        <w:rPr>
          <w:rStyle w:val="a8"/>
          <w:rFonts w:ascii="Times New Roman" w:hAnsi="Times New Roman"/>
          <w:color w:val="000000" w:themeColor="text1"/>
          <w:sz w:val="24"/>
          <w:szCs w:val="24"/>
        </w:rPr>
        <w:t xml:space="preserve">; </w:t>
      </w:r>
      <w:proofErr w:type="spellStart"/>
      <w:r w:rsidRPr="00C1528A">
        <w:rPr>
          <w:rStyle w:val="a8"/>
          <w:rFonts w:ascii="Times New Roman" w:hAnsi="Times New Roman"/>
          <w:color w:val="000000" w:themeColor="text1"/>
          <w:sz w:val="24"/>
          <w:szCs w:val="24"/>
        </w:rPr>
        <w:t>hpppanda9@126.com</w:t>
      </w:r>
      <w:proofErr w:type="spellEnd"/>
    </w:p>
    <w:p w14:paraId="4A76A8AB" w14:textId="77777777" w:rsidR="007869C1" w:rsidRPr="009E774B" w:rsidRDefault="007869C1" w:rsidP="007869C1">
      <w:pPr>
        <w:rPr>
          <w:rFonts w:ascii="Arial" w:hAnsi="Arial" w:cs="Arial"/>
          <w:sz w:val="24"/>
          <w:szCs w:val="24"/>
        </w:rPr>
      </w:pPr>
    </w:p>
    <w:p w14:paraId="4531766C" w14:textId="77777777" w:rsidR="007869C1" w:rsidRPr="009E774B" w:rsidRDefault="007869C1" w:rsidP="007869C1">
      <w:pPr>
        <w:rPr>
          <w:rFonts w:ascii="Times New Roman" w:hAnsi="Times New Roman"/>
          <w:b/>
          <w:sz w:val="24"/>
          <w:szCs w:val="24"/>
        </w:rPr>
      </w:pPr>
      <w:r w:rsidRPr="009E774B">
        <w:rPr>
          <w:rFonts w:ascii="Times New Roman" w:hAnsi="Times New Roman"/>
          <w:b/>
          <w:sz w:val="24"/>
          <w:szCs w:val="24"/>
        </w:rPr>
        <w:t>1.</w:t>
      </w:r>
      <w:r w:rsidRPr="008D22D1">
        <w:rPr>
          <w:rFonts w:ascii="Times New Roman" w:hAnsi="Times New Roman"/>
          <w:b/>
          <w:sz w:val="24"/>
          <w:szCs w:val="24"/>
        </w:rPr>
        <w:t xml:space="preserve"> </w:t>
      </w:r>
      <w:r w:rsidRPr="009E774B">
        <w:rPr>
          <w:rFonts w:ascii="Times New Roman" w:hAnsi="Times New Roman"/>
          <w:b/>
          <w:sz w:val="24"/>
          <w:szCs w:val="24"/>
        </w:rPr>
        <w:t>The methods of calculating functional homotopic area</w:t>
      </w:r>
    </w:p>
    <w:p w14:paraId="1598DFF5" w14:textId="7F2A454F" w:rsidR="007869C1" w:rsidRDefault="007869C1" w:rsidP="00B560E2">
      <w:pPr>
        <w:spacing w:line="360" w:lineRule="auto"/>
        <w:ind w:firstLineChars="100" w:firstLine="240"/>
        <w:rPr>
          <w:rFonts w:ascii="Times New Roman" w:hAnsi="Times New Roman"/>
          <w:sz w:val="24"/>
          <w:szCs w:val="24"/>
        </w:rPr>
      </w:pPr>
      <w:r w:rsidRPr="009E774B">
        <w:rPr>
          <w:rFonts w:ascii="Times New Roman" w:hAnsi="Times New Roman"/>
          <w:sz w:val="24"/>
          <w:szCs w:val="24"/>
        </w:rPr>
        <w:t>First, significant</w:t>
      </w:r>
      <w:r w:rsidRPr="008D22D1">
        <w:rPr>
          <w:rFonts w:ascii="Times New Roman" w:hAnsi="Times New Roman"/>
          <w:sz w:val="24"/>
          <w:szCs w:val="24"/>
        </w:rPr>
        <w:t xml:space="preserve"> c</w:t>
      </w:r>
      <w:r w:rsidRPr="009E774B">
        <w:rPr>
          <w:rFonts w:ascii="Times New Roman" w:hAnsi="Times New Roman"/>
          <w:sz w:val="24"/>
          <w:szCs w:val="24"/>
        </w:rPr>
        <w:t xml:space="preserve">onnectivity between </w:t>
      </w:r>
      <w:r w:rsidRPr="008D22D1">
        <w:rPr>
          <w:rFonts w:ascii="Times New Roman" w:hAnsi="Times New Roman"/>
          <w:sz w:val="24"/>
          <w:szCs w:val="24"/>
        </w:rPr>
        <w:t>f</w:t>
      </w:r>
      <w:r w:rsidRPr="009E774B">
        <w:rPr>
          <w:rFonts w:ascii="Times New Roman" w:hAnsi="Times New Roman"/>
          <w:sz w:val="24"/>
          <w:szCs w:val="24"/>
        </w:rPr>
        <w:t xml:space="preserve">unctionally </w:t>
      </w:r>
      <w:r w:rsidRPr="008D22D1">
        <w:rPr>
          <w:rFonts w:ascii="Times New Roman" w:hAnsi="Times New Roman"/>
          <w:sz w:val="24"/>
          <w:szCs w:val="24"/>
        </w:rPr>
        <w:t>h</w:t>
      </w:r>
      <w:r w:rsidRPr="009E774B">
        <w:rPr>
          <w:rFonts w:ascii="Times New Roman" w:hAnsi="Times New Roman"/>
          <w:sz w:val="24"/>
          <w:szCs w:val="24"/>
        </w:rPr>
        <w:t xml:space="preserve">omotopic voxel </w:t>
      </w:r>
      <w:r w:rsidR="006038DA">
        <w:rPr>
          <w:rFonts w:ascii="Times New Roman" w:hAnsi="Times New Roman"/>
          <w:sz w:val="24"/>
          <w:szCs w:val="24"/>
        </w:rPr>
        <w:t>(</w:t>
      </w:r>
      <w:proofErr w:type="spellStart"/>
      <w:r w:rsidR="006038DA">
        <w:rPr>
          <w:rFonts w:ascii="Times New Roman" w:hAnsi="Times New Roman"/>
          <w:sz w:val="24"/>
          <w:szCs w:val="24"/>
        </w:rPr>
        <w:t>CFH</w:t>
      </w:r>
      <w:proofErr w:type="spellEnd"/>
      <w:r w:rsidR="006038DA">
        <w:rPr>
          <w:rFonts w:ascii="Times New Roman" w:hAnsi="Times New Roman"/>
          <w:sz w:val="24"/>
          <w:szCs w:val="24"/>
        </w:rPr>
        <w:t xml:space="preserve">) </w:t>
      </w:r>
      <w:r w:rsidRPr="009E774B">
        <w:rPr>
          <w:rFonts w:ascii="Times New Roman" w:hAnsi="Times New Roman"/>
          <w:sz w:val="24"/>
          <w:szCs w:val="24"/>
        </w:rPr>
        <w:t xml:space="preserve">abnormalities between </w:t>
      </w:r>
      <w:r w:rsidRPr="008D22D1">
        <w:rPr>
          <w:rFonts w:ascii="Times New Roman" w:hAnsi="Times New Roman"/>
          <w:sz w:val="24"/>
          <w:szCs w:val="24"/>
        </w:rPr>
        <w:t xml:space="preserve">Parkinson’s </w:t>
      </w:r>
      <w:r w:rsidRPr="001E6850">
        <w:rPr>
          <w:rFonts w:ascii="Times New Roman" w:hAnsi="Times New Roman"/>
          <w:sz w:val="24"/>
          <w:szCs w:val="24"/>
        </w:rPr>
        <w:t>disease</w:t>
      </w:r>
      <w:r w:rsidRPr="009E774B">
        <w:rPr>
          <w:rFonts w:ascii="Times New Roman" w:hAnsi="Times New Roman"/>
          <w:sz w:val="24"/>
          <w:szCs w:val="24"/>
        </w:rPr>
        <w:t xml:space="preserve"> patients and </w:t>
      </w:r>
      <w:r w:rsidRPr="008D22D1">
        <w:rPr>
          <w:rFonts w:ascii="Times New Roman" w:hAnsi="Times New Roman"/>
          <w:sz w:val="24"/>
          <w:szCs w:val="24"/>
        </w:rPr>
        <w:t>healthy controls</w:t>
      </w:r>
      <w:r w:rsidRPr="009E774B">
        <w:rPr>
          <w:rFonts w:ascii="Times New Roman" w:hAnsi="Times New Roman"/>
          <w:sz w:val="24"/>
          <w:szCs w:val="24"/>
        </w:rPr>
        <w:t xml:space="preserve"> (right sensorimotor area) was selected as the seed region (</w:t>
      </w:r>
      <w:proofErr w:type="spellStart"/>
      <w:r w:rsidRPr="009E774B">
        <w:rPr>
          <w:rFonts w:ascii="Times New Roman" w:hAnsi="Times New Roman"/>
          <w:sz w:val="24"/>
          <w:szCs w:val="24"/>
        </w:rPr>
        <w:t>MNI</w:t>
      </w:r>
      <w:proofErr w:type="spellEnd"/>
      <w:r w:rsidRPr="009E774B">
        <w:rPr>
          <w:rFonts w:ascii="Times New Roman" w:hAnsi="Times New Roman"/>
          <w:sz w:val="24"/>
          <w:szCs w:val="24"/>
        </w:rPr>
        <w:t xml:space="preserve"> coordinates: 42, </w:t>
      </w:r>
      <w:r w:rsidRPr="008D22D1">
        <w:rPr>
          <w:rFonts w:ascii="Times New Roman" w:hAnsi="Times New Roman" w:cs="Times New Roman"/>
          <w:sz w:val="24"/>
          <w:szCs w:val="24"/>
        </w:rPr>
        <w:t>-</w:t>
      </w:r>
      <w:r w:rsidRPr="009E774B">
        <w:rPr>
          <w:rFonts w:ascii="Times New Roman" w:hAnsi="Times New Roman"/>
          <w:sz w:val="24"/>
          <w:szCs w:val="24"/>
        </w:rPr>
        <w:t xml:space="preserve">21, 51; radius = 6 mm). Second, we performed a seed-to-whole-brain functional connectivity analysis on all participants. Third, the brain region with the strongest functional connection in the contralateral hemisphere was reported (Peak </w:t>
      </w:r>
      <w:r w:rsidRPr="009E774B">
        <w:rPr>
          <w:rFonts w:ascii="Times New Roman" w:hAnsi="Times New Roman"/>
          <w:i/>
          <w:sz w:val="24"/>
          <w:szCs w:val="24"/>
        </w:rPr>
        <w:t>t</w:t>
      </w:r>
      <w:r w:rsidRPr="008D22D1">
        <w:rPr>
          <w:rFonts w:ascii="Times New Roman" w:hAnsi="Times New Roman"/>
          <w:i/>
          <w:sz w:val="24"/>
          <w:szCs w:val="24"/>
        </w:rPr>
        <w:t>-</w:t>
      </w:r>
      <w:r w:rsidRPr="009E774B">
        <w:rPr>
          <w:rFonts w:ascii="Times New Roman" w:hAnsi="Times New Roman"/>
          <w:sz w:val="24"/>
          <w:szCs w:val="24"/>
        </w:rPr>
        <w:t xml:space="preserve">value = 17.40, </w:t>
      </w:r>
      <w:proofErr w:type="spellStart"/>
      <w:r w:rsidRPr="009E774B">
        <w:rPr>
          <w:rFonts w:ascii="Times New Roman" w:hAnsi="Times New Roman"/>
          <w:sz w:val="24"/>
          <w:szCs w:val="24"/>
        </w:rPr>
        <w:t>MNI</w:t>
      </w:r>
      <w:proofErr w:type="spellEnd"/>
      <w:r w:rsidRPr="009E774B">
        <w:rPr>
          <w:rFonts w:ascii="Times New Roman" w:hAnsi="Times New Roman"/>
          <w:sz w:val="24"/>
          <w:szCs w:val="24"/>
        </w:rPr>
        <w:t xml:space="preserve"> coordinates = -42, -18, 51) as the functional homotopic area</w:t>
      </w:r>
      <w:r w:rsidRPr="008D22D1">
        <w:rPr>
          <w:rFonts w:ascii="Times New Roman" w:hAnsi="Times New Roman"/>
          <w:sz w:val="24"/>
          <w:szCs w:val="24"/>
        </w:rPr>
        <w:t>,</w:t>
      </w:r>
      <w:r w:rsidRPr="009E774B">
        <w:rPr>
          <w:rFonts w:ascii="Times New Roman" w:hAnsi="Times New Roman"/>
          <w:sz w:val="24"/>
          <w:szCs w:val="24"/>
        </w:rPr>
        <w:t xml:space="preserve"> which is in the left sensorimotor area.</w:t>
      </w:r>
    </w:p>
    <w:p w14:paraId="24D481DD" w14:textId="77777777" w:rsidR="0051280E" w:rsidRDefault="0051280E" w:rsidP="007869C1">
      <w:pPr>
        <w:ind w:firstLineChars="100" w:firstLine="240"/>
        <w:rPr>
          <w:rFonts w:ascii="Times New Roman" w:hAnsi="Times New Roman"/>
          <w:sz w:val="24"/>
          <w:szCs w:val="24"/>
        </w:rPr>
      </w:pPr>
    </w:p>
    <w:p w14:paraId="0FE3CD84" w14:textId="0410C84E" w:rsidR="007869C1" w:rsidRPr="009E774B" w:rsidRDefault="00A8160E" w:rsidP="007869C1">
      <w:pPr>
        <w:rPr>
          <w:rFonts w:ascii="Times New Roman" w:hAnsi="Times New Roman"/>
          <w:b/>
          <w:sz w:val="24"/>
          <w:szCs w:val="24"/>
        </w:rPr>
      </w:pPr>
      <w:r w:rsidRPr="00A8160E">
        <w:rPr>
          <w:rFonts w:ascii="Times New Roman" w:hAnsi="Times New Roman" w:hint="eastAsia"/>
          <w:b/>
          <w:bCs/>
          <w:sz w:val="24"/>
          <w:szCs w:val="24"/>
        </w:rPr>
        <w:t>2</w:t>
      </w:r>
      <w:r w:rsidR="007869C1" w:rsidRPr="00A8160E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BF3149">
        <w:rPr>
          <w:rFonts w:ascii="Times New Roman" w:hAnsi="Times New Roman"/>
          <w:b/>
          <w:sz w:val="24"/>
          <w:szCs w:val="24"/>
        </w:rPr>
        <w:t xml:space="preserve">Table </w:t>
      </w:r>
      <w:proofErr w:type="spellStart"/>
      <w:r w:rsidR="00BF3149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1</w:t>
      </w:r>
      <w:proofErr w:type="spellEnd"/>
      <w:r w:rsidR="007869C1" w:rsidRPr="009E774B">
        <w:rPr>
          <w:rFonts w:ascii="Times New Roman" w:hAnsi="Times New Roman"/>
          <w:b/>
          <w:sz w:val="24"/>
          <w:szCs w:val="24"/>
        </w:rPr>
        <w:t>. Correlation between imaging and clinical measures</w:t>
      </w:r>
    </w:p>
    <w:tbl>
      <w:tblPr>
        <w:tblStyle w:val="a7"/>
        <w:tblW w:w="5325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1261"/>
        <w:gridCol w:w="1401"/>
        <w:gridCol w:w="1374"/>
        <w:gridCol w:w="1401"/>
        <w:gridCol w:w="1256"/>
      </w:tblGrid>
      <w:tr w:rsidR="007869C1" w:rsidRPr="001E6850" w14:paraId="680F907D" w14:textId="77777777" w:rsidTr="00BC19E2">
        <w:trPr>
          <w:trHeight w:val="290"/>
          <w:jc w:val="center"/>
        </w:trPr>
        <w:tc>
          <w:tcPr>
            <w:tcW w:w="1775" w:type="pct"/>
            <w:tcBorders>
              <w:top w:val="single" w:sz="8" w:space="0" w:color="auto"/>
              <w:bottom w:val="single" w:sz="8" w:space="0" w:color="auto"/>
            </w:tcBorders>
          </w:tcPr>
          <w:p w14:paraId="314FFF38" w14:textId="77777777" w:rsidR="007869C1" w:rsidRPr="009E774B" w:rsidRDefault="007869C1" w:rsidP="00BC19E2">
            <w:pPr>
              <w:rPr>
                <w:rFonts w:ascii="Times New Roman" w:hAnsi="Times New Roman"/>
                <w:b/>
                <w:sz w:val="22"/>
                <w:szCs w:val="24"/>
              </w:rPr>
            </w:pPr>
          </w:p>
        </w:tc>
        <w:tc>
          <w:tcPr>
            <w:tcW w:w="60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4FEDF02" w14:textId="77777777" w:rsidR="007869C1" w:rsidRPr="009E774B" w:rsidRDefault="007869C1" w:rsidP="00BC19E2">
            <w:pPr>
              <w:ind w:leftChars="50" w:left="105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Disease duration</w:t>
            </w:r>
          </w:p>
        </w:tc>
        <w:tc>
          <w:tcPr>
            <w:tcW w:w="675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0BE3D80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</w:rPr>
            </w:pPr>
            <w:r w:rsidRPr="009E774B">
              <w:rPr>
                <w:rFonts w:ascii="Times New Roman" w:hAnsi="Times New Roman"/>
                <w:sz w:val="22"/>
                <w:szCs w:val="24"/>
              </w:rPr>
              <w:t>H-Y</w:t>
            </w:r>
          </w:p>
        </w:tc>
        <w:tc>
          <w:tcPr>
            <w:tcW w:w="66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D4A0EF3" w14:textId="77777777" w:rsidR="007869C1" w:rsidRPr="009E774B" w:rsidRDefault="007869C1" w:rsidP="00BC19E2">
            <w:pPr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UPDRS-III</w:t>
            </w:r>
          </w:p>
        </w:tc>
        <w:tc>
          <w:tcPr>
            <w:tcW w:w="675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D2C43A3" w14:textId="77777777" w:rsidR="007869C1" w:rsidRPr="009E774B" w:rsidRDefault="007869C1" w:rsidP="00BC19E2">
            <w:pPr>
              <w:ind w:firstLineChars="50" w:firstLine="110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MoCA</w:t>
            </w:r>
          </w:p>
          <w:p w14:paraId="062BA95F" w14:textId="77777777" w:rsidR="007869C1" w:rsidRPr="009E774B" w:rsidRDefault="007869C1" w:rsidP="00BC19E2">
            <w:pPr>
              <w:ind w:firstLineChars="100" w:firstLine="220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(PD)</w:t>
            </w:r>
          </w:p>
        </w:tc>
        <w:tc>
          <w:tcPr>
            <w:tcW w:w="605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40D5D3B" w14:textId="77777777" w:rsidR="007869C1" w:rsidRPr="009E774B" w:rsidRDefault="007869C1" w:rsidP="00BC19E2">
            <w:pPr>
              <w:ind w:firstLineChars="50" w:firstLine="110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MoCA</w:t>
            </w:r>
          </w:p>
          <w:p w14:paraId="1FBE715C" w14:textId="77777777" w:rsidR="007869C1" w:rsidRPr="009E774B" w:rsidRDefault="007869C1" w:rsidP="00BC19E2">
            <w:pPr>
              <w:ind w:firstLineChars="100" w:firstLine="220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(HC)</w:t>
            </w:r>
          </w:p>
        </w:tc>
      </w:tr>
      <w:tr w:rsidR="007869C1" w:rsidRPr="001E6850" w14:paraId="4527E882" w14:textId="77777777" w:rsidTr="00BC19E2">
        <w:trPr>
          <w:trHeight w:val="330"/>
          <w:jc w:val="center"/>
        </w:trPr>
        <w:tc>
          <w:tcPr>
            <w:tcW w:w="1775" w:type="pct"/>
            <w:tcBorders>
              <w:top w:val="single" w:sz="8" w:space="0" w:color="auto"/>
            </w:tcBorders>
          </w:tcPr>
          <w:p w14:paraId="382702D9" w14:textId="77777777" w:rsidR="007869C1" w:rsidRPr="009E774B" w:rsidRDefault="007869C1" w:rsidP="00BC19E2">
            <w:pPr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AI in left angular</w:t>
            </w:r>
          </w:p>
        </w:tc>
        <w:tc>
          <w:tcPr>
            <w:tcW w:w="607" w:type="pct"/>
            <w:tcBorders>
              <w:top w:val="single" w:sz="8" w:space="0" w:color="auto"/>
            </w:tcBorders>
            <w:vAlign w:val="center"/>
          </w:tcPr>
          <w:p w14:paraId="4BA506D6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0.11(0.35)</w:t>
            </w:r>
          </w:p>
        </w:tc>
        <w:tc>
          <w:tcPr>
            <w:tcW w:w="675" w:type="pct"/>
            <w:tcBorders>
              <w:top w:val="single" w:sz="8" w:space="0" w:color="auto"/>
            </w:tcBorders>
            <w:vAlign w:val="center"/>
          </w:tcPr>
          <w:p w14:paraId="15042EF0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0.009(0.94)</w:t>
            </w:r>
          </w:p>
        </w:tc>
        <w:tc>
          <w:tcPr>
            <w:tcW w:w="662" w:type="pct"/>
            <w:tcBorders>
              <w:top w:val="single" w:sz="8" w:space="0" w:color="auto"/>
            </w:tcBorders>
            <w:vAlign w:val="center"/>
          </w:tcPr>
          <w:p w14:paraId="5C8975F1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-0.05(0.65)</w:t>
            </w:r>
          </w:p>
        </w:tc>
        <w:tc>
          <w:tcPr>
            <w:tcW w:w="675" w:type="pct"/>
            <w:tcBorders>
              <w:top w:val="single" w:sz="8" w:space="0" w:color="auto"/>
            </w:tcBorders>
            <w:vAlign w:val="center"/>
          </w:tcPr>
          <w:p w14:paraId="207E86B4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0.20(0.10)</w:t>
            </w:r>
          </w:p>
        </w:tc>
        <w:tc>
          <w:tcPr>
            <w:tcW w:w="605" w:type="pct"/>
            <w:tcBorders>
              <w:top w:val="single" w:sz="8" w:space="0" w:color="auto"/>
            </w:tcBorders>
            <w:vAlign w:val="center"/>
          </w:tcPr>
          <w:p w14:paraId="31026D4D" w14:textId="12E10153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0.24(0.04)</w:t>
            </w:r>
          </w:p>
        </w:tc>
      </w:tr>
      <w:tr w:rsidR="007869C1" w:rsidRPr="001E6850" w14:paraId="1FA40C4F" w14:textId="77777777" w:rsidTr="00BC19E2">
        <w:trPr>
          <w:trHeight w:val="321"/>
          <w:jc w:val="center"/>
        </w:trPr>
        <w:tc>
          <w:tcPr>
            <w:tcW w:w="1775" w:type="pct"/>
          </w:tcPr>
          <w:p w14:paraId="270F8C49" w14:textId="77777777" w:rsidR="007869C1" w:rsidRPr="009E774B" w:rsidRDefault="007869C1" w:rsidP="00BC19E2">
            <w:pPr>
              <w:rPr>
                <w:rFonts w:ascii="Times New Roman" w:hAnsi="Times New Roman"/>
                <w:sz w:val="22"/>
                <w:szCs w:val="24"/>
              </w:rPr>
            </w:pPr>
            <w:r w:rsidRPr="009E774B">
              <w:rPr>
                <w:rFonts w:ascii="Times New Roman" w:hAnsi="Times New Roman"/>
                <w:sz w:val="22"/>
                <w:szCs w:val="24"/>
              </w:rPr>
              <w:t>FC in left middle orbitofrontal gyrus</w:t>
            </w:r>
          </w:p>
        </w:tc>
        <w:tc>
          <w:tcPr>
            <w:tcW w:w="607" w:type="pct"/>
            <w:vAlign w:val="center"/>
          </w:tcPr>
          <w:p w14:paraId="1A8583D2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0.15(0.22)</w:t>
            </w:r>
          </w:p>
        </w:tc>
        <w:tc>
          <w:tcPr>
            <w:tcW w:w="675" w:type="pct"/>
            <w:vAlign w:val="center"/>
          </w:tcPr>
          <w:p w14:paraId="0F1EC4B7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0.004(0.97)</w:t>
            </w:r>
          </w:p>
        </w:tc>
        <w:tc>
          <w:tcPr>
            <w:tcW w:w="662" w:type="pct"/>
            <w:vAlign w:val="center"/>
          </w:tcPr>
          <w:p w14:paraId="2A6D6784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-0.08(0.51)</w:t>
            </w:r>
          </w:p>
        </w:tc>
        <w:tc>
          <w:tcPr>
            <w:tcW w:w="675" w:type="pct"/>
            <w:vAlign w:val="center"/>
          </w:tcPr>
          <w:p w14:paraId="4228EDEC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0.28(0.02)</w:t>
            </w:r>
          </w:p>
        </w:tc>
        <w:tc>
          <w:tcPr>
            <w:tcW w:w="605" w:type="pct"/>
            <w:vAlign w:val="center"/>
          </w:tcPr>
          <w:p w14:paraId="373C4EB3" w14:textId="5CFC8E5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0.21(0.08)</w:t>
            </w:r>
          </w:p>
        </w:tc>
      </w:tr>
      <w:tr w:rsidR="007869C1" w:rsidRPr="001E6850" w14:paraId="612BB33A" w14:textId="77777777" w:rsidTr="00BC19E2">
        <w:trPr>
          <w:trHeight w:val="330"/>
          <w:jc w:val="center"/>
        </w:trPr>
        <w:tc>
          <w:tcPr>
            <w:tcW w:w="1775" w:type="pct"/>
          </w:tcPr>
          <w:p w14:paraId="73790006" w14:textId="77777777" w:rsidR="007869C1" w:rsidRPr="009E774B" w:rsidRDefault="007869C1" w:rsidP="00BC19E2">
            <w:pPr>
              <w:rPr>
                <w:rFonts w:ascii="Times New Roman" w:hAnsi="Times New Roman"/>
                <w:sz w:val="22"/>
                <w:szCs w:val="24"/>
              </w:rPr>
            </w:pPr>
            <w:r w:rsidRPr="009E774B">
              <w:rPr>
                <w:rFonts w:ascii="Times New Roman" w:hAnsi="Times New Roman"/>
                <w:sz w:val="22"/>
                <w:szCs w:val="24"/>
              </w:rPr>
              <w:t>FC in left middle frontal gyrus</w:t>
            </w:r>
          </w:p>
        </w:tc>
        <w:tc>
          <w:tcPr>
            <w:tcW w:w="607" w:type="pct"/>
            <w:vAlign w:val="center"/>
          </w:tcPr>
          <w:p w14:paraId="0402D168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0.007(0.96)</w:t>
            </w:r>
          </w:p>
        </w:tc>
        <w:tc>
          <w:tcPr>
            <w:tcW w:w="675" w:type="pct"/>
            <w:vAlign w:val="center"/>
          </w:tcPr>
          <w:p w14:paraId="7B28338E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0.008(0.95)</w:t>
            </w:r>
          </w:p>
        </w:tc>
        <w:tc>
          <w:tcPr>
            <w:tcW w:w="662" w:type="pct"/>
            <w:vAlign w:val="center"/>
          </w:tcPr>
          <w:p w14:paraId="504ED84E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0.04(0.76)</w:t>
            </w:r>
          </w:p>
        </w:tc>
        <w:tc>
          <w:tcPr>
            <w:tcW w:w="675" w:type="pct"/>
            <w:vAlign w:val="center"/>
          </w:tcPr>
          <w:p w14:paraId="7BCCFCC7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0.12(0.31)</w:t>
            </w:r>
          </w:p>
        </w:tc>
        <w:tc>
          <w:tcPr>
            <w:tcW w:w="605" w:type="pct"/>
            <w:vAlign w:val="center"/>
          </w:tcPr>
          <w:p w14:paraId="020A5356" w14:textId="5FED7A7E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0.21(0.08)</w:t>
            </w:r>
          </w:p>
        </w:tc>
      </w:tr>
      <w:tr w:rsidR="007869C1" w:rsidRPr="001E6850" w14:paraId="6C25107C" w14:textId="77777777" w:rsidTr="00BC19E2">
        <w:trPr>
          <w:trHeight w:val="321"/>
          <w:jc w:val="center"/>
        </w:trPr>
        <w:tc>
          <w:tcPr>
            <w:tcW w:w="1775" w:type="pct"/>
          </w:tcPr>
          <w:p w14:paraId="64879F9F" w14:textId="77777777" w:rsidR="007869C1" w:rsidRPr="009E774B" w:rsidRDefault="007869C1" w:rsidP="00BC19E2">
            <w:pPr>
              <w:rPr>
                <w:rFonts w:ascii="Times New Roman" w:hAnsi="Times New Roman"/>
                <w:sz w:val="22"/>
                <w:szCs w:val="24"/>
              </w:rPr>
            </w:pPr>
            <w:r w:rsidRPr="009E774B">
              <w:rPr>
                <w:rFonts w:ascii="Times New Roman" w:hAnsi="Times New Roman"/>
                <w:sz w:val="22"/>
                <w:szCs w:val="24"/>
              </w:rPr>
              <w:t>FC in left supplementary area</w:t>
            </w:r>
          </w:p>
        </w:tc>
        <w:tc>
          <w:tcPr>
            <w:tcW w:w="607" w:type="pct"/>
            <w:vAlign w:val="center"/>
          </w:tcPr>
          <w:p w14:paraId="420388A7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0.08(0.49)</w:t>
            </w:r>
          </w:p>
        </w:tc>
        <w:tc>
          <w:tcPr>
            <w:tcW w:w="675" w:type="pct"/>
            <w:vAlign w:val="center"/>
          </w:tcPr>
          <w:p w14:paraId="1C9E4C1B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0.04(0.73)</w:t>
            </w:r>
          </w:p>
        </w:tc>
        <w:tc>
          <w:tcPr>
            <w:tcW w:w="662" w:type="pct"/>
            <w:vAlign w:val="center"/>
          </w:tcPr>
          <w:p w14:paraId="7FDA6EB0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0.09(0.47)</w:t>
            </w:r>
          </w:p>
        </w:tc>
        <w:tc>
          <w:tcPr>
            <w:tcW w:w="675" w:type="pct"/>
            <w:vAlign w:val="center"/>
          </w:tcPr>
          <w:p w14:paraId="79D54FB1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0.37(0.002)</w:t>
            </w:r>
          </w:p>
        </w:tc>
        <w:tc>
          <w:tcPr>
            <w:tcW w:w="605" w:type="pct"/>
            <w:vAlign w:val="center"/>
          </w:tcPr>
          <w:p w14:paraId="075F3FF3" w14:textId="34811A4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0.10(0.41)</w:t>
            </w:r>
          </w:p>
        </w:tc>
      </w:tr>
      <w:tr w:rsidR="007869C1" w:rsidRPr="001E6850" w14:paraId="0090A618" w14:textId="77777777" w:rsidTr="00BC19E2">
        <w:trPr>
          <w:trHeight w:val="330"/>
          <w:jc w:val="center"/>
        </w:trPr>
        <w:tc>
          <w:tcPr>
            <w:tcW w:w="1775" w:type="pct"/>
          </w:tcPr>
          <w:p w14:paraId="64F662A0" w14:textId="77777777" w:rsidR="007869C1" w:rsidRPr="009E774B" w:rsidRDefault="007869C1" w:rsidP="00BC19E2">
            <w:pPr>
              <w:rPr>
                <w:rFonts w:ascii="Times New Roman" w:hAnsi="Times New Roman"/>
                <w:sz w:val="22"/>
                <w:szCs w:val="24"/>
              </w:rPr>
            </w:pPr>
            <w:r w:rsidRPr="009E774B">
              <w:rPr>
                <w:rFonts w:ascii="Times New Roman" w:hAnsi="Times New Roman"/>
                <w:sz w:val="22"/>
                <w:szCs w:val="24"/>
              </w:rPr>
              <w:t>FC in right supramarginal gyrus</w:t>
            </w:r>
          </w:p>
        </w:tc>
        <w:tc>
          <w:tcPr>
            <w:tcW w:w="607" w:type="pct"/>
            <w:vAlign w:val="center"/>
          </w:tcPr>
          <w:p w14:paraId="5B327E72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0.05(0.68)</w:t>
            </w:r>
          </w:p>
        </w:tc>
        <w:tc>
          <w:tcPr>
            <w:tcW w:w="675" w:type="pct"/>
            <w:vAlign w:val="center"/>
          </w:tcPr>
          <w:p w14:paraId="3B29D1F4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-0.11(0.35)</w:t>
            </w:r>
          </w:p>
        </w:tc>
        <w:tc>
          <w:tcPr>
            <w:tcW w:w="662" w:type="pct"/>
            <w:vAlign w:val="center"/>
          </w:tcPr>
          <w:p w14:paraId="4E683EC1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-0.02(0.90)</w:t>
            </w:r>
          </w:p>
        </w:tc>
        <w:tc>
          <w:tcPr>
            <w:tcW w:w="675" w:type="pct"/>
            <w:vAlign w:val="center"/>
          </w:tcPr>
          <w:p w14:paraId="103C4609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-0.22(0.06)</w:t>
            </w:r>
          </w:p>
        </w:tc>
        <w:tc>
          <w:tcPr>
            <w:tcW w:w="605" w:type="pct"/>
            <w:vAlign w:val="center"/>
          </w:tcPr>
          <w:p w14:paraId="73578B87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0.10(0.43)</w:t>
            </w:r>
          </w:p>
        </w:tc>
      </w:tr>
      <w:tr w:rsidR="007869C1" w:rsidRPr="001E6850" w14:paraId="15FD9BB4" w14:textId="77777777" w:rsidTr="00BC19E2">
        <w:trPr>
          <w:trHeight w:val="653"/>
          <w:jc w:val="center"/>
        </w:trPr>
        <w:tc>
          <w:tcPr>
            <w:tcW w:w="1775" w:type="pct"/>
          </w:tcPr>
          <w:p w14:paraId="4840977F" w14:textId="77777777" w:rsidR="007869C1" w:rsidRPr="009E774B" w:rsidRDefault="007869C1" w:rsidP="00BC19E2">
            <w:pPr>
              <w:jc w:val="left"/>
              <w:rPr>
                <w:rFonts w:ascii="Times New Roman" w:hAnsi="Times New Roman"/>
                <w:sz w:val="22"/>
                <w:szCs w:val="24"/>
              </w:rPr>
            </w:pPr>
            <w:r w:rsidRPr="009E774B">
              <w:rPr>
                <w:rFonts w:ascii="Times New Roman" w:hAnsi="Times New Roman"/>
                <w:sz w:val="22"/>
                <w:szCs w:val="24"/>
              </w:rPr>
              <w:t>FC in left precentral/</w:t>
            </w:r>
          </w:p>
          <w:p w14:paraId="7100C67D" w14:textId="77777777" w:rsidR="007869C1" w:rsidRPr="009E774B" w:rsidRDefault="007869C1" w:rsidP="00BC19E2">
            <w:pPr>
              <w:jc w:val="left"/>
              <w:rPr>
                <w:rFonts w:ascii="Times New Roman" w:hAnsi="Times New Roman"/>
                <w:sz w:val="22"/>
                <w:szCs w:val="24"/>
              </w:rPr>
            </w:pPr>
            <w:r w:rsidRPr="009E774B">
              <w:rPr>
                <w:rFonts w:ascii="Times New Roman" w:hAnsi="Times New Roman"/>
                <w:sz w:val="22"/>
                <w:szCs w:val="24"/>
              </w:rPr>
              <w:t>postcentral gyrus</w:t>
            </w:r>
          </w:p>
        </w:tc>
        <w:tc>
          <w:tcPr>
            <w:tcW w:w="607" w:type="pct"/>
            <w:vAlign w:val="center"/>
          </w:tcPr>
          <w:p w14:paraId="45CBAF88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-0.14(0.26)</w:t>
            </w:r>
          </w:p>
        </w:tc>
        <w:tc>
          <w:tcPr>
            <w:tcW w:w="675" w:type="pct"/>
            <w:vAlign w:val="center"/>
          </w:tcPr>
          <w:p w14:paraId="3219D3A4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-0.04(0.74)</w:t>
            </w:r>
          </w:p>
        </w:tc>
        <w:tc>
          <w:tcPr>
            <w:tcW w:w="662" w:type="pct"/>
            <w:vAlign w:val="center"/>
          </w:tcPr>
          <w:p w14:paraId="23D90F40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0.17(0.17)</w:t>
            </w:r>
          </w:p>
        </w:tc>
        <w:tc>
          <w:tcPr>
            <w:tcW w:w="675" w:type="pct"/>
            <w:vAlign w:val="center"/>
          </w:tcPr>
          <w:p w14:paraId="592AC777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-0.10(0.39)</w:t>
            </w:r>
          </w:p>
        </w:tc>
        <w:tc>
          <w:tcPr>
            <w:tcW w:w="605" w:type="pct"/>
            <w:vAlign w:val="center"/>
          </w:tcPr>
          <w:p w14:paraId="5933096E" w14:textId="57D9DBDA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0.06(0.64)</w:t>
            </w:r>
          </w:p>
        </w:tc>
      </w:tr>
      <w:tr w:rsidR="007869C1" w:rsidRPr="001E6850" w14:paraId="12D48793" w14:textId="77777777" w:rsidTr="00BC19E2">
        <w:trPr>
          <w:trHeight w:val="321"/>
          <w:jc w:val="center"/>
        </w:trPr>
        <w:tc>
          <w:tcPr>
            <w:tcW w:w="1775" w:type="pct"/>
            <w:tcBorders>
              <w:bottom w:val="single" w:sz="8" w:space="0" w:color="auto"/>
            </w:tcBorders>
          </w:tcPr>
          <w:p w14:paraId="3D4AFA98" w14:textId="77777777" w:rsidR="007869C1" w:rsidRPr="009E774B" w:rsidRDefault="007869C1" w:rsidP="00BC19E2">
            <w:pPr>
              <w:rPr>
                <w:rFonts w:ascii="Times New Roman" w:hAnsi="Times New Roman"/>
                <w:sz w:val="22"/>
                <w:szCs w:val="24"/>
              </w:rPr>
            </w:pPr>
            <w:proofErr w:type="spellStart"/>
            <w:r w:rsidRPr="009E774B">
              <w:rPr>
                <w:rFonts w:ascii="Times New Roman" w:hAnsi="Times New Roman"/>
                <w:sz w:val="22"/>
                <w:szCs w:val="24"/>
              </w:rPr>
              <w:lastRenderedPageBreak/>
              <w:t>CFH</w:t>
            </w:r>
            <w:proofErr w:type="spellEnd"/>
            <w:r w:rsidRPr="009E774B">
              <w:rPr>
                <w:rFonts w:ascii="Times New Roman" w:hAnsi="Times New Roman"/>
                <w:sz w:val="22"/>
                <w:szCs w:val="24"/>
              </w:rPr>
              <w:t xml:space="preserve"> in right sensorimotor region</w:t>
            </w:r>
          </w:p>
        </w:tc>
        <w:tc>
          <w:tcPr>
            <w:tcW w:w="607" w:type="pct"/>
            <w:tcBorders>
              <w:bottom w:val="single" w:sz="8" w:space="0" w:color="auto"/>
            </w:tcBorders>
            <w:vAlign w:val="center"/>
          </w:tcPr>
          <w:p w14:paraId="007C6786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0.15(0.21)</w:t>
            </w:r>
          </w:p>
        </w:tc>
        <w:tc>
          <w:tcPr>
            <w:tcW w:w="675" w:type="pct"/>
            <w:tcBorders>
              <w:bottom w:val="single" w:sz="8" w:space="0" w:color="auto"/>
            </w:tcBorders>
            <w:vAlign w:val="center"/>
          </w:tcPr>
          <w:p w14:paraId="3F9C2C0A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0.22(0.06)</w:t>
            </w:r>
          </w:p>
        </w:tc>
        <w:tc>
          <w:tcPr>
            <w:tcW w:w="662" w:type="pct"/>
            <w:tcBorders>
              <w:bottom w:val="single" w:sz="8" w:space="0" w:color="auto"/>
            </w:tcBorders>
            <w:vAlign w:val="center"/>
          </w:tcPr>
          <w:p w14:paraId="6552437D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0.20(0.11)</w:t>
            </w:r>
          </w:p>
        </w:tc>
        <w:tc>
          <w:tcPr>
            <w:tcW w:w="675" w:type="pct"/>
            <w:tcBorders>
              <w:bottom w:val="single" w:sz="8" w:space="0" w:color="auto"/>
            </w:tcBorders>
            <w:vAlign w:val="center"/>
          </w:tcPr>
          <w:p w14:paraId="1FF3FF22" w14:textId="77777777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0.19(0.12)</w:t>
            </w:r>
          </w:p>
        </w:tc>
        <w:tc>
          <w:tcPr>
            <w:tcW w:w="605" w:type="pct"/>
            <w:tcBorders>
              <w:bottom w:val="single" w:sz="8" w:space="0" w:color="auto"/>
            </w:tcBorders>
            <w:vAlign w:val="center"/>
          </w:tcPr>
          <w:p w14:paraId="6E8F8454" w14:textId="5BD40DAA" w:rsidR="007869C1" w:rsidRPr="009E774B" w:rsidRDefault="007869C1" w:rsidP="00BC19E2">
            <w:pPr>
              <w:jc w:val="center"/>
              <w:rPr>
                <w:rFonts w:ascii="Times New Roman" w:hAnsi="Times New Roman"/>
                <w:sz w:val="22"/>
                <w:szCs w:val="24"/>
                <w:lang w:val="zh-CN"/>
              </w:rPr>
            </w:pPr>
            <w:r w:rsidRPr="009E774B">
              <w:rPr>
                <w:rFonts w:ascii="Times New Roman" w:hAnsi="Times New Roman"/>
                <w:sz w:val="22"/>
                <w:szCs w:val="24"/>
                <w:lang w:val="zh-CN"/>
              </w:rPr>
              <w:t>0.06(0.62)</w:t>
            </w:r>
          </w:p>
        </w:tc>
      </w:tr>
    </w:tbl>
    <w:p w14:paraId="7E61CC05" w14:textId="77777777" w:rsidR="007869C1" w:rsidRPr="001E6850" w:rsidRDefault="007869C1" w:rsidP="007869C1">
      <w:pPr>
        <w:jc w:val="left"/>
        <w:rPr>
          <w:rFonts w:ascii="Times New Roman" w:hAnsi="Times New Roman"/>
          <w:sz w:val="22"/>
          <w:szCs w:val="24"/>
        </w:rPr>
      </w:pPr>
      <w:r w:rsidRPr="001E6850">
        <w:rPr>
          <w:rFonts w:ascii="Times New Roman" w:hAnsi="Times New Roman"/>
          <w:sz w:val="22"/>
          <w:szCs w:val="24"/>
        </w:rPr>
        <w:t>Data are correlation coefficient values with P values in parenthesis.</w:t>
      </w:r>
    </w:p>
    <w:p w14:paraId="08DCCFCF" w14:textId="77777777" w:rsidR="007869C1" w:rsidRDefault="007869C1" w:rsidP="007869C1">
      <w:pPr>
        <w:jc w:val="left"/>
        <w:rPr>
          <w:rFonts w:ascii="Times New Roman" w:hAnsi="Times New Roman"/>
          <w:sz w:val="22"/>
          <w:szCs w:val="24"/>
        </w:rPr>
      </w:pPr>
      <w:r w:rsidRPr="001E6850">
        <w:rPr>
          <w:rFonts w:ascii="Times New Roman" w:hAnsi="Times New Roman"/>
          <w:sz w:val="22"/>
          <w:szCs w:val="24"/>
        </w:rPr>
        <w:t xml:space="preserve">Abbreviations: AI = autonomy index; </w:t>
      </w:r>
      <w:proofErr w:type="spellStart"/>
      <w:r w:rsidRPr="001E6850">
        <w:rPr>
          <w:rFonts w:ascii="Times New Roman" w:hAnsi="Times New Roman"/>
          <w:sz w:val="22"/>
          <w:szCs w:val="24"/>
        </w:rPr>
        <w:t>CFH</w:t>
      </w:r>
      <w:proofErr w:type="spellEnd"/>
      <w:r w:rsidRPr="001E6850">
        <w:rPr>
          <w:rFonts w:ascii="Times New Roman" w:hAnsi="Times New Roman"/>
          <w:sz w:val="22"/>
          <w:szCs w:val="24"/>
        </w:rPr>
        <w:t xml:space="preserve"> = connectivity between functionally homotopic voxels; FC = functional connectivity; HC = healthy control; H-Y = Hoehn and </w:t>
      </w:r>
      <w:proofErr w:type="spellStart"/>
      <w:r w:rsidRPr="001E6850">
        <w:rPr>
          <w:rFonts w:ascii="Times New Roman" w:hAnsi="Times New Roman"/>
          <w:sz w:val="22"/>
          <w:szCs w:val="24"/>
        </w:rPr>
        <w:t>Yahr</w:t>
      </w:r>
      <w:proofErr w:type="spellEnd"/>
      <w:r w:rsidRPr="001E6850">
        <w:rPr>
          <w:rFonts w:ascii="Times New Roman" w:hAnsi="Times New Roman"/>
          <w:sz w:val="22"/>
          <w:szCs w:val="24"/>
        </w:rPr>
        <w:t xml:space="preserve"> stage; </w:t>
      </w:r>
      <w:proofErr w:type="spellStart"/>
      <w:r w:rsidRPr="001E6850">
        <w:rPr>
          <w:rFonts w:ascii="Times New Roman" w:hAnsi="Times New Roman"/>
          <w:sz w:val="22"/>
          <w:szCs w:val="24"/>
        </w:rPr>
        <w:t>MoCA</w:t>
      </w:r>
      <w:proofErr w:type="spellEnd"/>
      <w:r w:rsidRPr="001E6850">
        <w:rPr>
          <w:rFonts w:ascii="Times New Roman" w:hAnsi="Times New Roman"/>
          <w:sz w:val="22"/>
          <w:szCs w:val="24"/>
        </w:rPr>
        <w:t xml:space="preserve"> = Montreal Cognitive Assessment; PD =Parkinson's disease; </w:t>
      </w:r>
      <w:proofErr w:type="spellStart"/>
      <w:r w:rsidRPr="001E6850">
        <w:rPr>
          <w:rFonts w:ascii="Times New Roman" w:hAnsi="Times New Roman"/>
          <w:sz w:val="22"/>
          <w:szCs w:val="24"/>
        </w:rPr>
        <w:t>UPDRS</w:t>
      </w:r>
      <w:proofErr w:type="spellEnd"/>
      <w:r w:rsidRPr="001E6850">
        <w:rPr>
          <w:rFonts w:ascii="Times New Roman" w:hAnsi="Times New Roman"/>
          <w:sz w:val="22"/>
          <w:szCs w:val="24"/>
        </w:rPr>
        <w:t xml:space="preserve"> = Unified Parkinson's Disease Rating Scale.</w:t>
      </w:r>
    </w:p>
    <w:p w14:paraId="1A1CF292" w14:textId="58DDDB20" w:rsidR="007869C1" w:rsidRPr="007F340D" w:rsidRDefault="007869C1" w:rsidP="007869C1">
      <w:pPr>
        <w:jc w:val="left"/>
        <w:rPr>
          <w:rFonts w:ascii="Times New Roman" w:hAnsi="Times New Roman"/>
          <w:b/>
          <w:bCs/>
          <w:sz w:val="22"/>
          <w:szCs w:val="24"/>
        </w:rPr>
      </w:pPr>
    </w:p>
    <w:p w14:paraId="522C3F7A" w14:textId="580CC41E" w:rsidR="00865534" w:rsidRPr="001815B8" w:rsidRDefault="00865534" w:rsidP="007869C1">
      <w:pPr>
        <w:jc w:val="left"/>
        <w:rPr>
          <w:rFonts w:ascii="Times New Roman" w:hAnsi="Times New Roman"/>
          <w:b/>
          <w:bCs/>
          <w:sz w:val="24"/>
          <w:szCs w:val="24"/>
          <w:highlight w:val="yellow"/>
        </w:rPr>
      </w:pPr>
      <w:r w:rsidRPr="00660C70">
        <w:rPr>
          <w:rFonts w:ascii="Times New Roman" w:hAnsi="Times New Roman" w:hint="eastAsia"/>
          <w:b/>
          <w:bCs/>
          <w:sz w:val="24"/>
          <w:szCs w:val="24"/>
          <w:highlight w:val="yellow"/>
        </w:rPr>
        <w:t>3</w:t>
      </w:r>
      <w:r w:rsidRPr="00660C70">
        <w:rPr>
          <w:rFonts w:ascii="Times New Roman" w:hAnsi="Times New Roman"/>
          <w:b/>
          <w:bCs/>
          <w:sz w:val="24"/>
          <w:szCs w:val="24"/>
          <w:highlight w:val="yellow"/>
        </w:rPr>
        <w:t>. T</w:t>
      </w:r>
      <w:r w:rsidRPr="001815B8">
        <w:rPr>
          <w:rFonts w:ascii="Times New Roman" w:hAnsi="Times New Roman"/>
          <w:b/>
          <w:bCs/>
          <w:sz w:val="24"/>
          <w:szCs w:val="24"/>
          <w:highlight w:val="yellow"/>
        </w:rPr>
        <w:t>he results with more strict criteria of head motion</w:t>
      </w:r>
      <w:r w:rsidR="00955169" w:rsidRPr="001815B8">
        <w:rPr>
          <w:rFonts w:ascii="Times New Roman" w:hAnsi="Times New Roman"/>
          <w:b/>
          <w:bCs/>
          <w:sz w:val="24"/>
          <w:szCs w:val="24"/>
          <w:highlight w:val="yellow"/>
        </w:rPr>
        <w:t>.</w:t>
      </w:r>
    </w:p>
    <w:p w14:paraId="39B288A1" w14:textId="681352CF" w:rsidR="00FE3DCC" w:rsidRPr="001815B8" w:rsidRDefault="006C5FD7" w:rsidP="00B560E2">
      <w:pPr>
        <w:spacing w:after="0" w:line="360" w:lineRule="auto"/>
        <w:ind w:firstLineChars="100" w:firstLine="240"/>
        <w:rPr>
          <w:rFonts w:ascii="Times New Roman" w:hAnsi="Times New Roman"/>
          <w:sz w:val="24"/>
          <w:szCs w:val="24"/>
          <w:highlight w:val="yellow"/>
        </w:rPr>
      </w:pPr>
      <w:r w:rsidRPr="001815B8">
        <w:rPr>
          <w:rFonts w:ascii="Times New Roman" w:hAnsi="Times New Roman"/>
          <w:sz w:val="24"/>
          <w:szCs w:val="24"/>
          <w:highlight w:val="yellow"/>
        </w:rPr>
        <w:t>To examine the confounding influence of head motion on</w:t>
      </w:r>
      <w:r w:rsidRPr="001815B8">
        <w:rPr>
          <w:highlight w:val="yellow"/>
        </w:rPr>
        <w:t xml:space="preserve"> </w:t>
      </w:r>
      <w:r w:rsidRPr="001815B8">
        <w:rPr>
          <w:rFonts w:ascii="Times New Roman" w:hAnsi="Times New Roman"/>
          <w:sz w:val="24"/>
          <w:szCs w:val="24"/>
          <w:highlight w:val="yellow"/>
        </w:rPr>
        <w:t xml:space="preserve">Autonomy index (AI) and </w:t>
      </w:r>
      <w:proofErr w:type="spellStart"/>
      <w:r w:rsidRPr="001815B8">
        <w:rPr>
          <w:rFonts w:ascii="Times New Roman" w:hAnsi="Times New Roman"/>
          <w:sz w:val="24"/>
          <w:szCs w:val="24"/>
          <w:highlight w:val="yellow"/>
        </w:rPr>
        <w:t>CFH</w:t>
      </w:r>
      <w:proofErr w:type="spellEnd"/>
      <w:r w:rsidRPr="001815B8">
        <w:rPr>
          <w:rFonts w:ascii="Times New Roman" w:hAnsi="Times New Roman"/>
          <w:sz w:val="24"/>
          <w:szCs w:val="24"/>
          <w:highlight w:val="yellow"/>
        </w:rPr>
        <w:t xml:space="preserve">. We recalculated the results with excluding the subjects whose head motion </w:t>
      </w:r>
      <w:r w:rsidR="001815B8" w:rsidRPr="001815B8">
        <w:rPr>
          <w:rFonts w:ascii="Times New Roman" w:hAnsi="Times New Roman"/>
          <w:sz w:val="24"/>
          <w:szCs w:val="24"/>
          <w:highlight w:val="yellow"/>
        </w:rPr>
        <w:t>was less than</w:t>
      </w:r>
      <w:r w:rsidRPr="001815B8">
        <w:rPr>
          <w:rFonts w:ascii="Times New Roman" w:hAnsi="Times New Roman"/>
          <w:sz w:val="24"/>
          <w:szCs w:val="24"/>
          <w:highlight w:val="yellow"/>
        </w:rPr>
        <w:t xml:space="preserve"> 2.5 mm of translation or 2.5 degrees of rotation and added the mean frame displacement (FD) as a covariate. The results were similar to the </w:t>
      </w:r>
      <w:bookmarkStart w:id="2" w:name="_Hlk71988519"/>
      <w:r w:rsidR="006038DA">
        <w:rPr>
          <w:rFonts w:ascii="Times New Roman" w:hAnsi="Times New Roman" w:hint="eastAsia"/>
          <w:sz w:val="24"/>
          <w:szCs w:val="24"/>
          <w:highlight w:val="yellow"/>
        </w:rPr>
        <w:t>main</w:t>
      </w:r>
      <w:r w:rsidR="006038DA">
        <w:rPr>
          <w:rFonts w:ascii="Times New Roman" w:hAnsi="Times New Roman"/>
          <w:sz w:val="24"/>
          <w:szCs w:val="24"/>
          <w:highlight w:val="yellow"/>
        </w:rPr>
        <w:t xml:space="preserve"> text</w:t>
      </w:r>
      <w:bookmarkEnd w:id="2"/>
      <w:r w:rsidRPr="001815B8">
        <w:rPr>
          <w:rFonts w:ascii="Times New Roman" w:hAnsi="Times New Roman"/>
          <w:sz w:val="24"/>
          <w:szCs w:val="24"/>
          <w:highlight w:val="yellow"/>
        </w:rPr>
        <w:t>.</w:t>
      </w:r>
      <w:r w:rsidR="00FE3DCC" w:rsidRPr="001815B8">
        <w:rPr>
          <w:rFonts w:ascii="Times New Roman" w:hAnsi="Times New Roman"/>
          <w:sz w:val="24"/>
          <w:szCs w:val="24"/>
          <w:highlight w:val="yellow"/>
        </w:rPr>
        <w:t xml:space="preserve">  </w:t>
      </w:r>
    </w:p>
    <w:p w14:paraId="1C0B3630" w14:textId="52094655" w:rsidR="00FE3DCC" w:rsidRPr="001815B8" w:rsidRDefault="006038DA" w:rsidP="00B560E2">
      <w:pPr>
        <w:spacing w:after="0" w:line="360" w:lineRule="auto"/>
        <w:rPr>
          <w:rFonts w:ascii="Times New Roman" w:hAnsi="Times New Roman"/>
          <w:sz w:val="24"/>
          <w:szCs w:val="24"/>
          <w:highlight w:val="yellow"/>
        </w:rPr>
      </w:pPr>
      <w:bookmarkStart w:id="3" w:name="_Hlk71475144"/>
      <w:bookmarkStart w:id="4" w:name="_Hlk71474962"/>
      <w:r>
        <w:rPr>
          <w:rFonts w:ascii="Times New Roman" w:hAnsi="Times New Roman"/>
          <w:sz w:val="24"/>
          <w:szCs w:val="24"/>
          <w:highlight w:val="yellow"/>
        </w:rPr>
        <w:t xml:space="preserve">Specifically, </w:t>
      </w:r>
      <w:r w:rsidR="00FE3DCC" w:rsidRPr="001815B8">
        <w:rPr>
          <w:rFonts w:ascii="Times New Roman" w:hAnsi="Times New Roman"/>
          <w:sz w:val="24"/>
          <w:szCs w:val="24"/>
          <w:highlight w:val="yellow"/>
        </w:rPr>
        <w:t xml:space="preserve">AI maps revealed similar patterns in patients and HCs (Figure </w:t>
      </w:r>
      <w:proofErr w:type="spellStart"/>
      <w:r w:rsidR="00FE3DCC" w:rsidRPr="001815B8">
        <w:rPr>
          <w:rFonts w:ascii="Times New Roman" w:hAnsi="Times New Roman"/>
          <w:sz w:val="24"/>
          <w:szCs w:val="24"/>
          <w:highlight w:val="yellow"/>
        </w:rPr>
        <w:t>S1A</w:t>
      </w:r>
      <w:proofErr w:type="spellEnd"/>
      <w:r w:rsidR="00FE3DCC" w:rsidRPr="001815B8">
        <w:rPr>
          <w:rFonts w:ascii="Times New Roman" w:hAnsi="Times New Roman"/>
          <w:sz w:val="24"/>
          <w:szCs w:val="24"/>
          <w:highlight w:val="yellow"/>
        </w:rPr>
        <w:t xml:space="preserve"> and B) and </w:t>
      </w:r>
      <w:r w:rsidR="006C5FD7" w:rsidRPr="001815B8">
        <w:rPr>
          <w:rFonts w:ascii="Times New Roman" w:hAnsi="Times New Roman"/>
          <w:sz w:val="24"/>
          <w:szCs w:val="24"/>
          <w:highlight w:val="yellow"/>
        </w:rPr>
        <w:t xml:space="preserve">PD patients showed a statistically stronger AI in the left angular gyrus (AG) than HCs (Figure </w:t>
      </w:r>
      <w:proofErr w:type="spellStart"/>
      <w:r w:rsidR="00FE3DCC" w:rsidRPr="001815B8">
        <w:rPr>
          <w:rFonts w:ascii="Times New Roman" w:hAnsi="Times New Roman"/>
          <w:sz w:val="24"/>
          <w:szCs w:val="24"/>
          <w:highlight w:val="yellow"/>
        </w:rPr>
        <w:t>S</w:t>
      </w:r>
      <w:r w:rsidR="006C5FD7" w:rsidRPr="001815B8">
        <w:rPr>
          <w:rFonts w:ascii="Times New Roman" w:hAnsi="Times New Roman"/>
          <w:sz w:val="24"/>
          <w:szCs w:val="24"/>
          <w:highlight w:val="yellow"/>
        </w:rPr>
        <w:t>1</w:t>
      </w:r>
      <w:r w:rsidR="00FE3DCC" w:rsidRPr="001815B8">
        <w:rPr>
          <w:rFonts w:ascii="Times New Roman" w:hAnsi="Times New Roman"/>
          <w:sz w:val="24"/>
          <w:szCs w:val="24"/>
          <w:highlight w:val="yellow"/>
        </w:rPr>
        <w:t>C</w:t>
      </w:r>
      <w:proofErr w:type="spellEnd"/>
      <w:r w:rsidR="006C5FD7" w:rsidRPr="001815B8">
        <w:rPr>
          <w:rFonts w:ascii="Times New Roman" w:hAnsi="Times New Roman"/>
          <w:sz w:val="24"/>
          <w:szCs w:val="24"/>
          <w:highlight w:val="yellow"/>
        </w:rPr>
        <w:t>, peak t-value = 5.4</w:t>
      </w:r>
      <w:r w:rsidR="00CD062C" w:rsidRPr="001815B8">
        <w:rPr>
          <w:rFonts w:ascii="Times New Roman" w:hAnsi="Times New Roman"/>
          <w:sz w:val="24"/>
          <w:szCs w:val="24"/>
          <w:highlight w:val="yellow"/>
        </w:rPr>
        <w:t>3</w:t>
      </w:r>
      <w:r w:rsidR="006C5FD7" w:rsidRPr="001815B8">
        <w:rPr>
          <w:rFonts w:ascii="Times New Roman" w:hAnsi="Times New Roman"/>
          <w:sz w:val="24"/>
          <w:szCs w:val="24"/>
          <w:highlight w:val="yellow"/>
        </w:rPr>
        <w:t xml:space="preserve">, </w:t>
      </w:r>
      <w:proofErr w:type="spellStart"/>
      <w:r w:rsidR="006C5FD7" w:rsidRPr="001815B8">
        <w:rPr>
          <w:rFonts w:ascii="Times New Roman" w:hAnsi="Times New Roman"/>
          <w:sz w:val="24"/>
          <w:szCs w:val="24"/>
          <w:highlight w:val="yellow"/>
        </w:rPr>
        <w:t>MNI</w:t>
      </w:r>
      <w:proofErr w:type="spellEnd"/>
      <w:r w:rsidR="006C5FD7" w:rsidRPr="001815B8">
        <w:rPr>
          <w:rFonts w:ascii="Times New Roman" w:hAnsi="Times New Roman"/>
          <w:sz w:val="24"/>
          <w:szCs w:val="24"/>
          <w:highlight w:val="yellow"/>
        </w:rPr>
        <w:t xml:space="preserve"> coordinates = </w:t>
      </w:r>
      <w:r>
        <w:rPr>
          <w:rFonts w:ascii="Times New Roman" w:hAnsi="Times New Roman"/>
          <w:sz w:val="24"/>
          <w:szCs w:val="24"/>
          <w:highlight w:val="yellow"/>
        </w:rPr>
        <w:t>[</w:t>
      </w:r>
      <w:r w:rsidR="006C5FD7" w:rsidRPr="001815B8">
        <w:rPr>
          <w:rFonts w:ascii="Times New Roman" w:hAnsi="Times New Roman"/>
          <w:sz w:val="24"/>
          <w:szCs w:val="24"/>
          <w:highlight w:val="yellow"/>
        </w:rPr>
        <w:t>-51, -63, 18</w:t>
      </w:r>
      <w:r>
        <w:rPr>
          <w:rFonts w:ascii="Times New Roman" w:hAnsi="Times New Roman"/>
          <w:sz w:val="24"/>
          <w:szCs w:val="24"/>
          <w:highlight w:val="yellow"/>
        </w:rPr>
        <w:t>]</w:t>
      </w:r>
      <w:r w:rsidR="006C5FD7" w:rsidRPr="001815B8">
        <w:rPr>
          <w:rFonts w:ascii="Times New Roman" w:hAnsi="Times New Roman"/>
          <w:sz w:val="24"/>
          <w:szCs w:val="24"/>
          <w:highlight w:val="yellow"/>
        </w:rPr>
        <w:t xml:space="preserve">, cluster size = </w:t>
      </w:r>
      <w:r w:rsidR="00F747AE" w:rsidRPr="001815B8">
        <w:rPr>
          <w:rFonts w:ascii="Times New Roman" w:hAnsi="Times New Roman"/>
          <w:sz w:val="24"/>
          <w:szCs w:val="24"/>
          <w:highlight w:val="yellow"/>
        </w:rPr>
        <w:t>95</w:t>
      </w:r>
      <w:r w:rsidR="006C5FD7" w:rsidRPr="001815B8">
        <w:rPr>
          <w:rFonts w:ascii="Times New Roman" w:hAnsi="Times New Roman"/>
          <w:sz w:val="24"/>
          <w:szCs w:val="24"/>
          <w:highlight w:val="yellow"/>
        </w:rPr>
        <w:t xml:space="preserve"> voxels).</w:t>
      </w:r>
      <w:r w:rsidR="00FE3DCC" w:rsidRPr="001815B8">
        <w:rPr>
          <w:rFonts w:ascii="Times New Roman" w:hAnsi="Times New Roman"/>
          <w:sz w:val="24"/>
          <w:szCs w:val="24"/>
          <w:highlight w:val="yellow"/>
        </w:rPr>
        <w:t xml:space="preserve"> </w:t>
      </w:r>
    </w:p>
    <w:p w14:paraId="316E7273" w14:textId="3A3DE912" w:rsidR="00FE3DCC" w:rsidRPr="001815B8" w:rsidRDefault="00FE3DCC" w:rsidP="00B560E2">
      <w:pPr>
        <w:spacing w:line="36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</w:pPr>
      <w:proofErr w:type="spellStart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CFH</w:t>
      </w:r>
      <w:proofErr w:type="spellEnd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maps showed a similar spatial distribution in the two groups (Figure </w:t>
      </w:r>
      <w:proofErr w:type="spellStart"/>
      <w:r w:rsidR="002A2715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S2</w:t>
      </w:r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A</w:t>
      </w:r>
      <w:proofErr w:type="spellEnd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and B). As compared to HCs, the PD group showed decreased </w:t>
      </w:r>
      <w:proofErr w:type="spellStart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CFH</w:t>
      </w:r>
      <w:proofErr w:type="spellEnd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in the right sensorimotor region (Figure </w:t>
      </w:r>
      <w:proofErr w:type="spellStart"/>
      <w:r w:rsidR="002A2715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S2</w:t>
      </w:r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C</w:t>
      </w:r>
      <w:proofErr w:type="spellEnd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, peak </w:t>
      </w:r>
      <w:r w:rsidRPr="001815B8">
        <w:rPr>
          <w:rFonts w:ascii="Times New Roman" w:hAnsi="Times New Roman" w:cs="Times New Roman"/>
          <w:i/>
          <w:color w:val="000000" w:themeColor="text1"/>
          <w:sz w:val="24"/>
          <w:szCs w:val="24"/>
          <w:highlight w:val="yellow"/>
        </w:rPr>
        <w:t>t-</w:t>
      </w:r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value = 4.</w:t>
      </w:r>
      <w:r w:rsidR="00296DA9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85</w:t>
      </w:r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, </w:t>
      </w:r>
      <w:proofErr w:type="spellStart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MNI</w:t>
      </w:r>
      <w:proofErr w:type="spellEnd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coordinates = </w:t>
      </w:r>
      <w:r w:rsidR="006038DA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[</w:t>
      </w:r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42, -21, 51</w:t>
      </w:r>
      <w:r w:rsidR="006038DA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]</w:t>
      </w:r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, cluster size = </w:t>
      </w:r>
      <w:r w:rsidR="00296DA9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19 </w:t>
      </w:r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voxels).</w:t>
      </w:r>
    </w:p>
    <w:bookmarkEnd w:id="3"/>
    <w:p w14:paraId="44B4B1D9" w14:textId="0CCA523E" w:rsidR="009463F2" w:rsidRPr="001815B8" w:rsidRDefault="009463F2" w:rsidP="00FE3DCC">
      <w:pPr>
        <w:ind w:firstLineChars="100" w:firstLine="210"/>
        <w:rPr>
          <w:rFonts w:ascii="Times New Roman" w:hAnsi="Times New Roman"/>
          <w:sz w:val="24"/>
          <w:szCs w:val="24"/>
          <w:highlight w:val="yellow"/>
        </w:rPr>
      </w:pPr>
      <w:r w:rsidRPr="001815B8">
        <w:rPr>
          <w:noProof/>
          <w:highlight w:val="yellow"/>
        </w:rPr>
        <w:drawing>
          <wp:anchor distT="0" distB="0" distL="114300" distR="114300" simplePos="0" relativeHeight="251658240" behindDoc="0" locked="0" layoutInCell="1" allowOverlap="1" wp14:anchorId="1AE9A1C2" wp14:editId="496CE7B2">
            <wp:simplePos x="0" y="0"/>
            <wp:positionH relativeFrom="margin">
              <wp:align>center</wp:align>
            </wp:positionH>
            <wp:positionV relativeFrom="paragraph">
              <wp:posOffset>227965</wp:posOffset>
            </wp:positionV>
            <wp:extent cx="5960745" cy="1504315"/>
            <wp:effectExtent l="0" t="0" r="1905" b="63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745" cy="150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B88290" w14:textId="77777777" w:rsidR="00FE3DCC" w:rsidRPr="001815B8" w:rsidRDefault="00FE3DCC" w:rsidP="00FE3DCC">
      <w:pPr>
        <w:rPr>
          <w:rFonts w:ascii="Times New Roman" w:hAnsi="Times New Roman"/>
          <w:sz w:val="24"/>
          <w:szCs w:val="24"/>
          <w:highlight w:val="yellow"/>
        </w:rPr>
      </w:pPr>
    </w:p>
    <w:p w14:paraId="08E95EA7" w14:textId="285D488D" w:rsidR="000E295B" w:rsidRPr="001815B8" w:rsidRDefault="009463F2" w:rsidP="006C5FD7">
      <w:pPr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</w:pPr>
      <w:bookmarkStart w:id="5" w:name="_Hlk71475174"/>
      <w:r w:rsidRPr="001815B8">
        <w:rPr>
          <w:rFonts w:ascii="Times New Roman" w:hAnsi="Times New Roman" w:cs="Times New Roman"/>
          <w:b/>
          <w:color w:val="000000" w:themeColor="text1"/>
          <w:sz w:val="24"/>
          <w:szCs w:val="24"/>
          <w:highlight w:val="yellow"/>
        </w:rPr>
        <w:t xml:space="preserve">Figure </w:t>
      </w:r>
      <w:proofErr w:type="spellStart"/>
      <w:r w:rsidRPr="001815B8">
        <w:rPr>
          <w:rFonts w:ascii="Times New Roman" w:hAnsi="Times New Roman" w:cs="Times New Roman"/>
          <w:b/>
          <w:color w:val="000000" w:themeColor="text1"/>
          <w:sz w:val="24"/>
          <w:szCs w:val="24"/>
          <w:highlight w:val="yellow"/>
        </w:rPr>
        <w:t>S1</w:t>
      </w:r>
      <w:proofErr w:type="spellEnd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. Cerebral specialization patterns in the Parkinson’s disease (PD) (A) and healthy control groups (B). Increased autonomy index values in patients with PD were detected in the left angular gyrus (C).</w:t>
      </w:r>
    </w:p>
    <w:bookmarkEnd w:id="5"/>
    <w:p w14:paraId="1DB5070A" w14:textId="79FAC56A" w:rsidR="009463F2" w:rsidRDefault="009463F2" w:rsidP="006C5FD7">
      <w:pPr>
        <w:rPr>
          <w:highlight w:val="yellow"/>
        </w:rPr>
      </w:pPr>
    </w:p>
    <w:p w14:paraId="24747D87" w14:textId="77777777" w:rsidR="003B6CB7" w:rsidRPr="001815B8" w:rsidRDefault="003B6CB7" w:rsidP="006C5FD7">
      <w:pPr>
        <w:rPr>
          <w:highlight w:val="yellow"/>
        </w:rPr>
      </w:pPr>
    </w:p>
    <w:p w14:paraId="5A704C30" w14:textId="4DCE2CBB" w:rsidR="008932D2" w:rsidRPr="001815B8" w:rsidRDefault="00E443D3" w:rsidP="006C5FD7">
      <w:pPr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</w:pPr>
      <w:bookmarkStart w:id="6" w:name="_Hlk71278855"/>
      <w:bookmarkStart w:id="7" w:name="_Hlk71475219"/>
      <w:bookmarkEnd w:id="4"/>
      <w:r w:rsidRPr="001815B8">
        <w:rPr>
          <w:rFonts w:ascii="Times New Roman" w:hAnsi="Times New Roman" w:cs="Times New Roman"/>
          <w:b/>
          <w:color w:val="000000" w:themeColor="text1"/>
          <w:sz w:val="24"/>
          <w:szCs w:val="24"/>
          <w:highlight w:val="yellow"/>
        </w:rPr>
        <w:lastRenderedPageBreak/>
        <w:t xml:space="preserve">Figure </w:t>
      </w:r>
      <w:proofErr w:type="spellStart"/>
      <w:r w:rsidRPr="001815B8">
        <w:rPr>
          <w:rFonts w:ascii="Times New Roman" w:hAnsi="Times New Roman" w:cs="Times New Roman"/>
          <w:b/>
          <w:color w:val="000000" w:themeColor="text1"/>
          <w:sz w:val="24"/>
          <w:szCs w:val="24"/>
          <w:highlight w:val="yellow"/>
        </w:rPr>
        <w:t>S2</w:t>
      </w:r>
      <w:proofErr w:type="spellEnd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.</w:t>
      </w:r>
      <w:bookmarkEnd w:id="6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Inter-hemispheric cooperation patterns in Parkinson’s disease (PD) patients (A) and </w:t>
      </w:r>
      <w:r w:rsidR="003B6CB7" w:rsidRPr="001815B8">
        <w:rPr>
          <w:noProof/>
          <w:highlight w:val="yellow"/>
        </w:rPr>
        <w:drawing>
          <wp:anchor distT="0" distB="0" distL="114300" distR="114300" simplePos="0" relativeHeight="251659264" behindDoc="0" locked="0" layoutInCell="1" allowOverlap="1" wp14:anchorId="52D0F192" wp14:editId="3E7718AF">
            <wp:simplePos x="0" y="0"/>
            <wp:positionH relativeFrom="margin">
              <wp:posOffset>-158750</wp:posOffset>
            </wp:positionH>
            <wp:positionV relativeFrom="paragraph">
              <wp:posOffset>0</wp:posOffset>
            </wp:positionV>
            <wp:extent cx="6186170" cy="1468120"/>
            <wp:effectExtent l="0" t="0" r="508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6170" cy="146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healthy control (HC) groups (B). The f</w:t>
      </w:r>
      <w:r w:rsidRPr="001815B8">
        <w:rPr>
          <w:rFonts w:ascii="Times New Roman" w:hAnsi="Times New Roman"/>
          <w:sz w:val="24"/>
          <w:szCs w:val="24"/>
          <w:highlight w:val="yellow"/>
        </w:rPr>
        <w:t>unctionally homotopic voxel</w:t>
      </w:r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values were significantly decreased in the right</w:t>
      </w:r>
      <w:r w:rsidRPr="001815B8">
        <w:rPr>
          <w:rFonts w:ascii="Times New Roman" w:hAnsi="Times New Roman" w:cs="Times New Roman"/>
          <w:color w:val="000000" w:themeColor="text1"/>
          <w:highlight w:val="yellow"/>
        </w:rPr>
        <w:t xml:space="preserve"> </w:t>
      </w:r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sensorimotor region in PD patients compared with HCs (C).</w:t>
      </w:r>
      <w:bookmarkEnd w:id="7"/>
      <w:r w:rsidR="007F340D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                      </w:t>
      </w:r>
    </w:p>
    <w:p w14:paraId="7C9C2B75" w14:textId="0E3C2C94" w:rsidR="007F340D" w:rsidRPr="001815B8" w:rsidRDefault="007F340D" w:rsidP="006C5FD7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</w:pPr>
    </w:p>
    <w:p w14:paraId="3586F405" w14:textId="09A2518D" w:rsidR="007F340D" w:rsidRPr="001815B8" w:rsidRDefault="007F340D" w:rsidP="006C5FD7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</w:pPr>
      <w:r w:rsidRPr="001815B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  <w:t>4. The calculation of intra-class correlation</w:t>
      </w:r>
    </w:p>
    <w:p w14:paraId="38F616D5" w14:textId="77777777" w:rsidR="0093022C" w:rsidRPr="001815B8" w:rsidRDefault="007F340D" w:rsidP="00D058B7">
      <w:pPr>
        <w:spacing w:after="0" w:line="36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</w:pPr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To assess the robustness of the new index </w:t>
      </w:r>
      <w:proofErr w:type="spellStart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CFH</w:t>
      </w:r>
      <w:proofErr w:type="spellEnd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, we evaluated the test-retest reliability through calculating the intra-class correlation (ICC). Thirty healthy participants aged 20 to 30 years old (15 females, mean age = 24, SD = 2.41) were included and scanned 2 times within 3 days. </w:t>
      </w:r>
    </w:p>
    <w:p w14:paraId="04C0403B" w14:textId="5C11223B" w:rsidR="00D058B7" w:rsidRPr="001815B8" w:rsidRDefault="007F340D" w:rsidP="00D058B7">
      <w:pPr>
        <w:spacing w:after="0" w:line="36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</w:pPr>
      <w:bookmarkStart w:id="8" w:name="_Hlk71475429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Two imaging sequences were completed to measure individual brain structure and function each time. Specifically, a</w:t>
      </w:r>
      <w:r w:rsidR="00A76010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</w:t>
      </w:r>
      <w:proofErr w:type="spellStart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T2</w:t>
      </w:r>
      <w:proofErr w:type="spellEnd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-weighted echo-planar imaging (EPI: TR = 2000 </w:t>
      </w:r>
      <w:proofErr w:type="spellStart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ms</w:t>
      </w:r>
      <w:proofErr w:type="spellEnd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, </w:t>
      </w:r>
      <w:proofErr w:type="spellStart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TE</w:t>
      </w:r>
      <w:proofErr w:type="spellEnd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= 30 </w:t>
      </w:r>
      <w:proofErr w:type="spellStart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ms</w:t>
      </w:r>
      <w:proofErr w:type="spellEnd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, flip angle = 90°, field of</w:t>
      </w:r>
      <w:r w:rsidR="00A76010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</w:t>
      </w:r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view = 220 × 220 mm, matrix = 64 × 64, voxel size = 3.4 × 3.4 × 3.4 mm, 43 slices) sequence</w:t>
      </w:r>
      <w:r w:rsidR="00A76010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</w:t>
      </w:r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was performed to obtain resting state fMRI images for 10 minutes. A </w:t>
      </w:r>
      <w:proofErr w:type="spellStart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T1</w:t>
      </w:r>
      <w:proofErr w:type="spellEnd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-weighted Fast Spoiled</w:t>
      </w:r>
      <w:r w:rsidR="00A76010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</w:t>
      </w:r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Gradient echo (</w:t>
      </w:r>
      <w:proofErr w:type="spellStart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FSPGR</w:t>
      </w:r>
      <w:proofErr w:type="spellEnd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: TR = 8.1 </w:t>
      </w:r>
      <w:proofErr w:type="spellStart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ms</w:t>
      </w:r>
      <w:proofErr w:type="spellEnd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, </w:t>
      </w:r>
      <w:proofErr w:type="spellStart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TE</w:t>
      </w:r>
      <w:proofErr w:type="spellEnd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= 3.1 </w:t>
      </w:r>
      <w:proofErr w:type="spellStart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ms</w:t>
      </w:r>
      <w:proofErr w:type="spellEnd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, TI = 450 </w:t>
      </w:r>
      <w:proofErr w:type="spellStart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ms</w:t>
      </w:r>
      <w:proofErr w:type="spellEnd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, flip angle = 8°, field of</w:t>
      </w:r>
      <w:r w:rsidR="00A76010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</w:t>
      </w:r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view = 256 × 256 mm, matrix = 256 × 256, voxel size = 1.0 × 1.0 × 1.0 mm, 176 sagittal slices)</w:t>
      </w:r>
      <w:r w:rsidR="00A76010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</w:t>
      </w:r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was carried out to acquire a high-resolution anatomical image of the brain structure.</w:t>
      </w:r>
      <w:r w:rsidR="003819CF" w:rsidRPr="001815B8">
        <w:rPr>
          <w:highlight w:val="yellow"/>
        </w:rPr>
        <w:t xml:space="preserve"> </w:t>
      </w:r>
      <w:r w:rsidR="003819CF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The participants were instructed to relax and remain still with their eyes open, not to fall asleep, and not to think about anything. The screen presented a black fixation point ‘+’ in the center of the gray background.</w:t>
      </w:r>
      <w:r w:rsidR="00807374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The preprocessing and </w:t>
      </w:r>
      <w:proofErr w:type="spellStart"/>
      <w:r w:rsidR="00807374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CFH</w:t>
      </w:r>
      <w:proofErr w:type="spellEnd"/>
      <w:r w:rsidR="00807374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calculation were same as </w:t>
      </w:r>
      <w:r w:rsidR="00851412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the main text</w:t>
      </w:r>
      <w:r w:rsidR="00807374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.</w:t>
      </w:r>
    </w:p>
    <w:p w14:paraId="2EC2673C" w14:textId="49608315" w:rsidR="009D302C" w:rsidRPr="001815B8" w:rsidRDefault="009D302C" w:rsidP="00D058B7">
      <w:pPr>
        <w:spacing w:line="36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</w:pPr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In order to evaluate the test-retest reliability of the </w:t>
      </w:r>
      <w:proofErr w:type="spellStart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CFH</w:t>
      </w:r>
      <w:proofErr w:type="spellEnd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, the intra-class correlation (ICC) was calculated by </w:t>
      </w:r>
      <w:proofErr w:type="spellStart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DPABI</w:t>
      </w:r>
      <w:proofErr w:type="spellEnd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with ANOVA model</w:t>
      </w:r>
      <w:bookmarkEnd w:id="8"/>
      <w:r w:rsidR="00F01967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</w:t>
      </w:r>
      <w:r w:rsidR="004004D9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fldChar w:fldCharType="begin">
          <w:fldData xml:space="preserve">PEVuZE5vdGU+PENpdGU+PEF1dGhvcj5ZYW48L0F1dGhvcj48WWVhcj4yMDE2PC9ZZWFyPjxSZWNO
dW0+MzIwPC9SZWNOdW0+PERpc3BsYXlUZXh0PihZYW4gZXQgYWwuLCAyMDE2KTwvRGlzcGxheVRl
eHQ+PHJlY29yZD48cmVjLW51bWJlcj4zMjA8L3JlYy1udW1iZXI+PGZvcmVpZ24ta2V5cz48a2V5
IGFwcD0iRU4iIGRiLWlkPSIwejUwNXJyZHNmenB3YWVkZmRueHBwNWoyOXhzMDVwdnZ4ZDUiIHRp
bWVzdGFtcD0iMTYyMDM1NDQ0OCI+MzIwPC9rZXk+PC9mb3JlaWduLWtleXM+PHJlZi10eXBlIG5h
bWU9IkpvdXJuYWwgQXJ0aWNsZSI+MTc8L3JlZi10eXBlPjxjb250cmlidXRvcnM+PGF1dGhvcnM+
PGF1dGhvcj5ZYW4sIEMuIEcuPC9hdXRob3I+PGF1dGhvcj5XYW5nLCBYLiBELjwvYXV0aG9yPjxh
dXRob3I+WnVvLCBYLiBOLjwvYXV0aG9yPjxhdXRob3I+WmFuZywgWS4gRi48L2F1dGhvcj48L2F1
dGhvcnM+PC9jb250cmlidXRvcnM+PGF1dGgtYWRkcmVzcz5LZXkgTGFib3JhdG9yeSBvZiBCZWhh
dmlvcmFsIFNjaWVuY2UgYW5kIE1hZ25ldGljIFJlc29uYW5jZSBJbWFnaW5nIFJlc2VhcmNoIENl
bnRlciwgSW5zdGl0dXRlIG9mIFBzeWNob2xvZ3ksIENoaW5lc2UgQWNhZGVteSBvZiBTY2llbmNl
cywgMTYgTGluY3VpIFJvYWQsIENoYW95YW5nIERpc3RyaWN0LCBCZWlqaW5nLCAxMDAxMDEsIENo
aW5hLiB5Y2cueWFuQGdtYWlsLmNvbS4mI3hEO0RlcGFydG1lbnQgb2YgQ2hpbGQgYW5kIEFkb2xl
c2NlbnQgUHN5Y2hpYXRyeSwgTllVIExhbmdvbmUgTWVkaWNhbCBDZW50ZXIgU2Nob29sIG9mIE1l
ZGljaW5lLCBOZXcgWW9yaywgTlksIFVTQS4geWNnLnlhbkBnbWFpbC5jb20uJiN4RDtTdGF0ZSBL
ZXkgTGFib3JhdG9yeSBvZiBDb2duaXRpdmUgTmV1cm9zY2llbmNlIGFuZCBMZWFybmluZyAmYW1w
OyBJREcvTWNHb3Zlcm4gSW5zdGl0dXRlIGZvciBCcmFpbiBSZXNlYXJjaCwgQmVpamluZyBOb3Jt
YWwgVW5pdmVyc2l0eSwgQmVpamluZywgQ2hpbmEuJiN4RDtLZXkgTGFib3JhdG9yeSBvZiBCZWhh
dmlvcmFsIFNjaWVuY2UgYW5kIE1hZ25ldGljIFJlc29uYW5jZSBJbWFnaW5nIFJlc2VhcmNoIENl
bnRlciwgSW5zdGl0dXRlIG9mIFBzeWNob2xvZ3ksIENoaW5lc2UgQWNhZGVteSBvZiBTY2llbmNl
cywgMTYgTGluY3VpIFJvYWQsIENoYW95YW5nIERpc3RyaWN0LCBCZWlqaW5nLCAxMDAxMDEsIENo
aW5hLiYjeEQ7Q2VudGVyIGZvciBDb2duaXRpb24gYW5kIEJyYWluIERpc29yZGVycywgSGFuZ3po
b3UgTm9ybWFsIFVuaXZlcnNpdHksIEhhbmd6aG91LCBDaGluYS4mI3hEO1poZWppYW5nIEtleSBM
YWJvcmF0b3J5IGZvciBSZXNlYXJjaCBpbiBBc3Nlc3NtZW50IG9mIENvZ25pdGl2ZSBJbXBhaXJt
ZW50cywgSGFuZ3pob3UsIFpoZWppYW5nLCBDaGluYS4mI3hEO0RlcGFydG1lbnQgb2YgUHN5Y2hv
bG9neSwgQ29sbGVnZSBvZiBFZHVjYXRpb24sIEhhbmd6aG91IE5vcm1hbCBVbml2ZXJzaXR5LCBI
YW5nemhvdSwgQ2hpbmEuPC9hdXRoLWFkZHJlc3M+PHRpdGxlcz48dGl0bGU+RFBBQkk6IERhdGEg
UHJvY2Vzc2luZyAmYW1wOyBBbmFseXNpcyBmb3IgKFJlc3RpbmctU3RhdGUpIEJyYWluIEltYWdp
bmc8L3RpdGxlPjxzZWNvbmRhcnktdGl0bGU+TmV1cm9pbmZvcm1hdGljczwvc2Vjb25kYXJ5LXRp
dGxlPjwvdGl0bGVzPjxwZXJpb2RpY2FsPjxmdWxsLXRpdGxlPk5ldXJvaW5mb3JtYXRpY3M8L2Z1
bGwtdGl0bGU+PC9wZXJpb2RpY2FsPjxwYWdlcz4zMzktNTE8L3BhZ2VzPjx2b2x1bWU+MTQ8L3Zv
bHVtZT48bnVtYmVyPjM8L251bWJlcj48ZWRpdGlvbj4yMDE2LzA0LzE1PC9lZGl0aW9uPjxrZXl3
b3Jkcz48a2V5d29yZD5BbmltYWxzPC9rZXl3b3JkPjxrZXl3b3JkPkJyYWluLypwaHlzaW9sb2d5
PC9rZXl3b3JkPjxrZXl3b3JkPkJyYWluIE1hcHBpbmcvKm1ldGhvZHM8L2tleXdvcmQ+PGtleXdv
cmQ+SHVtYW5zPC9rZXl3b3JkPjxrZXl3b3JkPipJbWFnZSBQcm9jZXNzaW5nLCBDb21wdXRlci1B
c3Npc3RlZDwva2V5d29yZD48a2V5d29yZD4qTWFnbmV0aWMgUmVzb25hbmNlIEltYWdpbmc8L2tl
eXdvcmQ+PGtleXdvcmQ+UmVwcm9kdWNpYmlsaXR5IG9mIFJlc3VsdHM8L2tleXdvcmQ+PGtleXdv
cmQ+KlNpZ25hbCBQcm9jZXNzaW5nLCBDb21wdXRlci1Bc3Npc3RlZDwva2V5d29yZD48a2V5d29y
ZD5Tb2Z0d2FyZTwva2V5d29yZD48a2V5d29yZD4qRGF0YSBwcm9jZXNzaW5nPC9rZXl3b3JkPjxr
ZXl3b3JkPipRdWFsaXR5IGNvbnRyb2w8L2tleXdvcmQ+PGtleXdvcmQ+KlJlc3Rpbmctc3RhdGUg
Zk1SSTwva2V5d29yZD48a2V5d29yZD4qU3RhbmRhcmRpemF0aW9uPC9rZXl3b3JkPjxrZXl3b3Jk
PipTdGF0aXN0aWNhbCBhbmFseXNpczwva2V5d29yZD48L2tleXdvcmRzPjxkYXRlcz48eWVhcj4y
MDE2PC95ZWFyPjxwdWItZGF0ZXM+PGRhdGU+SnVsPC9kYXRlPjwvcHViLWRhdGVzPjwvZGF0ZXM+
PGlzYm4+MTUzOS0yNzkxPC9pc2JuPjxhY2Nlc3Npb24tbnVtPjI3MDc1ODUwPC9hY2Nlc3Npb24t
bnVtPjx1cmxzPjwvdXJscz48ZWxlY3Ryb25pYy1yZXNvdXJjZS1udW0+MTAuMTAwNy9zMTIwMjEt
MDE2LTkyOTktNDwvZWxlY3Ryb25pYy1yZXNvdXJjZS1udW0+PHJlbW90ZS1kYXRhYmFzZS1wcm92
aWRlcj5OTE08L3JlbW90ZS1kYXRhYmFzZS1wcm92aWRlcj48bGFuZ3VhZ2U+ZW5nPC9sYW5ndWFn
ZT48L3JlY29yZD48L0NpdGU+PC9FbmROb3RlPgB=
</w:fldData>
        </w:fldChar>
      </w:r>
      <w:r w:rsidR="004004D9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instrText xml:space="preserve"> ADDIN EN.CITE </w:instrText>
      </w:r>
      <w:r w:rsidR="004004D9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fldChar w:fldCharType="begin">
          <w:fldData xml:space="preserve">PEVuZE5vdGU+PENpdGU+PEF1dGhvcj5ZYW48L0F1dGhvcj48WWVhcj4yMDE2PC9ZZWFyPjxSZWNO
dW0+MzIwPC9SZWNOdW0+PERpc3BsYXlUZXh0PihZYW4gZXQgYWwuLCAyMDE2KTwvRGlzcGxheVRl
eHQ+PHJlY29yZD48cmVjLW51bWJlcj4zMjA8L3JlYy1udW1iZXI+PGZvcmVpZ24ta2V5cz48a2V5
IGFwcD0iRU4iIGRiLWlkPSIwejUwNXJyZHNmenB3YWVkZmRueHBwNWoyOXhzMDVwdnZ4ZDUiIHRp
bWVzdGFtcD0iMTYyMDM1NDQ0OCI+MzIwPC9rZXk+PC9mb3JlaWduLWtleXM+PHJlZi10eXBlIG5h
bWU9IkpvdXJuYWwgQXJ0aWNsZSI+MTc8L3JlZi10eXBlPjxjb250cmlidXRvcnM+PGF1dGhvcnM+
PGF1dGhvcj5ZYW4sIEMuIEcuPC9hdXRob3I+PGF1dGhvcj5XYW5nLCBYLiBELjwvYXV0aG9yPjxh
dXRob3I+WnVvLCBYLiBOLjwvYXV0aG9yPjxhdXRob3I+WmFuZywgWS4gRi48L2F1dGhvcj48L2F1
dGhvcnM+PC9jb250cmlidXRvcnM+PGF1dGgtYWRkcmVzcz5LZXkgTGFib3JhdG9yeSBvZiBCZWhh
dmlvcmFsIFNjaWVuY2UgYW5kIE1hZ25ldGljIFJlc29uYW5jZSBJbWFnaW5nIFJlc2VhcmNoIENl
bnRlciwgSW5zdGl0dXRlIG9mIFBzeWNob2xvZ3ksIENoaW5lc2UgQWNhZGVteSBvZiBTY2llbmNl
cywgMTYgTGluY3VpIFJvYWQsIENoYW95YW5nIERpc3RyaWN0LCBCZWlqaW5nLCAxMDAxMDEsIENo
aW5hLiB5Y2cueWFuQGdtYWlsLmNvbS4mI3hEO0RlcGFydG1lbnQgb2YgQ2hpbGQgYW5kIEFkb2xl
c2NlbnQgUHN5Y2hpYXRyeSwgTllVIExhbmdvbmUgTWVkaWNhbCBDZW50ZXIgU2Nob29sIG9mIE1l
ZGljaW5lLCBOZXcgWW9yaywgTlksIFVTQS4geWNnLnlhbkBnbWFpbC5jb20uJiN4RDtTdGF0ZSBL
ZXkgTGFib3JhdG9yeSBvZiBDb2duaXRpdmUgTmV1cm9zY2llbmNlIGFuZCBMZWFybmluZyAmYW1w
OyBJREcvTWNHb3Zlcm4gSW5zdGl0dXRlIGZvciBCcmFpbiBSZXNlYXJjaCwgQmVpamluZyBOb3Jt
YWwgVW5pdmVyc2l0eSwgQmVpamluZywgQ2hpbmEuJiN4RDtLZXkgTGFib3JhdG9yeSBvZiBCZWhh
dmlvcmFsIFNjaWVuY2UgYW5kIE1hZ25ldGljIFJlc29uYW5jZSBJbWFnaW5nIFJlc2VhcmNoIENl
bnRlciwgSW5zdGl0dXRlIG9mIFBzeWNob2xvZ3ksIENoaW5lc2UgQWNhZGVteSBvZiBTY2llbmNl
cywgMTYgTGluY3VpIFJvYWQsIENoYW95YW5nIERpc3RyaWN0LCBCZWlqaW5nLCAxMDAxMDEsIENo
aW5hLiYjeEQ7Q2VudGVyIGZvciBDb2duaXRpb24gYW5kIEJyYWluIERpc29yZGVycywgSGFuZ3po
b3UgTm9ybWFsIFVuaXZlcnNpdHksIEhhbmd6aG91LCBDaGluYS4mI3hEO1poZWppYW5nIEtleSBM
YWJvcmF0b3J5IGZvciBSZXNlYXJjaCBpbiBBc3Nlc3NtZW50IG9mIENvZ25pdGl2ZSBJbXBhaXJt
ZW50cywgSGFuZ3pob3UsIFpoZWppYW5nLCBDaGluYS4mI3hEO0RlcGFydG1lbnQgb2YgUHN5Y2hv
bG9neSwgQ29sbGVnZSBvZiBFZHVjYXRpb24sIEhhbmd6aG91IE5vcm1hbCBVbml2ZXJzaXR5LCBI
YW5nemhvdSwgQ2hpbmEuPC9hdXRoLWFkZHJlc3M+PHRpdGxlcz48dGl0bGU+RFBBQkk6IERhdGEg
UHJvY2Vzc2luZyAmYW1wOyBBbmFseXNpcyBmb3IgKFJlc3RpbmctU3RhdGUpIEJyYWluIEltYWdp
bmc8L3RpdGxlPjxzZWNvbmRhcnktdGl0bGU+TmV1cm9pbmZvcm1hdGljczwvc2Vjb25kYXJ5LXRp
dGxlPjwvdGl0bGVzPjxwZXJpb2RpY2FsPjxmdWxsLXRpdGxlPk5ldXJvaW5mb3JtYXRpY3M8L2Z1
bGwtdGl0bGU+PC9wZXJpb2RpY2FsPjxwYWdlcz4zMzktNTE8L3BhZ2VzPjx2b2x1bWU+MTQ8L3Zv
bHVtZT48bnVtYmVyPjM8L251bWJlcj48ZWRpdGlvbj4yMDE2LzA0LzE1PC9lZGl0aW9uPjxrZXl3
b3Jkcz48a2V5d29yZD5BbmltYWxzPC9rZXl3b3JkPjxrZXl3b3JkPkJyYWluLypwaHlzaW9sb2d5
PC9rZXl3b3JkPjxrZXl3b3JkPkJyYWluIE1hcHBpbmcvKm1ldGhvZHM8L2tleXdvcmQ+PGtleXdv
cmQ+SHVtYW5zPC9rZXl3b3JkPjxrZXl3b3JkPipJbWFnZSBQcm9jZXNzaW5nLCBDb21wdXRlci1B
c3Npc3RlZDwva2V5d29yZD48a2V5d29yZD4qTWFnbmV0aWMgUmVzb25hbmNlIEltYWdpbmc8L2tl
eXdvcmQ+PGtleXdvcmQ+UmVwcm9kdWNpYmlsaXR5IG9mIFJlc3VsdHM8L2tleXdvcmQ+PGtleXdv
cmQ+KlNpZ25hbCBQcm9jZXNzaW5nLCBDb21wdXRlci1Bc3Npc3RlZDwva2V5d29yZD48a2V5d29y
ZD5Tb2Z0d2FyZTwva2V5d29yZD48a2V5d29yZD4qRGF0YSBwcm9jZXNzaW5nPC9rZXl3b3JkPjxr
ZXl3b3JkPipRdWFsaXR5IGNvbnRyb2w8L2tleXdvcmQ+PGtleXdvcmQ+KlJlc3Rpbmctc3RhdGUg
Zk1SSTwva2V5d29yZD48a2V5d29yZD4qU3RhbmRhcmRpemF0aW9uPC9rZXl3b3JkPjxrZXl3b3Jk
PipTdGF0aXN0aWNhbCBhbmFseXNpczwva2V5d29yZD48L2tleXdvcmRzPjxkYXRlcz48eWVhcj4y
MDE2PC95ZWFyPjxwdWItZGF0ZXM+PGRhdGU+SnVsPC9kYXRlPjwvcHViLWRhdGVzPjwvZGF0ZXM+
PGlzYm4+MTUzOS0yNzkxPC9pc2JuPjxhY2Nlc3Npb24tbnVtPjI3MDc1ODUwPC9hY2Nlc3Npb24t
bnVtPjx1cmxzPjwvdXJscz48ZWxlY3Ryb25pYy1yZXNvdXJjZS1udW0+MTAuMTAwNy9zMTIwMjEt
MDE2LTkyOTktNDwvZWxlY3Ryb25pYy1yZXNvdXJjZS1udW0+PHJlbW90ZS1kYXRhYmFzZS1wcm92
aWRlcj5OTE08L3JlbW90ZS1kYXRhYmFzZS1wcm92aWRlcj48bGFuZ3VhZ2U+ZW5nPC9sYW5ndWFn
ZT48L3JlY29yZD48L0NpdGU+PC9FbmROb3RlPgB=
</w:fldData>
        </w:fldChar>
      </w:r>
      <w:r w:rsidR="004004D9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instrText xml:space="preserve"> ADDIN EN.CITE.DATA </w:instrText>
      </w:r>
      <w:r w:rsidR="004004D9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</w:r>
      <w:r w:rsidR="004004D9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fldChar w:fldCharType="end"/>
      </w:r>
      <w:r w:rsidR="004004D9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</w:r>
      <w:r w:rsidR="004004D9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fldChar w:fldCharType="separate"/>
      </w:r>
      <w:r w:rsidR="004004D9" w:rsidRPr="001815B8">
        <w:rPr>
          <w:rFonts w:ascii="Times New Roman" w:hAnsi="Times New Roman" w:cs="Times New Roman"/>
          <w:noProof/>
          <w:color w:val="000000" w:themeColor="text1"/>
          <w:sz w:val="24"/>
          <w:szCs w:val="24"/>
          <w:highlight w:val="yellow"/>
        </w:rPr>
        <w:t>(Yan et al., 2016)</w:t>
      </w:r>
      <w:r w:rsidR="004004D9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fldChar w:fldCharType="end"/>
      </w:r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. </w:t>
      </w:r>
    </w:p>
    <w:p w14:paraId="0E655DF0" w14:textId="121020B3" w:rsidR="009D302C" w:rsidRPr="001815B8" w:rsidRDefault="009D302C" w:rsidP="009D302C">
      <w:pPr>
        <w:spacing w:line="36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</w:pPr>
      <w:bookmarkStart w:id="9" w:name="_Hlk71475491"/>
      <m:oMathPara>
        <m:oMath>
          <m:r>
            <w:rPr>
              <w:rFonts w:ascii="Cambria Math" w:eastAsia="Cambria Math" w:hAnsi="Cambria Math" w:cs="Cambria Math"/>
              <w:color w:val="000000" w:themeColor="text1"/>
              <w:sz w:val="24"/>
              <w:szCs w:val="24"/>
              <w:highlight w:val="yellow"/>
            </w:rPr>
            <m:t>ICC</m:t>
          </m:r>
          <m:r>
            <m:rPr>
              <m:sty m:val="p"/>
            </m:rPr>
            <w:rPr>
              <w:rFonts w:ascii="Cambria Math" w:eastAsia="Cambria Math" w:hAnsi="Cambria Math" w:cs="Cambria Math"/>
              <w:color w:val="000000" w:themeColor="text1"/>
              <w:sz w:val="24"/>
              <w:szCs w:val="24"/>
              <w:highlight w:val="yellow"/>
            </w:rPr>
            <m:t>=</m:t>
          </m:r>
          <m:f>
            <m:fPr>
              <m:ctrlPr>
                <w:rPr>
                  <w:rFonts w:ascii="Cambria Math" w:eastAsia="Cambria Math" w:hAnsi="Cambria Math" w:cs="Times New Roman"/>
                  <w:color w:val="000000" w:themeColor="text1"/>
                  <w:sz w:val="24"/>
                  <w:szCs w:val="24"/>
                  <w:highlight w:val="yellow"/>
                </w:rPr>
              </m:ctrlPr>
            </m:fPr>
            <m:num>
              <w:bookmarkStart w:id="10" w:name="_Hlk71275315"/>
              <m:sSub>
                <m:sSubPr>
                  <m:ctrlPr>
                    <w:rPr>
                      <w:rFonts w:ascii="Cambria Math" w:eastAsia="Cambria Math" w:hAnsi="Cambria Math" w:cs="Cambria Math"/>
                      <w:color w:val="000000" w:themeColor="text1"/>
                      <w:sz w:val="24"/>
                      <w:szCs w:val="24"/>
                      <w:highlight w:val="yellow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color w:val="000000" w:themeColor="text1"/>
                      <w:sz w:val="24"/>
                      <w:szCs w:val="24"/>
                      <w:highlight w:val="yellow"/>
                    </w:rPr>
                    <m:t>MS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color w:val="000000" w:themeColor="text1"/>
                      <w:sz w:val="24"/>
                      <w:szCs w:val="24"/>
                      <w:highlight w:val="yellow"/>
                    </w:rPr>
                    <m:t>b</m:t>
                  </m:r>
                </m:sub>
              </m:sSub>
              <w:bookmarkEnd w:id="10"/>
              <m:r>
                <m:rPr>
                  <m:sty m:val="p"/>
                </m:rPr>
                <w:rPr>
                  <w:rFonts w:ascii="Cambria Math" w:eastAsia="Cambria Math" w:hAnsi="Cambria Math" w:cs="Cambria Math"/>
                  <w:color w:val="000000" w:themeColor="text1"/>
                  <w:sz w:val="24"/>
                  <w:szCs w:val="24"/>
                  <w:highlight w:val="yellow"/>
                </w:rPr>
                <m:t>-</m:t>
              </m:r>
              <m:sSub>
                <m:sSubPr>
                  <m:ctrlPr>
                    <w:rPr>
                      <w:rFonts w:ascii="Cambria Math" w:eastAsia="Cambria Math" w:hAnsi="Cambria Math" w:cs="Cambria Math"/>
                      <w:color w:val="000000" w:themeColor="text1"/>
                      <w:sz w:val="24"/>
                      <w:szCs w:val="24"/>
                      <w:highlight w:val="yellow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color w:val="000000" w:themeColor="text1"/>
                      <w:sz w:val="24"/>
                      <w:szCs w:val="24"/>
                      <w:highlight w:val="yellow"/>
                    </w:rPr>
                    <m:t>MS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color w:val="000000" w:themeColor="text1"/>
                      <w:sz w:val="24"/>
                      <w:szCs w:val="24"/>
                      <w:highlight w:val="yellow"/>
                    </w:rPr>
                    <m:t>w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Cambria Math" w:hAnsi="Cambria Math" w:cs="Cambria Math"/>
                      <w:color w:val="000000" w:themeColor="text1"/>
                      <w:sz w:val="24"/>
                      <w:szCs w:val="24"/>
                      <w:highlight w:val="yellow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color w:val="000000" w:themeColor="text1"/>
                      <w:sz w:val="24"/>
                      <w:szCs w:val="24"/>
                      <w:highlight w:val="yellow"/>
                    </w:rPr>
                    <m:t>MS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color w:val="000000" w:themeColor="text1"/>
                      <w:sz w:val="24"/>
                      <w:szCs w:val="24"/>
                      <w:highlight w:val="yellow"/>
                    </w:rPr>
                    <m:t>b</m:t>
                  </m:r>
                </m:sub>
              </m:sSub>
              <m:r>
                <m:rPr>
                  <m:sty m:val="p"/>
                </m:rPr>
                <w:rPr>
                  <w:rFonts w:ascii="Cambria Math" w:eastAsia="Cambria Math" w:hAnsi="Cambria Math" w:cs="Cambria Math"/>
                  <w:color w:val="000000" w:themeColor="text1"/>
                  <w:sz w:val="24"/>
                  <w:szCs w:val="24"/>
                  <w:highlight w:val="yellow"/>
                </w:rPr>
                <m:t>+(</m:t>
              </m:r>
              <m:r>
                <w:rPr>
                  <w:rFonts w:ascii="Cambria Math" w:eastAsia="Cambria Math" w:hAnsi="Cambria Math" w:cs="Cambria Math"/>
                  <w:color w:val="000000" w:themeColor="text1"/>
                  <w:sz w:val="24"/>
                  <w:szCs w:val="24"/>
                  <w:highlight w:val="yellow"/>
                </w:rPr>
                <m:t>k-1</m:t>
              </m:r>
              <m:r>
                <m:rPr>
                  <m:sty m:val="p"/>
                </m:rPr>
                <w:rPr>
                  <w:rFonts w:ascii="Cambria Math" w:eastAsia="Cambria Math" w:hAnsi="Cambria Math" w:cs="Cambria Math"/>
                  <w:color w:val="000000" w:themeColor="text1"/>
                  <w:sz w:val="24"/>
                  <w:szCs w:val="24"/>
                  <w:highlight w:val="yellow"/>
                </w:rPr>
                <m:t>)</m:t>
              </m:r>
              <m:sSub>
                <m:sSubPr>
                  <m:ctrlPr>
                    <w:rPr>
                      <w:rFonts w:ascii="Cambria Math" w:eastAsia="Cambria Math" w:hAnsi="Cambria Math" w:cs="Cambria Math"/>
                      <w:i/>
                      <w:iCs/>
                      <w:color w:val="000000" w:themeColor="text1"/>
                      <w:sz w:val="24"/>
                      <w:szCs w:val="24"/>
                      <w:highlight w:val="yellow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color w:val="000000" w:themeColor="text1"/>
                      <w:sz w:val="24"/>
                      <w:szCs w:val="24"/>
                      <w:highlight w:val="yellow"/>
                    </w:rPr>
                    <m:t>MS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color w:val="000000" w:themeColor="text1"/>
                      <w:sz w:val="24"/>
                      <w:szCs w:val="24"/>
                      <w:highlight w:val="yellow"/>
                    </w:rPr>
                    <m:t>w</m:t>
                  </m:r>
                </m:sub>
              </m:sSub>
            </m:den>
          </m:f>
        </m:oMath>
      </m:oMathPara>
    </w:p>
    <w:p w14:paraId="6D5707F5" w14:textId="7FB2541C" w:rsidR="004004D9" w:rsidRPr="001815B8" w:rsidRDefault="00FE4607" w:rsidP="00FE4607">
      <w:pPr>
        <w:spacing w:line="36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</w:pPr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Where </w:t>
      </w:r>
      <w:proofErr w:type="spellStart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MS</w:t>
      </w:r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  <w:vertAlign w:val="subscript"/>
        </w:rPr>
        <w:t>b</w:t>
      </w:r>
      <w:proofErr w:type="spellEnd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is the between-subject mean square and </w:t>
      </w:r>
      <w:proofErr w:type="spellStart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MS</w:t>
      </w:r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  <w:vertAlign w:val="subscript"/>
        </w:rPr>
        <w:t>w</w:t>
      </w:r>
      <w:proofErr w:type="spellEnd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  <w:vertAlign w:val="subscript"/>
        </w:rPr>
        <w:t xml:space="preserve"> </w:t>
      </w:r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is the within-subject mean square for each index, k is the number of scanned times</w:t>
      </w:r>
      <w:bookmarkEnd w:id="9"/>
      <w:r w:rsidR="004004D9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</w:t>
      </w:r>
      <w:r w:rsidR="004004D9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fldChar w:fldCharType="begin"/>
      </w:r>
      <w:r w:rsidR="004004D9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instrText xml:space="preserve"> ADDIN EN.CITE &lt;EndNote&gt;&lt;Cite&gt;&lt;Author&gt;Shrout&lt;/Author&gt;&lt;Year&gt;1979&lt;/Year&gt;&lt;RecNum&gt;321&lt;/RecNum&gt;&lt;DisplayText&gt;(Shrout and Fleiss, 1979)&lt;/DisplayText&gt;&lt;record&gt;&lt;rec-number&gt;321&lt;/rec-number&gt;&lt;foreign-keys&gt;&lt;key app="EN" db-id="0z505rrdsfzpwaedfdnxpp5j29xs05pvvxd5" timestamp="1620354479"&gt;321&lt;/key&gt;&lt;/foreign-keys&gt;&lt;ref-type name="Journal Article"&gt;17&lt;/ref-type&gt;&lt;contributors&gt;&lt;authors&gt;&lt;author&gt;Shrout, P. E.&lt;/author&gt;&lt;author&gt;Fleiss, J. L.&lt;/author&gt;&lt;/authors&gt;&lt;/contributors&gt;&lt;auth-address&gt;Division of Biostatistics Columbia University, School of Public Health, New York, USA.&lt;/auth-address&gt;&lt;titles&gt;&lt;title&gt;Intraclass correlations: uses in assessing rater reliability&lt;/title&gt;&lt;secondary-title&gt;Psychol Bull&lt;/secondary-title&gt;&lt;/titles&gt;&lt;periodical&gt;&lt;full-title&gt;Psychol Bull&lt;/full-title&gt;&lt;/periodical&gt;&lt;pages&gt;420-8&lt;/pages&gt;&lt;volume&gt;86&lt;/volume&gt;&lt;number&gt;2&lt;/number&gt;&lt;edition&gt;1979/03/01&lt;/edition&gt;&lt;keywords&gt;&lt;keyword&gt;Humans&lt;/keyword&gt;&lt;keyword&gt;*Models, Statistical&lt;/keyword&gt;&lt;keyword&gt;*Reproducibility of Results&lt;/keyword&gt;&lt;/keywords&gt;&lt;dates&gt;&lt;year&gt;1979&lt;/year&gt;&lt;pub-dates&gt;&lt;date&gt;Mar&lt;/date&gt;&lt;/pub-dates&gt;&lt;/dates&gt;&lt;isbn&gt;0033-2909 (Print)&amp;#xD;0033-2909&lt;/isbn&gt;&lt;accession-num&gt;18839484&lt;/accession-num&gt;&lt;urls&gt;&lt;/urls&gt;&lt;electronic-resource-num&gt;10.1037//0033-2909.86.2.420&lt;/electronic-resource-num&gt;&lt;remote-database-provider&gt;NLM&lt;/remote-database-provider&gt;&lt;language&gt;eng&lt;/language&gt;&lt;/record&gt;&lt;/Cite&gt;&lt;/EndNote&gt;</w:instrText>
      </w:r>
      <w:r w:rsidR="004004D9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fldChar w:fldCharType="separate"/>
      </w:r>
      <w:r w:rsidR="004004D9" w:rsidRPr="001815B8">
        <w:rPr>
          <w:rFonts w:ascii="Times New Roman" w:hAnsi="Times New Roman" w:cs="Times New Roman"/>
          <w:noProof/>
          <w:color w:val="000000" w:themeColor="text1"/>
          <w:sz w:val="24"/>
          <w:szCs w:val="24"/>
          <w:highlight w:val="yellow"/>
        </w:rPr>
        <w:t>(Shrout and Fleiss, 1979)</w:t>
      </w:r>
      <w:r w:rsidR="004004D9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fldChar w:fldCharType="end"/>
      </w:r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.</w:t>
      </w:r>
    </w:p>
    <w:p w14:paraId="6C126310" w14:textId="5127E272" w:rsidR="00C25FEC" w:rsidRPr="001815B8" w:rsidRDefault="00DC2870" w:rsidP="00DC2870">
      <w:pPr>
        <w:spacing w:after="0" w:line="360" w:lineRule="auto"/>
        <w:ind w:firstLineChars="100" w:firstLine="210"/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</w:pPr>
      <w:r w:rsidRPr="001815B8">
        <w:rPr>
          <w:noProof/>
          <w:highlight w:val="yellow"/>
        </w:rPr>
        <w:lastRenderedPageBreak/>
        <w:drawing>
          <wp:anchor distT="0" distB="0" distL="114300" distR="114300" simplePos="0" relativeHeight="251660288" behindDoc="0" locked="0" layoutInCell="1" allowOverlap="1" wp14:anchorId="0F18F848" wp14:editId="0AA1E6CF">
            <wp:simplePos x="0" y="0"/>
            <wp:positionH relativeFrom="margin">
              <wp:align>center</wp:align>
            </wp:positionH>
            <wp:positionV relativeFrom="paragraph">
              <wp:posOffset>1738630</wp:posOffset>
            </wp:positionV>
            <wp:extent cx="5759450" cy="1856740"/>
            <wp:effectExtent l="0" t="0" r="0" b="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85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11" w:name="_Hlk71815451"/>
      <w:r w:rsidR="00A0352F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An ICC brain map was obtained</w:t>
      </w:r>
      <w:r w:rsidR="00DC7CA1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through the above calculation</w:t>
      </w:r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. It showed high ICC values (&gt; = 0.4) covered more than 52% of whole brain voxels. </w:t>
      </w:r>
      <w:r w:rsidR="003013CD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According to common classification of ICC ,0 &lt; </w:t>
      </w:r>
      <w:r w:rsidR="003013CD" w:rsidRPr="001815B8">
        <w:rPr>
          <w:rFonts w:ascii="Times New Roman" w:hAnsi="Times New Roman" w:cs="Times New Roman" w:hint="eastAsia"/>
          <w:color w:val="000000" w:themeColor="text1"/>
          <w:sz w:val="24"/>
          <w:szCs w:val="24"/>
          <w:highlight w:val="yellow"/>
        </w:rPr>
        <w:t>ICC</w:t>
      </w:r>
      <w:r w:rsidR="003013CD" w:rsidRPr="001815B8">
        <w:rPr>
          <w:rFonts w:ascii="Times New Roman" w:hAnsi="Times New Roman" w:cs="Times New Roman" w:hint="eastAsia"/>
          <w:color w:val="000000" w:themeColor="text1"/>
          <w:sz w:val="24"/>
          <w:szCs w:val="24"/>
          <w:highlight w:val="yellow"/>
        </w:rPr>
        <w:t>≤</w:t>
      </w:r>
      <w:r w:rsidR="003013CD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0.2 (slight); 0.2 &lt;</w:t>
      </w:r>
      <w:r w:rsidR="00733F28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</w:t>
      </w:r>
      <w:r w:rsidR="003013CD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ICC</w:t>
      </w:r>
      <w:r w:rsidR="00733F28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</w:t>
      </w:r>
      <w:r w:rsidR="003013CD" w:rsidRPr="001815B8">
        <w:rPr>
          <w:rFonts w:ascii="Times New Roman" w:hAnsi="Times New Roman" w:cs="Times New Roman" w:hint="eastAsia"/>
          <w:color w:val="000000" w:themeColor="text1"/>
          <w:sz w:val="24"/>
          <w:szCs w:val="24"/>
          <w:highlight w:val="yellow"/>
        </w:rPr>
        <w:t>≤</w:t>
      </w:r>
      <w:r w:rsidR="00733F28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</w:t>
      </w:r>
      <w:r w:rsidR="003013CD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0.4 (fair); 0.4 &lt; ICC</w:t>
      </w:r>
      <w:r w:rsidR="00733F28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</w:t>
      </w:r>
      <w:r w:rsidR="003013CD" w:rsidRPr="001815B8">
        <w:rPr>
          <w:rFonts w:ascii="Times New Roman" w:hAnsi="Times New Roman" w:cs="Times New Roman" w:hint="eastAsia"/>
          <w:color w:val="000000" w:themeColor="text1"/>
          <w:sz w:val="24"/>
          <w:szCs w:val="24"/>
          <w:highlight w:val="yellow"/>
        </w:rPr>
        <w:t>≤</w:t>
      </w:r>
      <w:r w:rsidR="003013CD" w:rsidRPr="001815B8">
        <w:rPr>
          <w:rFonts w:ascii="Times New Roman" w:hAnsi="Times New Roman" w:cs="Times New Roman" w:hint="eastAsia"/>
          <w:color w:val="000000" w:themeColor="text1"/>
          <w:sz w:val="24"/>
          <w:szCs w:val="24"/>
          <w:highlight w:val="yellow"/>
        </w:rPr>
        <w:t>0.6</w:t>
      </w:r>
      <w:r w:rsidR="003013CD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(moderate); 0.6 &lt; ICC</w:t>
      </w:r>
      <w:r w:rsidR="00733F28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</w:t>
      </w:r>
      <w:r w:rsidR="003013CD" w:rsidRPr="001815B8">
        <w:rPr>
          <w:rFonts w:ascii="Times New Roman" w:hAnsi="Times New Roman" w:cs="Times New Roman" w:hint="eastAsia"/>
          <w:color w:val="000000" w:themeColor="text1"/>
          <w:sz w:val="24"/>
          <w:szCs w:val="24"/>
          <w:highlight w:val="yellow"/>
        </w:rPr>
        <w:t>≤</w:t>
      </w:r>
      <w:r w:rsidR="003013CD" w:rsidRPr="001815B8">
        <w:rPr>
          <w:rFonts w:ascii="Times New Roman" w:hAnsi="Times New Roman" w:cs="Times New Roman" w:hint="eastAsia"/>
          <w:color w:val="000000" w:themeColor="text1"/>
          <w:sz w:val="24"/>
          <w:szCs w:val="24"/>
          <w:highlight w:val="yellow"/>
        </w:rPr>
        <w:t>0.8</w:t>
      </w:r>
      <w:r w:rsidR="003013CD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(substantial); and 0.8 &lt;ICC </w:t>
      </w:r>
      <w:r w:rsidR="003013CD" w:rsidRPr="001815B8">
        <w:rPr>
          <w:rFonts w:ascii="Times New Roman" w:hAnsi="Times New Roman" w:cs="Times New Roman" w:hint="eastAsia"/>
          <w:color w:val="000000" w:themeColor="text1"/>
          <w:sz w:val="24"/>
          <w:szCs w:val="24"/>
          <w:highlight w:val="yellow"/>
        </w:rPr>
        <w:t>≤</w:t>
      </w:r>
      <w:r w:rsidR="003013CD" w:rsidRPr="001815B8">
        <w:rPr>
          <w:rFonts w:ascii="Times New Roman" w:hAnsi="Times New Roman" w:cs="Times New Roman" w:hint="eastAsia"/>
          <w:color w:val="000000" w:themeColor="text1"/>
          <w:sz w:val="24"/>
          <w:szCs w:val="24"/>
          <w:highlight w:val="yellow"/>
        </w:rPr>
        <w:t>1.0</w:t>
      </w:r>
      <w:r w:rsidR="003013CD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(almost perfect)</w:t>
      </w:r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, </w:t>
      </w:r>
      <w:bookmarkStart w:id="12" w:name="_Hlk71475548"/>
      <w:r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the </w:t>
      </w:r>
      <w:proofErr w:type="spellStart"/>
      <w:r w:rsidR="00C25FEC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CFH</w:t>
      </w:r>
      <w:proofErr w:type="spellEnd"/>
      <w:r w:rsidR="00C25FEC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has moderate reliability across the cortex</w:t>
      </w:r>
      <w:bookmarkEnd w:id="11"/>
      <w:r w:rsidR="00C25FEC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(Figure </w:t>
      </w:r>
      <w:proofErr w:type="spellStart"/>
      <w:r w:rsidR="00C25FEC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S3</w:t>
      </w:r>
      <w:proofErr w:type="spellEnd"/>
      <w:r w:rsidR="00C25FEC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)</w:t>
      </w:r>
      <w:bookmarkEnd w:id="12"/>
      <w:r w:rsidR="00C07777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fldChar w:fldCharType="begin"/>
      </w:r>
      <w:r w:rsidR="00C07777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instrText xml:space="preserve"> ADDIN EN.CITE &lt;EndNote&gt;&lt;Cite&gt;&lt;Author&gt;Landis&lt;/Author&gt;&lt;Year&gt;1977&lt;/Year&gt;&lt;RecNum&gt;322&lt;/RecNum&gt;&lt;DisplayText&gt;(Landis and Koch, 1977)&lt;/DisplayText&gt;&lt;record&gt;&lt;rec-number&gt;322&lt;/rec-number&gt;&lt;foreign-keys&gt;&lt;key app="EN" db-id="0z505rrdsfzpwaedfdnxpp5j29xs05pvvxd5" timestamp="1620357952"&gt;322&lt;/key&gt;&lt;/foreign-keys&gt;&lt;ref-type name="Journal Article"&gt;17&lt;/ref-type&gt;&lt;contributors&gt;&lt;authors&gt;&lt;author&gt;Landis, J. R.&lt;/author&gt;&lt;author&gt;Koch, G. G.&lt;/author&gt;&lt;/authors&gt;&lt;/contributors&gt;&lt;titles&gt;&lt;title&gt;The measurement of observer agreement for categorical data&lt;/title&gt;&lt;secondary-title&gt;Biometrics&lt;/secondary-title&gt;&lt;/titles&gt;&lt;periodical&gt;&lt;full-title&gt;Biometrics&lt;/full-title&gt;&lt;/periodical&gt;&lt;pages&gt;159-74&lt;/pages&gt;&lt;volume&gt;33&lt;/volume&gt;&lt;number&gt;1&lt;/number&gt;&lt;edition&gt;1977/03/01&lt;/edition&gt;&lt;keywords&gt;&lt;keyword&gt;Humans&lt;/keyword&gt;&lt;keyword&gt;Multiple Sclerosis/*diagnosis&lt;/keyword&gt;&lt;keyword&gt;*Statistics as Topic&lt;/keyword&gt;&lt;/keywords&gt;&lt;dates&gt;&lt;year&gt;1977&lt;/year&gt;&lt;pub-dates&gt;&lt;date&gt;Mar&lt;/date&gt;&lt;/pub-dates&gt;&lt;/dates&gt;&lt;isbn&gt;0006-341X (Print)&amp;#xD;0006-341x&lt;/isbn&gt;&lt;accession-num&gt;843571&lt;/accession-num&gt;&lt;urls&gt;&lt;/urls&gt;&lt;remote-database-provider&gt;NLM&lt;/remote-database-provider&gt;&lt;language&gt;eng&lt;/language&gt;&lt;/record&gt;&lt;/Cite&gt;&lt;/EndNote&gt;</w:instrText>
      </w:r>
      <w:r w:rsidR="00C07777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fldChar w:fldCharType="separate"/>
      </w:r>
      <w:r w:rsidR="00C07777" w:rsidRPr="001815B8">
        <w:rPr>
          <w:rFonts w:ascii="Times New Roman" w:hAnsi="Times New Roman" w:cs="Times New Roman"/>
          <w:noProof/>
          <w:color w:val="000000" w:themeColor="text1"/>
          <w:sz w:val="24"/>
          <w:szCs w:val="24"/>
          <w:highlight w:val="yellow"/>
        </w:rPr>
        <w:t>(Landis and Koch, 1977)</w:t>
      </w:r>
      <w:r w:rsidR="00C07777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fldChar w:fldCharType="end"/>
      </w:r>
      <w:r w:rsidR="0093022C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. </w:t>
      </w:r>
    </w:p>
    <w:p w14:paraId="3A43C874" w14:textId="1E085073" w:rsidR="0022525F" w:rsidRPr="00E14630" w:rsidRDefault="0022525F" w:rsidP="00FE4607">
      <w:pPr>
        <w:spacing w:line="360" w:lineRule="auto"/>
        <w:ind w:firstLineChars="100" w:firstLine="210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3" w:name="_Hlk71475587"/>
      <w:r w:rsidRPr="001815B8">
        <w:rPr>
          <w:noProof/>
          <w:highlight w:val="yellow"/>
        </w:rPr>
        <w:t xml:space="preserve"> </w:t>
      </w:r>
      <w:r w:rsidR="00B10746" w:rsidRPr="001815B8">
        <w:rPr>
          <w:rFonts w:ascii="Times New Roman" w:hAnsi="Times New Roman" w:cs="Times New Roman"/>
          <w:b/>
          <w:color w:val="000000" w:themeColor="text1"/>
          <w:sz w:val="24"/>
          <w:szCs w:val="24"/>
          <w:highlight w:val="yellow"/>
        </w:rPr>
        <w:t xml:space="preserve">Figure </w:t>
      </w:r>
      <w:proofErr w:type="spellStart"/>
      <w:r w:rsidR="00B10746" w:rsidRPr="001815B8">
        <w:rPr>
          <w:rFonts w:ascii="Times New Roman" w:hAnsi="Times New Roman" w:cs="Times New Roman"/>
          <w:b/>
          <w:color w:val="000000" w:themeColor="text1"/>
          <w:sz w:val="24"/>
          <w:szCs w:val="24"/>
          <w:highlight w:val="yellow"/>
        </w:rPr>
        <w:t>S3</w:t>
      </w:r>
      <w:proofErr w:type="spellEnd"/>
      <w:r w:rsidR="00B10746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. </w:t>
      </w:r>
      <w:bookmarkEnd w:id="13"/>
      <w:r w:rsidR="00D43338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The intra-class correlation (ICC) map of </w:t>
      </w:r>
      <w:proofErr w:type="spellStart"/>
      <w:r w:rsidR="00D43338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CFH</w:t>
      </w:r>
      <w:proofErr w:type="spellEnd"/>
      <w:r w:rsidR="00D43338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. High ICC values</w:t>
      </w:r>
      <w:r w:rsidR="00D43338" w:rsidRPr="0030079E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 xml:space="preserve"> (</w:t>
      </w:r>
      <w:r w:rsidR="008459D6" w:rsidRPr="0030079E">
        <w:rPr>
          <w:rFonts w:ascii="Times New Roman" w:hAnsi="Times New Roman" w:cs="Times New Roman" w:hint="eastAsia"/>
          <w:color w:val="000000" w:themeColor="text1"/>
          <w:sz w:val="24"/>
          <w:szCs w:val="24"/>
          <w:highlight w:val="yellow"/>
        </w:rPr>
        <w:t>≥</w:t>
      </w:r>
      <w:r w:rsidR="008459D6" w:rsidRPr="0030079E">
        <w:rPr>
          <w:rFonts w:ascii="Times New Roman" w:hAnsi="Times New Roman" w:cs="Times New Roman" w:hint="eastAsia"/>
          <w:color w:val="000000" w:themeColor="text1"/>
          <w:sz w:val="24"/>
          <w:szCs w:val="24"/>
          <w:highlight w:val="yellow"/>
        </w:rPr>
        <w:t>0</w:t>
      </w:r>
      <w:r w:rsidR="008459D6" w:rsidRPr="0030079E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.4</w:t>
      </w:r>
      <w:r w:rsidR="00D43338" w:rsidRPr="0030079E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) cover</w:t>
      </w:r>
      <w:r w:rsidR="00D43338" w:rsidRPr="001815B8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ed more than 52% of whole brain voxels.</w:t>
      </w:r>
      <w:r w:rsidR="00D433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2DDC7373" w14:textId="74790F14" w:rsidR="004004D9" w:rsidRPr="00CE6969" w:rsidRDefault="00E47442" w:rsidP="00CE6969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 w:cs="Times New Roman"/>
          <w:b/>
          <w:bCs/>
          <w:color w:val="0000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33"/>
          <w:sz w:val="24"/>
          <w:szCs w:val="24"/>
        </w:rPr>
        <w:t>Re</w:t>
      </w:r>
      <w:r w:rsidR="00CE6969" w:rsidRPr="00D0196B">
        <w:rPr>
          <w:rFonts w:ascii="Times New Roman" w:hAnsi="Times New Roman" w:cs="Times New Roman"/>
          <w:b/>
          <w:bCs/>
          <w:color w:val="000033"/>
          <w:sz w:val="24"/>
          <w:szCs w:val="24"/>
        </w:rPr>
        <w:t>ference</w:t>
      </w:r>
      <w:r>
        <w:rPr>
          <w:rFonts w:ascii="Times New Roman" w:hAnsi="Times New Roman" w:cs="Times New Roman"/>
          <w:b/>
          <w:bCs/>
          <w:color w:val="000033"/>
          <w:sz w:val="24"/>
          <w:szCs w:val="24"/>
        </w:rPr>
        <w:t>s</w:t>
      </w:r>
    </w:p>
    <w:p w14:paraId="57C79F77" w14:textId="77777777" w:rsidR="00C07777" w:rsidRPr="00C07777" w:rsidRDefault="004004D9" w:rsidP="005E02D6">
      <w:pPr>
        <w:pStyle w:val="EndNoteBibliography"/>
        <w:spacing w:after="0"/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EN.REFLIST </w:instrTex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C07777" w:rsidRPr="00C07777">
        <w:t xml:space="preserve">Landis, J.R., &amp; Koch, G.G. (1977). The measurement of observer agreement for categorical data. </w:t>
      </w:r>
      <w:r w:rsidR="00C07777" w:rsidRPr="00C07777">
        <w:rPr>
          <w:i/>
        </w:rPr>
        <w:t>Biometrics,</w:t>
      </w:r>
      <w:r w:rsidR="00C07777" w:rsidRPr="00C07777">
        <w:t xml:space="preserve"> 33, 159-174.</w:t>
      </w:r>
    </w:p>
    <w:p w14:paraId="73E00515" w14:textId="77777777" w:rsidR="00C07777" w:rsidRPr="00C07777" w:rsidRDefault="00C07777" w:rsidP="005E02D6">
      <w:pPr>
        <w:pStyle w:val="EndNoteBibliography"/>
        <w:spacing w:after="0"/>
      </w:pPr>
      <w:r w:rsidRPr="00C07777">
        <w:t xml:space="preserve">Shrout, P.E., &amp; Fleiss, J.L. (1979). Intraclass correlations: uses in assessing rater reliability. </w:t>
      </w:r>
      <w:r w:rsidRPr="00C07777">
        <w:rPr>
          <w:i/>
        </w:rPr>
        <w:t>Psychol Bull,</w:t>
      </w:r>
      <w:r w:rsidRPr="00C07777">
        <w:t xml:space="preserve"> 86, 420-428.</w:t>
      </w:r>
    </w:p>
    <w:p w14:paraId="627214AD" w14:textId="77777777" w:rsidR="00C07777" w:rsidRPr="00C07777" w:rsidRDefault="00C07777" w:rsidP="005E02D6">
      <w:pPr>
        <w:pStyle w:val="EndNoteBibliography"/>
      </w:pPr>
      <w:r w:rsidRPr="00C07777">
        <w:t xml:space="preserve">Yan, C.G., Wang, X.D., Zuo, X.N., &amp; Zang, Y.F. (2016). DPABI: Data Processing &amp; Analysis for (Resting-State) Brain Imaging. </w:t>
      </w:r>
      <w:r w:rsidRPr="00C07777">
        <w:rPr>
          <w:i/>
        </w:rPr>
        <w:t>Neuroinformatics,</w:t>
      </w:r>
      <w:r w:rsidRPr="00C07777">
        <w:t xml:space="preserve"> 14, 339-351.</w:t>
      </w:r>
    </w:p>
    <w:p w14:paraId="0FC31F50" w14:textId="28AEFF50" w:rsidR="009D60DD" w:rsidRPr="007F340D" w:rsidRDefault="004004D9" w:rsidP="005E02D6">
      <w:pPr>
        <w:spacing w:line="24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</w:p>
    <w:sectPr w:rsidR="009D60DD" w:rsidRPr="007F340D" w:rsidSect="000D485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6C3BC8" w14:textId="77777777" w:rsidR="005B30FD" w:rsidRDefault="005B30FD" w:rsidP="007869C1">
      <w:pPr>
        <w:spacing w:after="0" w:line="240" w:lineRule="auto"/>
      </w:pPr>
      <w:r>
        <w:separator/>
      </w:r>
    </w:p>
  </w:endnote>
  <w:endnote w:type="continuationSeparator" w:id="0">
    <w:p w14:paraId="7BA08221" w14:textId="77777777" w:rsidR="005B30FD" w:rsidRDefault="005B30FD" w:rsidP="007869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5235d5a9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F99DBB" w14:textId="77777777" w:rsidR="005B30FD" w:rsidRDefault="005B30FD" w:rsidP="007869C1">
      <w:pPr>
        <w:spacing w:after="0" w:line="240" w:lineRule="auto"/>
      </w:pPr>
      <w:r>
        <w:separator/>
      </w:r>
    </w:p>
  </w:footnote>
  <w:footnote w:type="continuationSeparator" w:id="0">
    <w:p w14:paraId="5A3425EF" w14:textId="77777777" w:rsidR="005B30FD" w:rsidRDefault="005B30FD" w:rsidP="007869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rain imaging and Behavior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z505rrdsfzpwaedfdnxpp5j29xs05pvvxd5&quot;&gt;我的EndNote库&lt;record-ids&gt;&lt;item&gt;320&lt;/item&gt;&lt;item&gt;321&lt;/item&gt;&lt;item&gt;322&lt;/item&gt;&lt;/record-ids&gt;&lt;/item&gt;&lt;/Libraries&gt;"/>
  </w:docVars>
  <w:rsids>
    <w:rsidRoot w:val="00A427E9"/>
    <w:rsid w:val="00075996"/>
    <w:rsid w:val="000C33A1"/>
    <w:rsid w:val="000D485C"/>
    <w:rsid w:val="000E124D"/>
    <w:rsid w:val="000E295B"/>
    <w:rsid w:val="000F476A"/>
    <w:rsid w:val="001815B8"/>
    <w:rsid w:val="00206F66"/>
    <w:rsid w:val="0022525F"/>
    <w:rsid w:val="0023423A"/>
    <w:rsid w:val="002962C8"/>
    <w:rsid w:val="00296DA9"/>
    <w:rsid w:val="002A06EC"/>
    <w:rsid w:val="002A2715"/>
    <w:rsid w:val="002B2BBE"/>
    <w:rsid w:val="0030079E"/>
    <w:rsid w:val="003013CD"/>
    <w:rsid w:val="003819CF"/>
    <w:rsid w:val="00382D0A"/>
    <w:rsid w:val="003B6CB7"/>
    <w:rsid w:val="003C7BA6"/>
    <w:rsid w:val="003F46BB"/>
    <w:rsid w:val="004004D9"/>
    <w:rsid w:val="004734FC"/>
    <w:rsid w:val="004D2F27"/>
    <w:rsid w:val="004D5045"/>
    <w:rsid w:val="004E02D1"/>
    <w:rsid w:val="0051280E"/>
    <w:rsid w:val="005334BA"/>
    <w:rsid w:val="005B30FD"/>
    <w:rsid w:val="005E02D6"/>
    <w:rsid w:val="005F4F78"/>
    <w:rsid w:val="006038DA"/>
    <w:rsid w:val="00660C70"/>
    <w:rsid w:val="006624BD"/>
    <w:rsid w:val="006C5FD7"/>
    <w:rsid w:val="006D0C5C"/>
    <w:rsid w:val="00703811"/>
    <w:rsid w:val="00733F28"/>
    <w:rsid w:val="00737DEE"/>
    <w:rsid w:val="00784A0D"/>
    <w:rsid w:val="007869C1"/>
    <w:rsid w:val="007C3666"/>
    <w:rsid w:val="007F1F49"/>
    <w:rsid w:val="007F340D"/>
    <w:rsid w:val="00807374"/>
    <w:rsid w:val="008459D6"/>
    <w:rsid w:val="00851412"/>
    <w:rsid w:val="00865534"/>
    <w:rsid w:val="008932D2"/>
    <w:rsid w:val="008E65E4"/>
    <w:rsid w:val="00912A99"/>
    <w:rsid w:val="0093022C"/>
    <w:rsid w:val="009463F2"/>
    <w:rsid w:val="00955169"/>
    <w:rsid w:val="00964070"/>
    <w:rsid w:val="009B62AF"/>
    <w:rsid w:val="009D13EC"/>
    <w:rsid w:val="009D302C"/>
    <w:rsid w:val="009D60DD"/>
    <w:rsid w:val="00A0352F"/>
    <w:rsid w:val="00A427E9"/>
    <w:rsid w:val="00A45C4C"/>
    <w:rsid w:val="00A76010"/>
    <w:rsid w:val="00A8160E"/>
    <w:rsid w:val="00AB2A70"/>
    <w:rsid w:val="00AE42E9"/>
    <w:rsid w:val="00AF1953"/>
    <w:rsid w:val="00B10746"/>
    <w:rsid w:val="00B560E2"/>
    <w:rsid w:val="00B9092B"/>
    <w:rsid w:val="00BA29D1"/>
    <w:rsid w:val="00BC353B"/>
    <w:rsid w:val="00BF3149"/>
    <w:rsid w:val="00C07777"/>
    <w:rsid w:val="00C25FEC"/>
    <w:rsid w:val="00CD062C"/>
    <w:rsid w:val="00CE6969"/>
    <w:rsid w:val="00CF616F"/>
    <w:rsid w:val="00D058B7"/>
    <w:rsid w:val="00D43338"/>
    <w:rsid w:val="00D72AA0"/>
    <w:rsid w:val="00D96216"/>
    <w:rsid w:val="00DA4F00"/>
    <w:rsid w:val="00DC2870"/>
    <w:rsid w:val="00DC7CA1"/>
    <w:rsid w:val="00DF30C8"/>
    <w:rsid w:val="00E14630"/>
    <w:rsid w:val="00E21B1A"/>
    <w:rsid w:val="00E443D3"/>
    <w:rsid w:val="00E47442"/>
    <w:rsid w:val="00F01967"/>
    <w:rsid w:val="00F07F4E"/>
    <w:rsid w:val="00F747AE"/>
    <w:rsid w:val="00FA0DCE"/>
    <w:rsid w:val="00FB4C4D"/>
    <w:rsid w:val="00FC1768"/>
    <w:rsid w:val="00FE3DCC"/>
    <w:rsid w:val="00FE4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C85D5A"/>
  <w15:chartTrackingRefBased/>
  <w15:docId w15:val="{C542376B-70BB-4F4E-BE09-2502966F3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69C1"/>
    <w:pPr>
      <w:widowControl w:val="0"/>
      <w:spacing w:after="160" w:line="259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6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69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69C1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69C1"/>
    <w:rPr>
      <w:sz w:val="18"/>
      <w:szCs w:val="18"/>
    </w:rPr>
  </w:style>
  <w:style w:type="table" w:styleId="a7">
    <w:name w:val="Table Grid"/>
    <w:basedOn w:val="a1"/>
    <w:uiPriority w:val="39"/>
    <w:qFormat/>
    <w:rsid w:val="007869C1"/>
    <w:pPr>
      <w:spacing w:after="160" w:line="259" w:lineRule="auto"/>
    </w:pPr>
    <w:rPr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7869C1"/>
    <w:rPr>
      <w:color w:val="0563C1" w:themeColor="hyperlink"/>
      <w:u w:val="single"/>
    </w:rPr>
  </w:style>
  <w:style w:type="character" w:customStyle="1" w:styleId="fontstyle01">
    <w:name w:val="fontstyle01"/>
    <w:basedOn w:val="a0"/>
    <w:rsid w:val="007869C1"/>
    <w:rPr>
      <w:rFonts w:ascii="AdvTT5235d5a9" w:hAnsi="AdvTT5235d5a9" w:hint="default"/>
      <w:color w:val="242021"/>
      <w:sz w:val="28"/>
      <w:szCs w:val="28"/>
    </w:rPr>
  </w:style>
  <w:style w:type="paragraph" w:customStyle="1" w:styleId="EndNoteBibliographyTitle">
    <w:name w:val="EndNote Bibliography Title"/>
    <w:basedOn w:val="a"/>
    <w:link w:val="EndNoteBibliographyTitle0"/>
    <w:rsid w:val="004004D9"/>
    <w:pPr>
      <w:spacing w:after="0"/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4004D9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4004D9"/>
    <w:pPr>
      <w:spacing w:line="240" w:lineRule="auto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4004D9"/>
    <w:rPr>
      <w:rFonts w:ascii="等线" w:eastAsia="等线" w:hAnsi="等线"/>
      <w:noProof/>
      <w:sz w:val="20"/>
    </w:rPr>
  </w:style>
  <w:style w:type="paragraph" w:styleId="a9">
    <w:name w:val="Balloon Text"/>
    <w:basedOn w:val="a"/>
    <w:link w:val="aa"/>
    <w:uiPriority w:val="99"/>
    <w:semiHidden/>
    <w:unhideWhenUsed/>
    <w:rsid w:val="006038DA"/>
    <w:pPr>
      <w:spacing w:after="0" w:line="240" w:lineRule="auto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038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4</Pages>
  <Words>1291</Words>
  <Characters>7363</Characters>
  <Application>Microsoft Office Word</Application>
  <DocSecurity>0</DocSecurity>
  <Lines>61</Lines>
  <Paragraphs>17</Paragraphs>
  <ScaleCrop>false</ScaleCrop>
  <Company/>
  <LinksUpToDate>false</LinksUpToDate>
  <CharactersWithSpaces>8637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SJM</dc:creator>
  <cp:keywords/>
  <dc:description/>
  <cp:lastModifiedBy>孙 金梅</cp:lastModifiedBy>
  <cp:revision>87</cp:revision>
  <dcterms:created xsi:type="dcterms:W3CDTF">2020-12-10T05:03:00Z</dcterms:created>
  <dcterms:modified xsi:type="dcterms:W3CDTF">2021-05-15T09:07:00Z</dcterms:modified>
</cp:coreProperties>
</file>