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D7343" w14:textId="77777777" w:rsidR="00D102CF" w:rsidRPr="009F0AA3" w:rsidRDefault="00D102CF" w:rsidP="00D102C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F0AA3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1.</w:t>
      </w:r>
      <w:r w:rsidRPr="009F0AA3">
        <w:rPr>
          <w:rFonts w:ascii="Times New Roman" w:hAnsi="Times New Roman" w:cs="Times New Roman"/>
          <w:b/>
          <w:bCs/>
          <w:sz w:val="24"/>
          <w:szCs w:val="24"/>
        </w:rPr>
        <w:t xml:space="preserve"> MRI Protocol</w:t>
      </w:r>
    </w:p>
    <w:p w14:paraId="3DFB9E37" w14:textId="77777777" w:rsidR="00D102CF" w:rsidRPr="009F0AA3" w:rsidRDefault="00D102CF" w:rsidP="00D102CF">
      <w:pPr>
        <w:spacing w:line="240" w:lineRule="auto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r w:rsidRPr="009F0AA3">
        <w:rPr>
          <w:rFonts w:ascii="Times New Roman" w:hAnsi="Times New Roman" w:cs="Times New Roman"/>
          <w:sz w:val="20"/>
          <w:szCs w:val="20"/>
        </w:rPr>
        <w:t xml:space="preserve">Contrast-enhanced brain MRI was performed with 1.5T (567 patients, Ingenia; Philips Healthcare, Best, the Netherlands), 18-channel cross cranial coil. Position: supine position. T1WI, T2WI, T2WI-FLAIR and DWI of the head were followed by enhanced scanning. Scanning parameters: </w:t>
      </w:r>
      <w:r w:rsidRPr="009F0AA3">
        <w:rPr>
          <w:rFonts w:ascii="Times New Roman" w:hAnsi="Times New Roman" w:cs="Times New Roman"/>
          <w:sz w:val="20"/>
          <w:szCs w:val="20"/>
          <w:lang w:eastAsia="zh-CN"/>
        </w:rPr>
        <w:t xml:space="preserve">(1) </w:t>
      </w:r>
      <w:r w:rsidRPr="009F0AA3">
        <w:rPr>
          <w:rFonts w:ascii="Times New Roman" w:hAnsi="Times New Roman" w:cs="Times New Roman"/>
          <w:sz w:val="20"/>
          <w:szCs w:val="20"/>
        </w:rPr>
        <w:t>T1WI TR/TE = </w:t>
      </w:r>
      <w:bookmarkStart w:id="0" w:name="OLE_LINK129"/>
      <w:r w:rsidRPr="009F0AA3">
        <w:rPr>
          <w:rFonts w:ascii="Times New Roman" w:hAnsi="Times New Roman" w:cs="Times New Roman"/>
          <w:sz w:val="20"/>
          <w:szCs w:val="20"/>
        </w:rPr>
        <w:t>528/15 ms,</w:t>
      </w:r>
      <w:bookmarkEnd w:id="0"/>
      <w:r w:rsidRPr="009F0AA3">
        <w:rPr>
          <w:rFonts w:ascii="Times New Roman" w:hAnsi="Times New Roman" w:cs="Times New Roman"/>
          <w:sz w:val="20"/>
          <w:szCs w:val="20"/>
        </w:rPr>
        <w:t xml:space="preserve"> slice thickness = 6 mm, number of excitation = 1. (2) T2WI TR/TE  = 4397/110 ms, slice thickness = 6 mm, number of excitation = 1. (3) T2 FLAIR: TR/TE = 6000/120 ms, TI = 2000 ms, flip angle =100◦, slice thickness = 6 mm without slice gap, matrix size = 240</w:t>
      </w:r>
      <w:bookmarkStart w:id="1" w:name="OLE_LINK130"/>
      <w:r w:rsidRPr="009F0AA3">
        <w:rPr>
          <w:rFonts w:ascii="Times New Roman" w:hAnsi="Times New Roman" w:cs="Times New Roman"/>
          <w:sz w:val="20"/>
          <w:szCs w:val="20"/>
          <w:lang w:eastAsia="zh-CN"/>
        </w:rPr>
        <w:t>×</w:t>
      </w:r>
      <w:bookmarkEnd w:id="1"/>
      <w:r w:rsidRPr="009F0AA3">
        <w:rPr>
          <w:rFonts w:ascii="Times New Roman" w:hAnsi="Times New Roman" w:cs="Times New Roman"/>
          <w:sz w:val="20"/>
          <w:szCs w:val="20"/>
        </w:rPr>
        <w:t>144, FOV =</w:t>
      </w:r>
      <w:bookmarkStart w:id="2" w:name="OLE_LINK136"/>
      <w:r w:rsidRPr="009F0AA3">
        <w:rPr>
          <w:rFonts w:ascii="Times New Roman" w:hAnsi="Times New Roman" w:cs="Times New Roman"/>
          <w:sz w:val="20"/>
          <w:szCs w:val="20"/>
        </w:rPr>
        <w:t> </w:t>
      </w:r>
      <w:bookmarkStart w:id="3" w:name="OLE_LINK137"/>
      <w:r w:rsidRPr="009F0AA3">
        <w:rPr>
          <w:rFonts w:ascii="Times New Roman" w:hAnsi="Times New Roman" w:cs="Times New Roman"/>
          <w:sz w:val="20"/>
          <w:szCs w:val="20"/>
        </w:rPr>
        <w:t>230 mm</w:t>
      </w:r>
      <w:r w:rsidRPr="009F0AA3">
        <w:rPr>
          <w:rFonts w:ascii="Times New Roman" w:hAnsi="Times New Roman" w:cs="Times New Roman"/>
          <w:sz w:val="20"/>
          <w:szCs w:val="20"/>
          <w:lang w:eastAsia="zh-CN"/>
        </w:rPr>
        <w:t>×183</w:t>
      </w:r>
      <w:r w:rsidRPr="009F0AA3">
        <w:rPr>
          <w:rFonts w:ascii="Times New Roman" w:hAnsi="Times New Roman" w:cs="Times New Roman"/>
          <w:sz w:val="20"/>
          <w:szCs w:val="20"/>
        </w:rPr>
        <w:t xml:space="preserve"> mm</w:t>
      </w:r>
      <w:bookmarkEnd w:id="2"/>
      <w:r w:rsidRPr="009F0AA3">
        <w:rPr>
          <w:rFonts w:ascii="Times New Roman" w:hAnsi="Times New Roman" w:cs="Times New Roman"/>
          <w:sz w:val="20"/>
          <w:szCs w:val="20"/>
        </w:rPr>
        <w:t>.</w:t>
      </w:r>
      <w:bookmarkEnd w:id="3"/>
      <w:r w:rsidRPr="009F0AA3">
        <w:rPr>
          <w:rFonts w:ascii="Times New Roman" w:hAnsi="Times New Roman" w:cs="Times New Roman"/>
          <w:sz w:val="20"/>
          <w:szCs w:val="20"/>
        </w:rPr>
        <w:t xml:space="preserve"> (4) Diffusion scan was acquired using a single-shot, spin–echo planar imaging sequence with TR/TE = 2879/94 ms; slice thickness = 6 mm without slice gap; FOV: 230 mm× 230 mm; matrix: 152 </w:t>
      </w:r>
      <w:r w:rsidRPr="009F0AA3">
        <w:rPr>
          <w:rFonts w:ascii="Times New Roman" w:hAnsi="Times New Roman" w:cs="Times New Roman"/>
          <w:sz w:val="20"/>
          <w:szCs w:val="20"/>
          <w:lang w:eastAsia="zh-CN"/>
        </w:rPr>
        <w:t>×</w:t>
      </w:r>
      <w:r w:rsidRPr="009F0AA3">
        <w:rPr>
          <w:rFonts w:ascii="Times New Roman" w:hAnsi="Times New Roman" w:cs="Times New Roman"/>
          <w:sz w:val="20"/>
          <w:szCs w:val="20"/>
        </w:rPr>
        <w:t xml:space="preserve">106; and </w:t>
      </w:r>
      <w:r w:rsidRPr="009F0AA3">
        <w:rPr>
          <w:rFonts w:ascii="Times New Roman" w:hAnsi="Times New Roman" w:cs="Times New Roman"/>
          <w:sz w:val="20"/>
          <w:szCs w:val="20"/>
          <w:lang w:eastAsia="zh-CN"/>
        </w:rPr>
        <w:t>two</w:t>
      </w:r>
      <w:r w:rsidRPr="009F0AA3">
        <w:rPr>
          <w:rFonts w:ascii="Times New Roman" w:hAnsi="Times New Roman" w:cs="Times New Roman"/>
          <w:sz w:val="20"/>
          <w:szCs w:val="20"/>
        </w:rPr>
        <w:t xml:space="preserve"> diffusion weighting (b) values (0, 800s/mm2). The three-dimensional contrast-enhanced T1-weighted imaging (3D CET1WI) was obtained after intravenous injection of contrast material</w:t>
      </w:r>
      <w:bookmarkStart w:id="4" w:name="OLE_LINK134"/>
      <w:r w:rsidRPr="009F0AA3">
        <w:rPr>
          <w:rFonts w:ascii="Times New Roman" w:hAnsi="Times New Roman" w:cs="Times New Roman"/>
          <w:sz w:val="20"/>
          <w:szCs w:val="20"/>
        </w:rPr>
        <w:t xml:space="preserve"> (</w:t>
      </w:r>
      <w:bookmarkStart w:id="5" w:name="OLE_LINK132"/>
      <w:bookmarkStart w:id="6" w:name="OLE_LINK131"/>
      <w:r w:rsidRPr="009F0AA3">
        <w:rPr>
          <w:rFonts w:ascii="Times New Roman" w:hAnsi="Times New Roman" w:cs="Times New Roman"/>
          <w:sz w:val="20"/>
          <w:szCs w:val="20"/>
        </w:rPr>
        <w:t>Gadoterate meglumine,</w:t>
      </w:r>
      <w:r w:rsidRPr="009F0AA3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9F0AA3">
        <w:rPr>
          <w:rFonts w:ascii="Times New Roman" w:hAnsi="Times New Roman" w:cs="Times New Roman"/>
          <w:sz w:val="20"/>
          <w:szCs w:val="20"/>
        </w:rPr>
        <w:t>0.1 mmol/kg;</w:t>
      </w:r>
      <w:bookmarkEnd w:id="5"/>
      <w:r w:rsidRPr="009F0AA3">
        <w:rPr>
          <w:rFonts w:ascii="Times New Roman" w:hAnsi="Times New Roman" w:cs="Times New Roman"/>
          <w:sz w:val="20"/>
          <w:szCs w:val="20"/>
        </w:rPr>
        <w:t xml:space="preserve"> Gadodiamide, 0.1 mmol/kg), </w:t>
      </w:r>
      <w:bookmarkEnd w:id="4"/>
      <w:r w:rsidRPr="009F0AA3">
        <w:rPr>
          <w:rFonts w:ascii="Times New Roman" w:hAnsi="Times New Roman" w:cs="Times New Roman"/>
          <w:sz w:val="20"/>
          <w:szCs w:val="20"/>
        </w:rPr>
        <w:t>followed by a 15 ml saline flush with an injection velocity of 1.5 ml/s.</w:t>
      </w:r>
      <w:bookmarkEnd w:id="6"/>
    </w:p>
    <w:p w14:paraId="78F18BC1" w14:textId="77777777" w:rsidR="00D102CF" w:rsidRPr="009F0AA3" w:rsidRDefault="00D102CF" w:rsidP="00D102CF">
      <w:pPr>
        <w:spacing w:line="240" w:lineRule="auto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bookmarkStart w:id="7" w:name="OLE_LINK107"/>
      <w:r w:rsidRPr="009F0AA3">
        <w:rPr>
          <w:rFonts w:ascii="Times New Roman" w:hAnsi="Times New Roman" w:cs="Times New Roman"/>
          <w:sz w:val="20"/>
          <w:szCs w:val="20"/>
        </w:rPr>
        <w:t xml:space="preserve">The other patients were performed with 3.0T (256 patients, MAGNETOM Prisma, Siemens, Erlangen, Germany), using a 64-channel head-neck coil. </w:t>
      </w:r>
      <w:bookmarkEnd w:id="7"/>
      <w:r w:rsidRPr="009F0AA3">
        <w:rPr>
          <w:rFonts w:ascii="Times New Roman" w:hAnsi="Times New Roman" w:cs="Times New Roman"/>
          <w:sz w:val="20"/>
          <w:szCs w:val="20"/>
        </w:rPr>
        <w:t xml:space="preserve">Position: supine position. T1WI, T2WI, T2WI-FLAIR and DWI of the head were followed by enhanced scanning. Scanning parameters: </w:t>
      </w:r>
      <w:r w:rsidRPr="009F0AA3">
        <w:rPr>
          <w:rFonts w:ascii="Times New Roman" w:hAnsi="Times New Roman" w:cs="Times New Roman"/>
          <w:sz w:val="20"/>
          <w:szCs w:val="20"/>
          <w:lang w:eastAsia="zh-CN"/>
        </w:rPr>
        <w:t xml:space="preserve">(1) </w:t>
      </w:r>
      <w:r w:rsidRPr="009F0AA3">
        <w:rPr>
          <w:rFonts w:ascii="Times New Roman" w:hAnsi="Times New Roman" w:cs="Times New Roman"/>
          <w:sz w:val="20"/>
          <w:szCs w:val="20"/>
        </w:rPr>
        <w:t>T1WI TR/TE =</w:t>
      </w:r>
      <w:bookmarkStart w:id="8" w:name="OLE_LINK135"/>
      <w:r w:rsidRPr="009F0AA3">
        <w:rPr>
          <w:rFonts w:ascii="Times New Roman" w:hAnsi="Times New Roman" w:cs="Times New Roman"/>
          <w:sz w:val="20"/>
          <w:szCs w:val="20"/>
        </w:rPr>
        <w:t> 2000/20 ms</w:t>
      </w:r>
      <w:bookmarkEnd w:id="8"/>
      <w:r w:rsidRPr="009F0AA3">
        <w:rPr>
          <w:rFonts w:ascii="Times New Roman" w:hAnsi="Times New Roman" w:cs="Times New Roman"/>
          <w:sz w:val="20"/>
          <w:szCs w:val="20"/>
        </w:rPr>
        <w:t>, slice thickness = 6 mm, number of excitation = 1. (2) T2WI TR/TE =  3880/96 ms, slice thickness = 6 mm, number of excitation = 1. (3) T2 FLAIR: TR/TE = 8000/95 ms, TI = 2370 ms, flip angle = 150◦, slice thickness = 6 mm without slice gap, matrix size = 320 </w:t>
      </w:r>
      <w:r w:rsidRPr="009F0AA3">
        <w:rPr>
          <w:rFonts w:ascii="Times New Roman" w:hAnsi="Times New Roman" w:cs="Times New Roman"/>
          <w:sz w:val="20"/>
          <w:szCs w:val="20"/>
          <w:lang w:eastAsia="zh-CN"/>
        </w:rPr>
        <w:t>×(</w:t>
      </w:r>
      <w:r w:rsidRPr="009F0AA3">
        <w:rPr>
          <w:rFonts w:ascii="Times New Roman" w:hAnsi="Times New Roman" w:cs="Times New Roman"/>
          <w:sz w:val="20"/>
          <w:szCs w:val="20"/>
        </w:rPr>
        <w:t>320</w:t>
      </w:r>
      <w:r w:rsidRPr="009F0AA3">
        <w:rPr>
          <w:rFonts w:ascii="Times New Roman" w:hAnsi="Times New Roman" w:cs="Times New Roman"/>
          <w:sz w:val="20"/>
          <w:szCs w:val="20"/>
          <w:lang w:eastAsia="zh-CN"/>
        </w:rPr>
        <w:t>×70%)</w:t>
      </w:r>
      <w:r w:rsidRPr="009F0AA3">
        <w:rPr>
          <w:rFonts w:ascii="Times New Roman" w:hAnsi="Times New Roman" w:cs="Times New Roman"/>
          <w:sz w:val="20"/>
          <w:szCs w:val="20"/>
        </w:rPr>
        <w:t>, FOV = 230 mm</w:t>
      </w:r>
      <w:r w:rsidRPr="009F0AA3">
        <w:rPr>
          <w:rFonts w:ascii="Times New Roman" w:hAnsi="Times New Roman" w:cs="Times New Roman"/>
          <w:sz w:val="20"/>
          <w:szCs w:val="20"/>
          <w:lang w:eastAsia="zh-CN"/>
        </w:rPr>
        <w:t xml:space="preserve">×(230×84.4%) </w:t>
      </w:r>
      <w:r w:rsidRPr="009F0AA3">
        <w:rPr>
          <w:rFonts w:ascii="Times New Roman" w:hAnsi="Times New Roman" w:cs="Times New Roman"/>
          <w:sz w:val="20"/>
          <w:szCs w:val="20"/>
        </w:rPr>
        <w:t xml:space="preserve">mm. (4) Diffusion scan was acquired using a single-shot, spin–echo planar imaging sequence with TR/TE = 2000/61 ms; slice thickness = 6 mm without slice gap; FOV: 256 mm× 256 mm; matrix: 128 × 128; and </w:t>
      </w:r>
      <w:r w:rsidRPr="009F0AA3">
        <w:rPr>
          <w:rFonts w:ascii="Times New Roman" w:hAnsi="Times New Roman" w:cs="Times New Roman"/>
          <w:sz w:val="20"/>
          <w:szCs w:val="20"/>
          <w:lang w:eastAsia="zh-CN"/>
        </w:rPr>
        <w:t>two</w:t>
      </w:r>
      <w:r w:rsidRPr="009F0AA3">
        <w:rPr>
          <w:rFonts w:ascii="Times New Roman" w:hAnsi="Times New Roman" w:cs="Times New Roman"/>
          <w:sz w:val="20"/>
          <w:szCs w:val="20"/>
        </w:rPr>
        <w:t xml:space="preserve"> diffusion weighting (b) values (0, 1000s/mm</w:t>
      </w:r>
      <w:r w:rsidRPr="009F0AA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F0AA3">
        <w:rPr>
          <w:rFonts w:ascii="Times New Roman" w:hAnsi="Times New Roman" w:cs="Times New Roman"/>
          <w:sz w:val="20"/>
          <w:szCs w:val="20"/>
        </w:rPr>
        <w:t>). The three-dimensional contrast-enhanced T1-weighted imaging (3D CET1WI) was obtained after intravenous injection of contrast material (Gadoterate meglumine,</w:t>
      </w:r>
      <w:r w:rsidRPr="009F0AA3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9F0AA3">
        <w:rPr>
          <w:rFonts w:ascii="Times New Roman" w:hAnsi="Times New Roman" w:cs="Times New Roman"/>
          <w:sz w:val="20"/>
          <w:szCs w:val="20"/>
        </w:rPr>
        <w:t>0.1 mmol/kg; Gadodiamide, 0.1 mmol/kg), followed by a 15 ml saline flush with an injection velocity of 1.5 ml/s.</w:t>
      </w:r>
    </w:p>
    <w:p w14:paraId="658B5AE8" w14:textId="77777777" w:rsidR="00D102CF" w:rsidRPr="009F0AA3" w:rsidRDefault="00D102CF" w:rsidP="00D102C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F0AA3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2. CT</w:t>
      </w:r>
      <w:r w:rsidRPr="009F0AA3">
        <w:rPr>
          <w:rFonts w:ascii="Times New Roman" w:hAnsi="Times New Roman" w:cs="Times New Roman"/>
          <w:b/>
          <w:bCs/>
          <w:sz w:val="24"/>
          <w:szCs w:val="24"/>
        </w:rPr>
        <w:t xml:space="preserve"> Protocol</w:t>
      </w:r>
    </w:p>
    <w:p w14:paraId="2E2B506C" w14:textId="77777777" w:rsidR="00D102CF" w:rsidRPr="009F0AA3" w:rsidRDefault="00D102CF" w:rsidP="00D102CF">
      <w:pPr>
        <w:spacing w:line="240" w:lineRule="auto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r w:rsidRPr="009F0AA3">
        <w:rPr>
          <w:rFonts w:ascii="Times New Roman" w:hAnsi="Times New Roman" w:cs="Times New Roman"/>
          <w:sz w:val="20"/>
          <w:szCs w:val="20"/>
        </w:rPr>
        <w:t>A standard contrast-enhanced chest CT scan was performed on all patients with a 64-multi-detector CT scanner (Brilliance CT, Philips Healthcare). The specific parameters were as follows: slice thickness, 1.0 mm; tube voltage, 120 kVp; tube current, 80 - 160 mAs; matrix, 512 × 512; and detector collimation, 0.625 mm. At the time of the examination, the patient held his/her breath. After the unenhanced scan, patients were injected intravenously with 1.2 ml/kg iodide contrast agent (Ioversol; 320 mg/ml iodine, HENGRUI Medicine) at a rate of 2.5 ml/s by an automatic pump injector. All images were reconstructed with a sharp kernel (b40).</w:t>
      </w:r>
    </w:p>
    <w:p w14:paraId="4F589A42" w14:textId="77777777" w:rsidR="00897E08" w:rsidRDefault="00897E08"/>
    <w:sectPr w:rsidR="00897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67"/>
    <w:rsid w:val="000F3D67"/>
    <w:rsid w:val="00897E08"/>
    <w:rsid w:val="00D102CF"/>
    <w:rsid w:val="00E937C6"/>
    <w:rsid w:val="00F1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CFFB4"/>
  <w15:chartTrackingRefBased/>
  <w15:docId w15:val="{A8AF276B-7B22-4D12-AE18-8A801A22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2CF"/>
    <w:pPr>
      <w:spacing w:after="200" w:line="276" w:lineRule="auto"/>
    </w:pPr>
    <w:rPr>
      <w:kern w:val="0"/>
      <w:sz w:val="22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译心 胡</dc:creator>
  <cp:keywords/>
  <dc:description/>
  <cp:lastModifiedBy>译心 胡</cp:lastModifiedBy>
  <cp:revision>4</cp:revision>
  <dcterms:created xsi:type="dcterms:W3CDTF">2024-02-25T09:15:00Z</dcterms:created>
  <dcterms:modified xsi:type="dcterms:W3CDTF">2024-03-05T12:56:00Z</dcterms:modified>
</cp:coreProperties>
</file>