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Table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1.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MR analysis of multiple COVID-19 phenotypes.</w:t>
      </w:r>
    </w:p>
    <w:tbl>
      <w:tblPr>
        <w:tblStyle w:val="3"/>
        <w:tblpPr w:leftFromText="180" w:rightFromText="180" w:vertAnchor="text" w:horzAnchor="page" w:tblpXSpec="center" w:tblpY="137"/>
        <w:tblOverlap w:val="never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2"/>
        <w:gridCol w:w="1671"/>
        <w:gridCol w:w="1287"/>
        <w:gridCol w:w="1332"/>
        <w:gridCol w:w="26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68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2"/>
                <w:lang w:val="en-US"/>
              </w:rPr>
              <w:t>id.exposure</w:t>
            </w:r>
          </w:p>
        </w:tc>
        <w:tc>
          <w:tcPr>
            <w:tcW w:w="848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2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8"/>
                <w:vertAlign w:val="baseline"/>
                <w:lang w:val="en-US" w:eastAsia="zh-CN"/>
              </w:rPr>
              <w:t>Method</w:t>
            </w:r>
          </w:p>
        </w:tc>
        <w:tc>
          <w:tcPr>
            <w:tcW w:w="653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8"/>
                <w:vertAlign w:val="baseline"/>
                <w:lang w:val="en-US" w:eastAsia="zh-CN"/>
              </w:rPr>
              <w:t>N.SNP</w:t>
            </w:r>
          </w:p>
        </w:tc>
        <w:tc>
          <w:tcPr>
            <w:tcW w:w="676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8"/>
                <w:vertAlign w:val="baseline"/>
                <w:lang w:val="en-US" w:eastAsia="zh-CN"/>
              </w:rPr>
              <w:t>P value</w:t>
            </w:r>
          </w:p>
        </w:tc>
        <w:tc>
          <w:tcPr>
            <w:tcW w:w="1354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8"/>
                <w:vertAlign w:val="baseline"/>
                <w:lang w:val="en-US" w:eastAsia="zh-CN"/>
              </w:rPr>
              <w:t>OR(95%CI)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8" w:type="pct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ebi-a-GCST010778</w:t>
            </w:r>
          </w:p>
        </w:tc>
        <w:tc>
          <w:tcPr>
            <w:tcW w:w="848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IVW</w:t>
            </w:r>
          </w:p>
        </w:tc>
        <w:tc>
          <w:tcPr>
            <w:tcW w:w="653" w:type="pct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121</w:t>
            </w:r>
          </w:p>
        </w:tc>
        <w:tc>
          <w:tcPr>
            <w:tcW w:w="676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0.494</w:t>
            </w:r>
          </w:p>
        </w:tc>
        <w:tc>
          <w:tcPr>
            <w:tcW w:w="1354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1.012(0.978-1.046)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8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MR-Egger</w:t>
            </w:r>
          </w:p>
        </w:tc>
        <w:tc>
          <w:tcPr>
            <w:tcW w:w="653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0.158</w:t>
            </w:r>
          </w:p>
        </w:tc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1.053(0.980-1.132)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ebi-a-GCST010779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IVW</w:t>
            </w:r>
          </w:p>
        </w:tc>
        <w:tc>
          <w:tcPr>
            <w:tcW w:w="653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0.358</w:t>
            </w:r>
          </w:p>
        </w:tc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1.016(0.983-1.050)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8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MR-Egger</w:t>
            </w:r>
          </w:p>
        </w:tc>
        <w:tc>
          <w:tcPr>
            <w:tcW w:w="653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0.051</w:t>
            </w:r>
          </w:p>
        </w:tc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1.060(1.002-1.121)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ebi-a-GCST010780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IVW</w:t>
            </w:r>
          </w:p>
        </w:tc>
        <w:tc>
          <w:tcPr>
            <w:tcW w:w="653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131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0.332</w:t>
            </w:r>
          </w:p>
        </w:tc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0.984(0.952-1.017)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8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MR-Egger</w:t>
            </w:r>
          </w:p>
        </w:tc>
        <w:tc>
          <w:tcPr>
            <w:tcW w:w="653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0.520</w:t>
            </w:r>
          </w:p>
        </w:tc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1.024(0.954-1.098)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ebi-a-GCST010781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IVW</w:t>
            </w:r>
          </w:p>
        </w:tc>
        <w:tc>
          <w:tcPr>
            <w:tcW w:w="653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0.606</w:t>
            </w:r>
          </w:p>
        </w:tc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1.004(0.988-1.021)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8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MR-Egger</w:t>
            </w:r>
          </w:p>
        </w:tc>
        <w:tc>
          <w:tcPr>
            <w:tcW w:w="653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0.376</w:t>
            </w:r>
          </w:p>
        </w:tc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1.013(0.985-1.042)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ebi-a-GCST010782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IVW</w:t>
            </w:r>
          </w:p>
        </w:tc>
        <w:tc>
          <w:tcPr>
            <w:tcW w:w="653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133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0.020</w:t>
            </w:r>
          </w:p>
        </w:tc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0.985(0.973-0.998)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8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MR-Egger</w:t>
            </w:r>
          </w:p>
        </w:tc>
        <w:tc>
          <w:tcPr>
            <w:tcW w:w="653" w:type="pct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0.752</w:t>
            </w:r>
          </w:p>
        </w:tc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0.996(0.974-1.019)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ebi-a-GCST010783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IVW</w:t>
            </w:r>
          </w:p>
        </w:tc>
        <w:tc>
          <w:tcPr>
            <w:tcW w:w="653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108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0.413</w:t>
            </w:r>
          </w:p>
        </w:tc>
        <w:tc>
          <w:tcPr>
            <w:tcW w:w="1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1.007(0.990-1.025)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8" w:type="pct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84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MR-Egger</w:t>
            </w:r>
          </w:p>
        </w:tc>
        <w:tc>
          <w:tcPr>
            <w:tcW w:w="653" w:type="pct"/>
            <w:vMerge w:val="continue"/>
            <w:tcBorders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0.202</w:t>
            </w:r>
          </w:p>
        </w:tc>
        <w:tc>
          <w:tcPr>
            <w:tcW w:w="135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1.023(0.987-1.061)</w:t>
            </w:r>
          </w:p>
        </w:tc>
      </w:tr>
    </w:tbl>
    <w:p>
      <w:pPr>
        <w:jc w:val="both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Note: *The main analysis results of this study.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1YzQzNGJiMWE3YWMzZmIyYjcxYjExNGIxY2JiODcifQ=="/>
  </w:docVars>
  <w:rsids>
    <w:rsidRoot w:val="00000000"/>
    <w:rsid w:val="20CE6035"/>
    <w:rsid w:val="69437114"/>
    <w:rsid w:val="773E45F5"/>
    <w:rsid w:val="7A0B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DocSecurity>0</DocSecurity>
  <Lines>0</Lines>
  <Paragraphs>0</Paragraphs>
  <ScaleCrop>false</ScaleCrop>
  <LinksUpToDate>false</LinksUpToDate>
  <CharactersWithSpaces>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2024-01-29T08:19:00Z</dcterms:created>
  <dcterms:modified xsi:type="dcterms:W3CDTF">2024-02-05T06:04:54Z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94119C3DADB84EC78FD1DD0EF4EF970F_12</vt:lpwstr>
  </property>
</Properties>
</file>