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5"/>
        <w:tblpPr w:leftFromText="180" w:rightFromText="180" w:topFromText="180" w:bottomFromText="180" w:vertAnchor="text"/>
        <w:tblW w:w="15691" w:type="dxa"/>
        <w:tblInd w:w="0" w:type="dxa"/>
        <w:tblLayout w:type="fixed"/>
        <w:tblLook w:val="0600" w:firstRow="0" w:lastRow="0" w:firstColumn="0" w:lastColumn="0" w:noHBand="1" w:noVBand="1"/>
      </w:tblPr>
      <w:tblGrid>
        <w:gridCol w:w="2642"/>
        <w:gridCol w:w="3810"/>
        <w:gridCol w:w="6695"/>
        <w:gridCol w:w="2544"/>
      </w:tblGrid>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b/>
                <w:sz w:val="20"/>
                <w:szCs w:val="20"/>
              </w:rPr>
            </w:pPr>
            <w:bookmarkStart w:id="0" w:name="_Hlk163510472"/>
            <w:bookmarkStart w:id="1" w:name="_GoBack"/>
            <w:bookmarkEnd w:id="1"/>
            <w:r>
              <w:rPr>
                <w:rFonts w:ascii="Times New Roman" w:eastAsia="Times New Roman" w:hAnsi="Times New Roman" w:cs="Times New Roman"/>
                <w:b/>
                <w:sz w:val="20"/>
                <w:szCs w:val="20"/>
              </w:rPr>
              <w:t>Questions and categories</w:t>
            </w:r>
          </w:p>
        </w:tc>
        <w:tc>
          <w:tcPr>
            <w:tcW w:w="3810" w:type="dxa"/>
            <w:tcBorders>
              <w:top w:val="nil"/>
              <w:left w:val="nil"/>
              <w:bottom w:val="nil"/>
              <w:right w:val="nil"/>
            </w:tcBorders>
            <w:tcMar>
              <w:top w:w="43" w:type="dxa"/>
              <w:left w:w="43" w:type="dxa"/>
              <w:bottom w:w="43" w:type="dxa"/>
              <w:right w:w="43"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Subcategories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Description</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ind w:right="1042"/>
              <w:rPr>
                <w:rFonts w:ascii="Times New Roman" w:eastAsia="Times New Roman" w:hAnsi="Times New Roman" w:cs="Times New Roman"/>
                <w:b/>
                <w:sz w:val="20"/>
                <w:szCs w:val="20"/>
              </w:rPr>
            </w:pPr>
            <w:r>
              <w:rPr>
                <w:rFonts w:ascii="Times New Roman" w:eastAsia="Times New Roman" w:hAnsi="Times New Roman" w:cs="Times New Roman"/>
                <w:b/>
                <w:sz w:val="20"/>
                <w:szCs w:val="20"/>
              </w:rPr>
              <w:t>Sample size* and answers frequency (%)</w:t>
            </w:r>
          </w:p>
        </w:tc>
      </w:tr>
      <w:tr w:rsidR="00282D7C" w:rsidTr="00442708">
        <w:trPr>
          <w:trHeight w:val="170"/>
        </w:trPr>
        <w:tc>
          <w:tcPr>
            <w:tcW w:w="6452" w:type="dxa"/>
            <w:gridSpan w:val="2"/>
            <w:tcBorders>
              <w:top w:val="nil"/>
              <w:left w:val="nil"/>
              <w:bottom w:val="nil"/>
              <w:right w:val="nil"/>
            </w:tcBorders>
            <w:tcMar>
              <w:top w:w="40" w:type="dxa"/>
              <w:left w:w="40" w:type="dxa"/>
              <w:bottom w:w="40" w:type="dxa"/>
              <w:right w:w="40" w:type="dxa"/>
            </w:tcMar>
          </w:tcPr>
          <w:p w:rsidR="00282D7C" w:rsidRDefault="0088763A">
            <w:pPr>
              <w:spacing w:before="240" w:after="240" w:line="240" w:lineRule="auto"/>
              <w:ind w:right="3808"/>
              <w:rPr>
                <w:rFonts w:ascii="Times New Roman" w:eastAsia="Times New Roman" w:hAnsi="Times New Roman" w:cs="Times New Roman"/>
                <w:b/>
                <w:sz w:val="20"/>
                <w:szCs w:val="20"/>
              </w:rPr>
            </w:pPr>
            <w:r>
              <w:rPr>
                <w:rFonts w:ascii="Times New Roman" w:eastAsia="Times New Roman" w:hAnsi="Times New Roman" w:cs="Times New Roman"/>
                <w:b/>
                <w:sz w:val="20"/>
                <w:szCs w:val="20"/>
              </w:rPr>
              <w:t>What is(are) the main factor(s) driving the need for management?</w:t>
            </w: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b/>
                <w:sz w:val="20"/>
                <w:szCs w:val="20"/>
              </w:rPr>
            </w:pPr>
          </w:p>
          <w:p w:rsidR="00282D7C" w:rsidRDefault="00282D7C">
            <w:pPr>
              <w:spacing w:line="240" w:lineRule="auto"/>
              <w:rPr>
                <w:rFonts w:ascii="Times New Roman" w:eastAsia="Times New Roman" w:hAnsi="Times New Roman" w:cs="Times New Roman"/>
                <w:b/>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b/>
                <w:sz w:val="20"/>
                <w:szCs w:val="20"/>
              </w:rPr>
            </w:pPr>
          </w:p>
          <w:p w:rsidR="00282D7C" w:rsidRDefault="0088763A">
            <w:pPr>
              <w:spacing w:line="240" w:lineRule="auto"/>
              <w:ind w:right="1042"/>
              <w:rPr>
                <w:rFonts w:ascii="Times New Roman" w:eastAsia="Times New Roman" w:hAnsi="Times New Roman" w:cs="Times New Roman"/>
                <w:b/>
                <w:sz w:val="20"/>
                <w:szCs w:val="20"/>
              </w:rPr>
            </w:pPr>
            <w:r>
              <w:rPr>
                <w:rFonts w:ascii="Times New Roman" w:eastAsia="Times New Roman" w:hAnsi="Times New Roman" w:cs="Times New Roman"/>
                <w:b/>
                <w:sz w:val="20"/>
                <w:szCs w:val="20"/>
              </w:rPr>
              <w:t>n = 316</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Subsistence exploitation</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Utilization of resources from a territory for the subsistence of a particular group; does not include subsistence activities related to aquatic ecosystems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26.9</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Commercial/industrial exploitation</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Utilization of resources from a territory for activities involving commerce, industry, tourism, recreation, and similar purposes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27.5</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Threat to cultures, peoples and traditional knowledge</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Material or immaterial threats to traditional peoples, jeopardizing the survival of their cultures, knowledge, and ways of life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Explicit threat to biodiversity conservation</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Threats to biodiversity, ecological balance, and/or ecosystem services, such as extinction of endemic species, spread of invasive species, forest fires, and land use changes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22.2</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Need for adaptation to climate change</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Conflicts specifically mentioning demands for adaptation and mitigation of the effects of climate change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Threat to aquatic ecosystems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Utilization of aquatic ecosystems (marine or freshwater) for subsistence, commercial, tourism, or recreational activities, at either a community or industrial scale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General demands of urban centers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Threats arising from uncontrolled population and urban growth or urban management aiming to make cities or certain activities and sectors within them more sustainable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Land ownership rights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Disputes involving use, possession, or ownership of territories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Others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282D7C" w:rsidTr="00442708">
        <w:trPr>
          <w:trHeight w:val="170"/>
        </w:trPr>
        <w:tc>
          <w:tcPr>
            <w:tcW w:w="6452" w:type="dxa"/>
            <w:gridSpan w:val="2"/>
            <w:tcBorders>
              <w:top w:val="nil"/>
              <w:left w:val="nil"/>
              <w:bottom w:val="nil"/>
              <w:right w:val="nil"/>
            </w:tcBorders>
            <w:tcMar>
              <w:top w:w="40" w:type="dxa"/>
              <w:left w:w="40" w:type="dxa"/>
              <w:bottom w:w="40" w:type="dxa"/>
              <w:right w:w="40" w:type="dxa"/>
            </w:tcMar>
          </w:tcPr>
          <w:p w:rsidR="00282D7C" w:rsidRDefault="0088763A">
            <w:pPr>
              <w:spacing w:before="200" w:line="240" w:lineRule="auto"/>
              <w:ind w:right="3808"/>
              <w:rPr>
                <w:rFonts w:ascii="Times New Roman" w:eastAsia="Times New Roman" w:hAnsi="Times New Roman" w:cs="Times New Roman"/>
                <w:sz w:val="20"/>
                <w:szCs w:val="20"/>
              </w:rPr>
            </w:pPr>
            <w:r>
              <w:rPr>
                <w:rFonts w:ascii="Times New Roman" w:eastAsia="Times New Roman" w:hAnsi="Times New Roman" w:cs="Times New Roman"/>
                <w:b/>
                <w:sz w:val="20"/>
                <w:szCs w:val="20"/>
              </w:rPr>
              <w:t>What are the methodologies employed in the studies?</w:t>
            </w: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p w:rsidR="00282D7C" w:rsidRDefault="0088763A">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 = 311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Structured interviews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Application of structured interviews among stakeholders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Semi-structured interviews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Application of semi-structured interviews among stakeholders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Unstructured interviews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Application of unstructured or exploratory interviews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Focus groups/ meetings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Conducting meetings, focus groups, workshops, or similar activities with stakeholders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17.4</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Analysis of public documentation</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Analysis of public documents, such as reports, institutional texts, laws, regulations, images, maps, etc.</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of the developed project</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Works describing, based on long-term observation, management processes developed by academics, NGOs, businesses, governments, or other agents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Participant observation</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Field trips and on-site observation of the local reality, including meetings, and events related to management, with interference from the researchers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Non-participant observation</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Field trips and on-site observation of the local reality, including meetings, and events related to management, without interference from the researchers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Literature review</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Analysis of previous works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Primary data collection</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Techniques and tools for gathering new ecological or geographical information about the study area, such as aerial observations, land use studies, remote sensing, georeferencing, collection and analysis of biological material or socio-economic and demographic data, etc.</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Participatory tools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Application of participatory tools among stakeholders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Others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before="20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What is the level of involvement of civil society?</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p w:rsidR="00282D7C" w:rsidRDefault="00282D7C">
            <w:pPr>
              <w:spacing w:line="240" w:lineRule="auto"/>
              <w:rPr>
                <w:rFonts w:ascii="Times New Roman" w:eastAsia="Times New Roman" w:hAnsi="Times New Roman" w:cs="Times New Roman"/>
                <w:b/>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p w:rsidR="00282D7C" w:rsidRDefault="0088763A">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 = 123</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Non-governmental stakeholders notably influence public policies and/or decision-making processes in management, whether or not they participate in management groups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20.3</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Intermediate</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of non-governmental stakeholders in management activities, such as meetings or discussions, achieves a relative or occasional effectiveness in management</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44.7</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Low</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Non-governmental stakeholders, especially the most vulnerable, are underrepresented or excluded from management, whether in meetings, decision-making processes, or diagnostic studies, or, even if they participate, they have minimal or no influence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282D7C" w:rsidTr="00442708">
        <w:trPr>
          <w:trHeight w:val="400"/>
        </w:trPr>
        <w:tc>
          <w:tcPr>
            <w:tcW w:w="6452" w:type="dxa"/>
            <w:gridSpan w:val="2"/>
            <w:tcBorders>
              <w:top w:val="nil"/>
              <w:left w:val="nil"/>
              <w:bottom w:val="nil"/>
              <w:right w:val="nil"/>
            </w:tcBorders>
            <w:tcMar>
              <w:top w:w="40" w:type="dxa"/>
              <w:left w:w="40" w:type="dxa"/>
              <w:bottom w:w="40" w:type="dxa"/>
              <w:right w:w="40" w:type="dxa"/>
            </w:tcMar>
          </w:tcPr>
          <w:p w:rsidR="00282D7C" w:rsidRDefault="0088763A">
            <w:pPr>
              <w:spacing w:before="200" w:line="240" w:lineRule="auto"/>
              <w:ind w:right="3808"/>
              <w:rPr>
                <w:rFonts w:ascii="Times New Roman" w:eastAsia="Times New Roman" w:hAnsi="Times New Roman" w:cs="Times New Roman"/>
                <w:sz w:val="20"/>
                <w:szCs w:val="20"/>
              </w:rPr>
            </w:pPr>
            <w:r>
              <w:rPr>
                <w:rFonts w:ascii="Times New Roman" w:eastAsia="Times New Roman" w:hAnsi="Times New Roman" w:cs="Times New Roman"/>
                <w:b/>
                <w:sz w:val="20"/>
                <w:szCs w:val="20"/>
              </w:rPr>
              <w:t>What is the level of involvement of traditional communities?</w:t>
            </w: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p w:rsidR="00282D7C" w:rsidRDefault="0088763A">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 = 46</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Members of traditional communities notably influence public policies and/or decision-making in management, whether or not they participate in management groups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23.9</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Intermediate</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of members of traditional communities in management activities, such as meetings or discussions, achieves relative or occasional effectiveness in management</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34.8</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Low</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Traditional communities are underrepresented or excluded from management, whether in meetings, decision-making processes, or diagnostic studies, or, despite their participation, they have minimal or no influence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41.3</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before="20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What are the difficulties encountered in management?</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p w:rsidR="00282D7C" w:rsidRDefault="0088763A">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 = 492</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and Representation</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Lack of community social cohesion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Members of local </w:t>
            </w:r>
            <w:proofErr w:type="gramStart"/>
            <w:r>
              <w:rPr>
                <w:rFonts w:ascii="Times New Roman" w:eastAsia="Times New Roman" w:hAnsi="Times New Roman" w:cs="Times New Roman"/>
                <w:sz w:val="20"/>
                <w:szCs w:val="20"/>
              </w:rPr>
              <w:t>communities</w:t>
            </w:r>
            <w:proofErr w:type="gramEnd"/>
            <w:r>
              <w:rPr>
                <w:rFonts w:ascii="Times New Roman" w:eastAsia="Times New Roman" w:hAnsi="Times New Roman" w:cs="Times New Roman"/>
                <w:sz w:val="20"/>
                <w:szCs w:val="20"/>
              </w:rPr>
              <w:t xml:space="preserve"> lack consensus or collective identity</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Lack of significant representation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Local communities are not significantly represented in decision-making</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10.2</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Difficulties in sustaining continuous interest and involvement</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Difficulty in maintaining long-term engagement of local communities in management</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Gender disparities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Gender-related differences in the level of participation among stakeholders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Logistical challenges for vulnerable individuals to participate</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Vulnerable participants face logistical barriers to engage in management, such as time constraints, transportation difficulties, childcare needs, etc.</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Knowledge, Skills, and Communication</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Ineffective communication between managers and community members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Communication between managers and community members encounters logistical, linguistic, technological, and other barriers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Legal unawareness among community members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Community members are unaware of their legal rights or duties related to management or resource use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Isolation between formal knowledge fields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Low or no interdisciplinary collaboration among fields of knowledge involved in management, reducing synergy among the actions of different professionals (managers, ecologists, educators, social communicators, etc.)</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Excluding dominant cultural capital</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Exclusion and invalidation, complete or partial, of popular or traditional knowledge in favor of scientific knowledge or hegemonic ways of speaking and doing</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Management and Institutions</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Absence of community-level organizations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Local community organizations either do not exist, are inactive, or are not representative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Financial contribution requirement for participation in management groups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in management groups is contingent upon financial contributions from stakeholders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Lack of oversight on law enforcement</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Law enforcement actions are either non-existent or insufficient</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Need for cross-border action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spatial boundaries of management extend beyond political (municipal, state, or national) or cultural (territories inhabited by groups belonging to different cultures) borders, further complicating stakeholder coordination</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Uncertainty regarding jurisdictional division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There are overlaps or uncertainties regarding jurisdictional division</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Political insecurity</w:t>
            </w:r>
          </w:p>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integral and continuous performance of public authorities is not observed, whether due to neglect of their responsibilities, abuses of power, corruption, or mismanagement</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Budgetary constraints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Budget constraints limit the organization, development, or implementation of management actions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r>
      <w:tr w:rsidR="00282D7C" w:rsidTr="00442708">
        <w:trPr>
          <w:trHeight w:val="405"/>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Divergent Interests</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Explicitly due to high socioeconomic vulnerability</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Divergences between opinions and interests arise from the vulnerable situation of some participants, involving the need to exploit resources for subsistence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Not explicitly due to high socioeconomic vulnerability</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 xml:space="preserve">Divergences between opinions and interests involving commercial or industrial exploitation of natural resources not associated with subsistence </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Distrust</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Distrust</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Difficulty in building trust relationships among stakeholders, often due to a history of conflicts or social exclusion</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Legality and Authorization</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Illegality of exploitation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Exploratory activities are legally prohibited or, if allowed, are conducted without proper authorizations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Difficult-to-access authorization for exploitation for the most vulnerable</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most vulnerable people do not have the material or logistical means to regularize their use of resources, usually involving payments, time and/or displacement</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282D7C" w:rsidTr="00442708">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Insufficient environmental legislation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Environmental legislation on the use of resources and land is insufficient or non-existent to support restrictions or sustainable use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282D7C" w:rsidTr="00442708">
        <w:trPr>
          <w:trHeight w:val="364"/>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Inadequacy of restrictive measures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Restrictive measures are arbitrary, disregard the interests of socioeconomically vulnerable individuals, or lack scientific basis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r>
      <w:tr w:rsidR="00282D7C" w:rsidTr="00442708">
        <w:trPr>
          <w:trHeight w:val="400"/>
        </w:trPr>
        <w:tc>
          <w:tcPr>
            <w:tcW w:w="6452" w:type="dxa"/>
            <w:gridSpan w:val="2"/>
            <w:tcBorders>
              <w:top w:val="nil"/>
              <w:left w:val="nil"/>
              <w:bottom w:val="nil"/>
              <w:right w:val="nil"/>
            </w:tcBorders>
            <w:tcMar>
              <w:top w:w="40" w:type="dxa"/>
              <w:left w:w="40" w:type="dxa"/>
              <w:bottom w:w="40" w:type="dxa"/>
              <w:right w:w="40" w:type="dxa"/>
            </w:tcMar>
          </w:tcPr>
          <w:p w:rsidR="00282D7C" w:rsidRDefault="0088763A">
            <w:pPr>
              <w:spacing w:before="200" w:line="240" w:lineRule="auto"/>
              <w:ind w:right="3808"/>
              <w:rPr>
                <w:rFonts w:ascii="Times New Roman" w:eastAsia="Times New Roman" w:hAnsi="Times New Roman" w:cs="Times New Roman"/>
                <w:sz w:val="20"/>
                <w:szCs w:val="20"/>
              </w:rPr>
            </w:pPr>
            <w:r>
              <w:rPr>
                <w:rFonts w:ascii="Times New Roman" w:eastAsia="Times New Roman" w:hAnsi="Times New Roman" w:cs="Times New Roman"/>
                <w:b/>
                <w:sz w:val="20"/>
                <w:szCs w:val="20"/>
              </w:rPr>
              <w:t>What factors influence participation?</w:t>
            </w: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p w:rsidR="00282D7C" w:rsidRDefault="0088763A">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 = 33</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Landownership size</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tends to increase when the stakeholder's land ownership is larger</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Perception of species abundance or ecosystem services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tends to increase when there is a greater individual perception of the wealth and ecological importance of the territory</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Length of residency in the area</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tends to increase when the stakeholder's length of residency in the territory is longer</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Expectation of future permanence in the territory</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tends to increase when there is a greater expectation of future permanence in the territory</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Economic class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tends to increase as the economic class of the participants rises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15.2</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Proximity of public agencies to the location</w:t>
            </w:r>
          </w:p>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tends to increase as the scale of action of the involved public agencies decreases, facilitating contact and dialogue with their representatives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Age</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tends to increase when the stakeholders are younger</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Gender</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Women tend to participate less in management</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Educational level</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tends to increase as the educational level of the stakeholders rises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Family size or demands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tends to increase as the size of the families of the participants and their respective demands increase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Sociocultural precepts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The level of participation tends to vary in accordance with sociocultural precepts and expectations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Others</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before="20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What results have been achieved?</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p w:rsidR="00282D7C" w:rsidRDefault="0088763A">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 = 203</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Advancements in management practices</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Increased participation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Increased social participation in management over time</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21.7</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Population influences public policies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Observed popular influence in shaping public policies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Development of agreement(s) collectively</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Joint development of agreements among stakeholders observed</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12.3</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Expansion of partnerships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Partnerships between governmental or non-governmental stakeholders created or expanded</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18.2</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More efficient public policies or management</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Increased efficiency of public policies or management observed</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Advancements in environmental awareness</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Increased visibility of the conflict</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Expanded understanding of conflicts associated with the territory among stakeholders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14.3</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More socio-environmentally just attitudes and behaviors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Adoption of more sustainable and just socio-environmental behaviors observed</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10.8</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Advancements in ecological indicators</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Advancements in ecological indicators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Positive results from ecological indicators assessments were observed, such as improvements in water or air quality indices, increased biodiversity, etc.</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13.3</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Advancements in socioeconomic conditions for the most vulnerable</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Advancements in socioeconomic conditions for the most vulnerable</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Improvements in the socioeconomic contexts of the most vulnerable participants observed</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before="20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Which strategies were employed?</w:t>
            </w:r>
          </w:p>
        </w:tc>
        <w:tc>
          <w:tcPr>
            <w:tcW w:w="3810"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6695"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tc>
        <w:tc>
          <w:tcPr>
            <w:tcW w:w="2544" w:type="dxa"/>
            <w:tcBorders>
              <w:top w:val="nil"/>
              <w:left w:val="nil"/>
              <w:bottom w:val="nil"/>
              <w:right w:val="nil"/>
            </w:tcBorders>
            <w:tcMar>
              <w:top w:w="40" w:type="dxa"/>
              <w:left w:w="40" w:type="dxa"/>
              <w:bottom w:w="40" w:type="dxa"/>
              <w:right w:w="40" w:type="dxa"/>
            </w:tcMar>
          </w:tcPr>
          <w:p w:rsidR="00282D7C" w:rsidRDefault="00282D7C">
            <w:pPr>
              <w:spacing w:line="240" w:lineRule="auto"/>
              <w:rPr>
                <w:rFonts w:ascii="Times New Roman" w:eastAsia="Times New Roman" w:hAnsi="Times New Roman" w:cs="Times New Roman"/>
                <w:sz w:val="20"/>
                <w:szCs w:val="20"/>
              </w:rPr>
            </w:pPr>
          </w:p>
          <w:p w:rsidR="00282D7C" w:rsidRDefault="0088763A">
            <w:pP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 = 325</w:t>
            </w:r>
          </w:p>
        </w:tc>
      </w:tr>
      <w:tr w:rsidR="00282D7C" w:rsidTr="00442708">
        <w:trPr>
          <w:trHeight w:val="353"/>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Training and Capacity Building</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Training in sustainable management</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Stakeholder participation in training sessions regarding sustainable management of available resources in the territories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Training in negotiation, participation, or management skills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Stakeholder participation in training sessions regarding negotiation, participation, or management skills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Carrying out actions beyond meeting and training sessions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Stakeholder meetings for conducting other activities, theoretical or practical, such as studies or knowledge sharing, environmental education campaigns, community structure building, etc.</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Communication and Outreach</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Raising awareness among stakeholders regarding ecological aspects of management</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Conducting environmental awareness activities targeted towards stakeholders </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Raising awareness among stakeholders about the importance of participation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Conducting awareness-raising activities related to the importance of social participation</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Specific pre-training for the upcoming meeting</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Individual or collective preparation and training, by sharing information or study materials, for participation in future actions, in order to level out knowledge and expectations </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Scientific dissemination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Implementation of scientific outreach activities, whether in person or through media channels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Use of information and communication technologies (ICT)</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Utilization of information and communication technologies to facilitate dialogue, dissemination, and transparency of management actions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Utilization of communication channels targeting general audiences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Use of communication channels aiming for the broadest possible reach, without a defined audience, such as television, radio, randomly distributed or displayed printed materials, etc.</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Utilization of communication channels targeting specific audiences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Utilization of communication channels targeting well-defined audiences, relevant to management interests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after="20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Management transparency</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Utilization of methods and tools that enhance management transparency, facilitating access to all required information</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Communication between public bodies operating at different levels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Constant contact and dialogue between public institutions involved in management</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4.3</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and Interaction</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Meetings between environmental agents and smaller stakeholder groups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Meetings between environmental agents and small groups of stakeholders or each individual stakeholder, aiming to minimize tensions and enhance trust bonds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Context-specific approach for each community</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Consideration of local socioeconomic, cultural, and political context for short-term decision-making, such as setting dates, locations, and objectives of activities, or long-term decision-making, such as defining management plans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Diversity of participating stakeholders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Inclusion of representatives from various stakeholder groups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12.3</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Valuing small victories/steps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Recognition and appreciation of the success of specific actions and completion of cycles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Material facilitation for participation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Material assistance to support the participation in management activities of those most vulnerable, such as financial compensation, availability of transportation, food, and other items or services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Involvement of strong governmental institutions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Involvement of relevant and effective governmental public institutions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Involvement of local leaders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Action by locally recognized leaders, whether in intermediation between the community and other stakeholders or in management</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Interaction between government spheres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Effective coordination of actions carried out by different governmental spheres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Involvement of groups not directly linked to management</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of groups not necessarily involved in management, such as students, teachers, religious groups, etc.</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Laws and Regulations</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Enactment/enforcement of laws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Development and publication of laws that restrict conflicts and environmental damage or contribute to the advancement of management</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Legal requirement linking the allocation of certain environmental investments to the existence of public councils or similar bodies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Allocation of investments to management contingent upon the creation and maintenance of public and participatory councils or similar bodies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Land expropriation</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Transfer of properties to the public authority or removal of occupants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Greater restrictions for non-natives than for natives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Implementation of restrictions with varying weights for native and non-native residents, taking into account the subsistence needs of the former and cultural aspects that bind them to the area</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r>
      <w:tr w:rsidR="00282D7C" w:rsidTr="00442708">
        <w:trPr>
          <w:trHeight w:val="170"/>
        </w:trPr>
        <w:tc>
          <w:tcPr>
            <w:tcW w:w="2642"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Benefits for Participants</w:t>
            </w: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Material favoring</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Generating concrete benefits for stakeholders, such as job creation, payment for environmental services, etc.</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Increased provision of ecosystem services</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Increase of the supply of ecosystem services as a result of conservation efforts</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282D7C" w:rsidTr="00442708">
        <w:trPr>
          <w:trHeight w:val="170"/>
        </w:trPr>
        <w:tc>
          <w:tcPr>
            <w:tcW w:w="2642" w:type="dxa"/>
            <w:tcBorders>
              <w:top w:val="nil"/>
              <w:left w:val="nil"/>
              <w:bottom w:val="nil"/>
              <w:right w:val="nil"/>
            </w:tcBorders>
          </w:tcPr>
          <w:p w:rsidR="00282D7C" w:rsidRDefault="00282D7C">
            <w:pPr>
              <w:spacing w:line="240" w:lineRule="auto"/>
              <w:rPr>
                <w:rFonts w:ascii="Times New Roman" w:eastAsia="Times New Roman" w:hAnsi="Times New Roman" w:cs="Times New Roman"/>
                <w:sz w:val="20"/>
                <w:szCs w:val="20"/>
              </w:rPr>
            </w:pPr>
          </w:p>
        </w:tc>
        <w:tc>
          <w:tcPr>
            <w:tcW w:w="3810"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Greater empowerment and personal or social autonomy</w:t>
            </w:r>
          </w:p>
        </w:tc>
        <w:tc>
          <w:tcPr>
            <w:tcW w:w="6695"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Development by stakeholders of knowledge and skills related to personal and social empowerment and autonomy</w:t>
            </w:r>
          </w:p>
        </w:tc>
        <w:tc>
          <w:tcPr>
            <w:tcW w:w="2544" w:type="dxa"/>
            <w:tcBorders>
              <w:top w:val="nil"/>
              <w:left w:val="nil"/>
              <w:bottom w:val="nil"/>
              <w:right w:val="nil"/>
            </w:tcBorders>
            <w:tcMar>
              <w:top w:w="40" w:type="dxa"/>
              <w:left w:w="40" w:type="dxa"/>
              <w:bottom w:w="40" w:type="dxa"/>
              <w:right w:w="40" w:type="dxa"/>
            </w:tcMar>
          </w:tcPr>
          <w:p w:rsidR="00282D7C" w:rsidRDefault="0088763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bl>
    <w:bookmarkEnd w:id="0"/>
    <w:p w:rsidR="00282D7C" w:rsidRDefault="0088763A">
      <w:pPr>
        <w:rPr>
          <w:rFonts w:ascii="Times New Roman" w:eastAsia="Times New Roman" w:hAnsi="Times New Roman" w:cs="Times New Roman"/>
          <w:sz w:val="20"/>
          <w:szCs w:val="20"/>
        </w:rPr>
      </w:pPr>
      <w:r>
        <w:rPr>
          <w:rFonts w:ascii="Times New Roman" w:eastAsia="Times New Roman" w:hAnsi="Times New Roman" w:cs="Times New Roman"/>
          <w:sz w:val="20"/>
          <w:szCs w:val="20"/>
        </w:rPr>
        <w:t>* The sample size responding to each question corresponds to the total number of valid answers for that question, and not to the number of case studies that addressed the question, as there is overlap of answers to the same question within the same case study.</w:t>
      </w:r>
    </w:p>
    <w:sectPr w:rsidR="00282D7C">
      <w:headerReference w:type="default" r:id="rId7"/>
      <w:pgSz w:w="16834" w:h="11909" w:orient="landscape"/>
      <w:pgMar w:top="1134" w:right="1134" w:bottom="1134" w:left="1134"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5607" w:rsidRDefault="009E5607">
      <w:pPr>
        <w:spacing w:line="240" w:lineRule="auto"/>
      </w:pPr>
      <w:r>
        <w:separator/>
      </w:r>
    </w:p>
  </w:endnote>
  <w:endnote w:type="continuationSeparator" w:id="0">
    <w:p w:rsidR="009E5607" w:rsidRDefault="009E5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5607" w:rsidRDefault="009E5607">
      <w:pPr>
        <w:spacing w:line="240" w:lineRule="auto"/>
      </w:pPr>
      <w:r>
        <w:separator/>
      </w:r>
    </w:p>
  </w:footnote>
  <w:footnote w:type="continuationSeparator" w:id="0">
    <w:p w:rsidR="009E5607" w:rsidRDefault="009E56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2D7C" w:rsidRDefault="0088763A">
    <w:pPr>
      <w:jc w:val="right"/>
    </w:pPr>
    <w:r>
      <w:fldChar w:fldCharType="begin"/>
    </w:r>
    <w:r>
      <w:instrText>PAGE</w:instrText>
    </w:r>
    <w:r>
      <w:fldChar w:fldCharType="separate"/>
    </w:r>
    <w:r w:rsidR="003C75CA">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D7C"/>
    <w:rsid w:val="00282D7C"/>
    <w:rsid w:val="003C75CA"/>
    <w:rsid w:val="00442708"/>
    <w:rsid w:val="0088763A"/>
    <w:rsid w:val="009E56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203BB"/>
  <w15:docId w15:val="{E13C8C24-FFCC-45FB-A5F3-F5905CEC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pt-B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32D7"/>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200" w:line="360" w:lineRule="auto"/>
      <w:ind w:left="720" w:hanging="360"/>
      <w:jc w:val="both"/>
    </w:pPr>
    <w:rPr>
      <w:b/>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ubttulo">
    <w:name w:val="Subtitle"/>
    <w:basedOn w:val="Normal"/>
    <w:next w:val="Normal"/>
    <w:pPr>
      <w:keepNext/>
      <w:keepLines/>
      <w:spacing w:line="360" w:lineRule="auto"/>
      <w:ind w:left="1440" w:hanging="360"/>
      <w:jc w:val="both"/>
    </w:pPr>
    <w:rPr>
      <w:rFonts w:ascii="Calibri" w:eastAsia="Calibri" w:hAnsi="Calibri" w:cs="Calibri"/>
      <w:b/>
      <w:sz w:val="26"/>
      <w:szCs w:val="26"/>
    </w:rPr>
  </w:style>
  <w:style w:type="table" w:customStyle="1" w:styleId="a">
    <w:basedOn w:val="TableNormal2"/>
    <w:tblPr>
      <w:tblStyleRowBandSize w:val="1"/>
      <w:tblStyleColBandSize w:val="1"/>
      <w:tblCellMar>
        <w:top w:w="100" w:type="dxa"/>
        <w:left w:w="100" w:type="dxa"/>
        <w:bottom w:w="100" w:type="dxa"/>
        <w:right w:w="100"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AC2E33"/>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C2E33"/>
    <w:rPr>
      <w:rFonts w:ascii="Segoe UI" w:hAnsi="Segoe UI" w:cs="Segoe UI"/>
      <w:sz w:val="18"/>
      <w:szCs w:val="18"/>
    </w:r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character" w:styleId="Nmerodelinha">
    <w:name w:val="line number"/>
    <w:basedOn w:val="Fontepargpadro"/>
    <w:uiPriority w:val="99"/>
    <w:semiHidden/>
    <w:unhideWhenUsed/>
    <w:rsid w:val="004C6B07"/>
  </w:style>
  <w:style w:type="paragraph" w:styleId="PargrafodaLista">
    <w:name w:val="List Paragraph"/>
    <w:basedOn w:val="Normal"/>
    <w:uiPriority w:val="34"/>
    <w:qFormat/>
    <w:rsid w:val="00486853"/>
    <w:pPr>
      <w:ind w:left="720"/>
      <w:contextualSpacing/>
    </w:p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DfkQ2XVfyxZHuKivrzFoc+mHtw==">CgMxLjA4AHIhMTJYVkJhUm5sX182NEVkOTIxS0pKcnJxMWw2M09KUnE5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2652</Words>
  <Characters>14325</Characters>
  <Application>Microsoft Office Word</Application>
  <DocSecurity>0</DocSecurity>
  <Lines>119</Lines>
  <Paragraphs>33</Paragraphs>
  <ScaleCrop>false</ScaleCrop>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Livia Comini</dc:creator>
  <cp:lastModifiedBy>Luisa Souza</cp:lastModifiedBy>
  <cp:revision>3</cp:revision>
  <dcterms:created xsi:type="dcterms:W3CDTF">2024-03-29T21:09:00Z</dcterms:created>
  <dcterms:modified xsi:type="dcterms:W3CDTF">2024-04-09T03:00:00Z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http://www.zotero.org/styles/associacao-brasileira-de-normas-tecnicas</vt:lpwstr>
  </property>
  <property fmtid="{D5CDD505-2E9C-101B-9397-08002B2CF9AE}" pid="9" name="Mendeley Recent Style Name 3_1">
    <vt:lpwstr>Associação Brasileira de Normas Técnicas (Portuguese - Brazil)</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http://www.zotero.org/styles/universidade-federal-de-pernambuco-abnt</vt:lpwstr>
  </property>
  <property fmtid="{D5CDD505-2E9C-101B-9397-08002B2CF9AE}" pid="17" name="Mendeley Recent Style Name 7_1">
    <vt:lpwstr>Universidade Federal de Pernambuco - ABNT (Portuguese - Brazil)</vt:lpwstr>
  </property>
  <property fmtid="{D5CDD505-2E9C-101B-9397-08002B2CF9AE}" pid="18" name="Mendeley Recent Style Id 8_1">
    <vt:lpwstr>http://www.zotero.org/styles/associacao-brasileira-de-normas-tecnicas-ufrgs-initials</vt:lpwstr>
  </property>
  <property fmtid="{D5CDD505-2E9C-101B-9397-08002B2CF9AE}" pid="19" name="Mendeley Recent Style Name 8_1">
    <vt:lpwstr>Universidade Federal do Rio Grande do Sul - ABNT (autoria abreviada) (Portuguese - Brazil)</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ABNT (autoria completa) (Portuguese - Brazil)</vt:lpwstr>
  </property>
  <property fmtid="{D5CDD505-2E9C-101B-9397-08002B2CF9AE}" pid="22" name="Mendeley Document_1">
    <vt:lpwstr>True</vt:lpwstr>
  </property>
  <property fmtid="{D5CDD505-2E9C-101B-9397-08002B2CF9AE}" pid="23" name="Mendeley Unique User Id_1">
    <vt:lpwstr>ee9b15cc-ffd3-3507-bee0-3cc9491f5ccf</vt:lpwstr>
  </property>
  <property fmtid="{D5CDD505-2E9C-101B-9397-08002B2CF9AE}" pid="24" name="Mendeley Citation Style_1">
    <vt:lpwstr>http://www.zotero.org/styles/environmental-management</vt:lpwstr>
  </property>
</Properties>
</file>