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1A50B" w14:textId="15C2E424" w:rsidR="009756F2" w:rsidRPr="00A51BC5" w:rsidRDefault="000B3D27" w:rsidP="00DC2CD8">
      <w:pPr>
        <w:pStyle w:val="ListParagraph"/>
        <w:tabs>
          <w:tab w:val="left" w:pos="450"/>
        </w:tabs>
        <w:spacing w:after="120" w:line="360" w:lineRule="auto"/>
        <w:ind w:left="0"/>
        <w:rPr>
          <w:rFonts w:asciiTheme="majorBidi" w:hAnsiTheme="majorBidi" w:cstheme="majorBidi"/>
          <w:b/>
          <w:bCs/>
        </w:rPr>
      </w:pPr>
      <w:r w:rsidRPr="000B3D27">
        <w:rPr>
          <w:rFonts w:asciiTheme="majorBidi" w:hAnsiTheme="majorBidi" w:cstheme="majorBidi"/>
          <w:b/>
          <w:bCs/>
        </w:rPr>
        <w:t>Supplementary file 2</w:t>
      </w:r>
      <w:r w:rsidR="00A51BC5" w:rsidRPr="00A51BC5">
        <w:rPr>
          <w:rFonts w:asciiTheme="majorBidi" w:hAnsiTheme="majorBidi" w:cstheme="majorBidi"/>
          <w:b/>
          <w:bCs/>
        </w:rPr>
        <w:t xml:space="preserve"> </w:t>
      </w:r>
    </w:p>
    <w:p w14:paraId="62239A0C" w14:textId="77777777" w:rsidR="00A51BC5" w:rsidRPr="00A51BC5" w:rsidRDefault="00A51BC5" w:rsidP="00DC2CD8">
      <w:pPr>
        <w:pStyle w:val="ListParagraph"/>
        <w:tabs>
          <w:tab w:val="left" w:pos="450"/>
        </w:tabs>
        <w:spacing w:after="120" w:line="360" w:lineRule="auto"/>
        <w:ind w:left="0"/>
        <w:rPr>
          <w:rFonts w:asciiTheme="majorBidi" w:hAnsiTheme="majorBidi" w:cstheme="majorBidi"/>
          <w:b/>
          <w:bCs/>
        </w:rPr>
      </w:pPr>
    </w:p>
    <w:p w14:paraId="36D18501" w14:textId="77777777" w:rsidR="009756F2" w:rsidRPr="00A51BC5" w:rsidRDefault="009756F2" w:rsidP="009756F2">
      <w:pPr>
        <w:pStyle w:val="ListParagraph"/>
        <w:numPr>
          <w:ilvl w:val="2"/>
          <w:numId w:val="5"/>
        </w:numPr>
        <w:spacing w:before="120" w:line="360" w:lineRule="auto"/>
        <w:ind w:left="629" w:hanging="595"/>
        <w:jc w:val="both"/>
        <w:rPr>
          <w:rFonts w:asciiTheme="majorBidi" w:hAnsiTheme="majorBidi" w:cstheme="majorBidi"/>
          <w:b/>
          <w:bCs/>
        </w:rPr>
      </w:pPr>
      <w:r w:rsidRPr="00A51BC5">
        <w:rPr>
          <w:rFonts w:asciiTheme="majorBidi" w:hAnsiTheme="majorBidi" w:cstheme="majorBidi"/>
          <w:b/>
          <w:bCs/>
        </w:rPr>
        <w:t xml:space="preserve">Estimation of yield stability parameters </w:t>
      </w:r>
    </w:p>
    <w:p w14:paraId="1EE848E3"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The GGE biplot was estimated according to the symmetrical scaling method, which uses singular value partitioning of the first two principal components analysis </w:t>
      </w:r>
      <w:r w:rsidRPr="00A51BC5">
        <w:t xml:space="preserve">(IPCA)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&lt;EndNote&gt;&lt;Cite&gt;&lt;Author&gt;Yan&lt;/Author&gt;&lt;Year&gt;2002&lt;/Year&gt;&lt;RecNum&gt;306&lt;/RecNum&gt;&lt;DisplayText&gt;(Yan, 2002)&lt;/DisplayText&gt;&lt;record&gt;&lt;rec-number&gt;306&lt;/rec-number&gt;&lt;foreign-keys&gt;&lt;key app="EN" db-id="2x9evwr2lvas5eevfp6v5eea2rfv5faevsdz" timestamp="1617619555" guid="9cc0f1fd-97e9-4ac2-bc56-d49a33bf2de6"&gt;306&lt;/key&gt;&lt;/foreign-keys&gt;&lt;ref-type name="Book"&gt;6&lt;/ref-type&gt;&lt;contributors&gt;&lt;authors&gt;&lt;author&gt;Yan, Weikai and Kang Manjit S.&lt;/author&gt;&lt;/authors&gt;&lt;/contributors&gt;&lt;titles&gt;&lt;title&gt;GGE biplot analysis : a graphical tool for breeders, geneticists, and agronomists&lt;/title&gt;&lt;/titles&gt;&lt;pages&gt;271&lt;/pages&gt;&lt;section&gt;288&lt;/section&gt;&lt;dates&gt;&lt;year&gt;2002&lt;/year&gt;&lt;/dates&gt;&lt;publisher&gt;CRC Press&lt;/publisher&gt;&lt;isbn&gt;9780849313387&lt;/isbn&gt;&lt;urls&gt;&lt;/urls&gt;&lt;electronic-resource-num&gt;https://doi.org/10.1201/9781420040371&lt;/electronic-resource-num&gt;&lt;/record&gt;&lt;/Cite&gt;&lt;/EndNote&gt;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(Yan, 2002)</w:t>
      </w:r>
      <w:r w:rsidRPr="00A51BC5">
        <w:rPr>
          <w:rFonts w:asciiTheme="majorBidi" w:hAnsiTheme="majorBidi" w:cstheme="majorBidi"/>
          <w:color w:val="0432FF"/>
        </w:rPr>
        <w:fldChar w:fldCharType="end"/>
      </w:r>
      <w:r w:rsidRPr="00A51BC5">
        <w:rPr>
          <w:rFonts w:asciiTheme="majorBidi" w:hAnsiTheme="majorBidi" w:cstheme="majorBidi"/>
          <w:color w:val="0432FF"/>
        </w:rPr>
        <w:t>.</w:t>
      </w:r>
      <w:r w:rsidRPr="00A51BC5">
        <w:rPr>
          <w:rFonts w:asciiTheme="majorBidi" w:hAnsiTheme="majorBidi" w:cstheme="majorBidi"/>
        </w:rPr>
        <w:t xml:space="preserve"> Using the GGE biplot method some graphical analysis comprising genotype evaluation, mega-environment analysis and discriminate power of exam environments against their representativeness ability were investigated. The</w:t>
      </w:r>
      <w:r w:rsidRPr="00A51BC5">
        <w:t xml:space="preserve"> yield stability index (YSI) of the AMMI model </w:t>
      </w:r>
      <w:r w:rsidRPr="00A51BC5">
        <w:rPr>
          <w:color w:val="0432FF"/>
        </w:rPr>
        <w:fldChar w:fldCharType="begin"/>
      </w:r>
      <w:r w:rsidRPr="00A51BC5">
        <w:rPr>
          <w:color w:val="0432FF"/>
        </w:rPr>
        <w:instrText xml:space="preserve"> ADDIN EN.CITE &lt;EndNote&gt;&lt;Cite&gt;&lt;Author&gt;Kang&lt;/Author&gt;&lt;Year&gt;1993&lt;/Year&gt;&lt;RecNum&gt;2188&lt;/RecNum&gt;&lt;DisplayText&gt;(Kang, 1993)&lt;/DisplayText&gt;&lt;record&gt;&lt;rec-number&gt;2188&lt;/rec-number&gt;&lt;foreign-keys&gt;&lt;key app="EN" db-id="2x9evwr2lvas5eevfp6v5eea2rfv5faevsdz" timestamp="1683896123" guid="9151e6ba-389c-4334-b800-7bc27633cf5d"&gt;2188&lt;/key&gt;&lt;/foreign-keys&gt;&lt;ref-type name="Journal Article"&gt;17&lt;/ref-type&gt;&lt;contributors&gt;&lt;authors&gt;&lt;author&gt;Kang, M. S.&lt;/author&gt;&lt;/authors&gt;&lt;/contributors&gt;&lt;titles&gt;&lt;title&gt;Simultaneous Selection for Yield and Stability in Crop Performance Trials - Consequences for Growers&lt;/title&gt;&lt;secondary-title&gt;Agronomy Journal&lt;/secondary-title&gt;&lt;alt-title&gt;Agron J&lt;/alt-title&gt;&lt;/titles&gt;&lt;periodical&gt;&lt;full-title&gt;Agronomy Journal&lt;/full-title&gt;&lt;/periodical&gt;&lt;pages&gt;754-757&lt;/pages&gt;&lt;volume&gt;85&lt;/volume&gt;&lt;number&gt;3&lt;/number&gt;&lt;section&gt;754&lt;/section&gt;&lt;keywords&gt;&lt;keyword&gt;variance parameters&lt;/keyword&gt;&lt;keyword&gt;genotypes&lt;/keyword&gt;&lt;keyword&gt;program&lt;/keyword&gt;&lt;/keywords&gt;&lt;dates&gt;&lt;year&gt;1993&lt;/year&gt;&lt;pub-dates&gt;&lt;date&gt;May-Jun&lt;/date&gt;&lt;/pub-dates&gt;&lt;/dates&gt;&lt;isbn&gt;0002-1962&lt;/isbn&gt;&lt;accession-num&gt;WOS:A1993LH46300042&lt;/accession-num&gt;&lt;urls&gt;&lt;related-urls&gt;&lt;url&gt;&amp;lt;Go to ISI&amp;gt;://WOS:A1993LH46300042&lt;/url&gt;&lt;/related-urls&gt;&lt;/urls&gt;&lt;electronic-resource-num&gt;DOI 10.2134/agronj1993.00021962008500030042x&lt;/electronic-resource-num&gt;&lt;language&gt;English&lt;/language&gt;&lt;/record&gt;&lt;/Cite&gt;&lt;/EndNote&gt;</w:instrText>
      </w:r>
      <w:r w:rsidRPr="00A51BC5">
        <w:rPr>
          <w:color w:val="0432FF"/>
        </w:rPr>
        <w:fldChar w:fldCharType="separate"/>
      </w:r>
      <w:r w:rsidRPr="00A51BC5">
        <w:rPr>
          <w:noProof/>
          <w:color w:val="0432FF"/>
        </w:rPr>
        <w:t>(Kang, 1993)</w:t>
      </w:r>
      <w:r w:rsidRPr="00A51BC5">
        <w:rPr>
          <w:color w:val="0432FF"/>
        </w:rPr>
        <w:fldChar w:fldCharType="end"/>
      </w:r>
      <w:r w:rsidRPr="00A51BC5">
        <w:t xml:space="preserve"> was used to partition the grain yield variation </w:t>
      </w:r>
      <w:r w:rsidRPr="00A51BC5">
        <w:rPr>
          <w:rFonts w:asciiTheme="majorBidi" w:hAnsiTheme="majorBidi" w:cstheme="majorBidi"/>
        </w:rPr>
        <w:t>into AMMI stability value (ASV) and AMMI effects</w:t>
      </w:r>
      <w:r w:rsidRPr="00A51BC5">
        <w:rPr>
          <w:color w:val="0432FF"/>
        </w:rPr>
        <w:t xml:space="preserve"> </w:t>
      </w:r>
      <w:r w:rsidRPr="00A51BC5">
        <w:rPr>
          <w:color w:val="0432FF"/>
        </w:rPr>
        <w:fldChar w:fldCharType="begin"/>
      </w:r>
      <w:r w:rsidRPr="00A51BC5">
        <w:rPr>
          <w:color w:val="0432FF"/>
        </w:rPr>
        <w:instrText xml:space="preserve"> ADDIN EN.CITE &lt;EndNote&gt;&lt;Cite&gt;&lt;Author&gt;Purchase&lt;/Author&gt;&lt;Year&gt;2000&lt;/Year&gt;&lt;RecNum&gt;2228&lt;/RecNum&gt;&lt;DisplayText&gt;(Purchase et al., 2000)&lt;/DisplayText&gt;&lt;record&gt;&lt;rec-number&gt;2228&lt;/rec-number&gt;&lt;foreign-keys&gt;&lt;key app="EN" db-id="2x9evwr2lvas5eevfp6v5eea2rfv5faevsdz" timestamp="1695818197" guid="62c98046-150e-4df8-bc69-e88db49728ac"&gt;2228&lt;/key&gt;&lt;/foreign-keys&gt;&lt;ref-type name="Journal Article"&gt;17&lt;/ref-type&gt;&lt;contributors&gt;&lt;authors&gt;&lt;author&gt;Purchase, J. L.&lt;/author&gt;&lt;author&gt;Hatting, Hesta&lt;/author&gt;&lt;author&gt;van Deventer, C. S.&lt;/author&gt;&lt;/authors&gt;&lt;/contributors&gt;&lt;titles&gt;&lt;title&gt;&lt;style face="normal" font="default" size="100%"&gt;Genotype × environment interaction of winter wheat (&lt;/style&gt;&lt;style face="italic" font="default" size="100%"&gt;Triticum aestivum L&lt;/style&gt;&lt;style face="normal" font="default" size="100%"&gt;.) in South Africa: II. Stability analysis of yield performance&lt;/style&gt;&lt;/title&gt;&lt;secondary-title&gt;South African Journal of Plant and Soil&lt;/secondary-title&gt;&lt;/titles&gt;&lt;periodical&gt;&lt;full-title&gt;South African Journal of Plant and Soil&lt;/full-title&gt;&lt;/periodical&gt;&lt;pages&gt;101-107&lt;/pages&gt;&lt;volume&gt;17&lt;/volume&gt;&lt;number&gt;3&lt;/number&gt;&lt;dates&gt;&lt;year&gt;2000&lt;/year&gt;&lt;pub-dates&gt;&lt;date&gt;2000/01/01&lt;/date&gt;&lt;/pub-dates&gt;&lt;/dates&gt;&lt;publisher&gt;Taylor &amp;amp; Francis&lt;/publisher&gt;&lt;isbn&gt;0257-1862&lt;/isbn&gt;&lt;urls&gt;&lt;related-urls&gt;&lt;url&gt;https://doi.org/10.1080/02571862.2000.10634878&lt;/url&gt;&lt;/related-urls&gt;&lt;/urls&gt;&lt;electronic-resource-num&gt;10.1080/02571862.2000.10634878&lt;/electronic-resource-num&gt;&lt;/record&gt;&lt;/Cite&gt;&lt;/EndNote&gt;</w:instrText>
      </w:r>
      <w:r w:rsidRPr="00A51BC5">
        <w:rPr>
          <w:color w:val="0432FF"/>
        </w:rPr>
        <w:fldChar w:fldCharType="separate"/>
      </w:r>
      <w:r w:rsidRPr="00A51BC5">
        <w:rPr>
          <w:noProof/>
          <w:color w:val="0432FF"/>
        </w:rPr>
        <w:t>(Purchase et al., 2000)</w:t>
      </w:r>
      <w:r w:rsidRPr="00A51BC5">
        <w:rPr>
          <w:color w:val="0432FF"/>
        </w:rPr>
        <w:fldChar w:fldCharType="end"/>
      </w:r>
      <w:r w:rsidRPr="00A51BC5">
        <w:t xml:space="preserve">. </w:t>
      </w:r>
      <w:proofErr w:type="spellStart"/>
      <w:r w:rsidRPr="00A51BC5">
        <w:t>Gollob's</w:t>
      </w:r>
      <w:proofErr w:type="spellEnd"/>
      <w:r w:rsidRPr="00A51BC5">
        <w:t xml:space="preserve"> F-test </w:t>
      </w:r>
      <w:r w:rsidRPr="00A51BC5">
        <w:rPr>
          <w:color w:val="0432FF"/>
        </w:rPr>
        <w:fldChar w:fldCharType="begin"/>
      </w:r>
      <w:r w:rsidRPr="00A51BC5">
        <w:rPr>
          <w:color w:val="0432FF"/>
        </w:rPr>
        <w:instrText xml:space="preserve"> ADDIN EN.CITE &lt;EndNote&gt;&lt;Cite&gt;&lt;Author&gt;Gollob&lt;/Author&gt;&lt;Year&gt;1968&lt;/Year&gt;&lt;RecNum&gt;2236&lt;/RecNum&gt;&lt;DisplayText&gt;(Gollob, 1968)&lt;/DisplayText&gt;&lt;record&gt;&lt;rec-number&gt;2236&lt;/rec-number&gt;&lt;foreign-keys&gt;&lt;key app="EN" db-id="2x9evwr2lvas5eevfp6v5eea2rfv5faevsdz" timestamp="1695875387" guid="ab2950a1-6706-4bb6-ab4c-e81dbe19da34"&gt;2236&lt;/key&gt;&lt;/foreign-keys&gt;&lt;ref-type name="Journal Article"&gt;17&lt;/ref-type&gt;&lt;contributors&gt;&lt;authors&gt;&lt;author&gt;Gollob, Harry F.&lt;/author&gt;&lt;/authors&gt;&lt;/contributors&gt;&lt;titles&gt;&lt;title&gt;A statistical model which combines features of factor analytic and analysis of variance techniques&lt;/title&gt;&lt;secondary-title&gt;Psychometrika&lt;/secondary-title&gt;&lt;/titles&gt;&lt;periodical&gt;&lt;full-title&gt;Psychometrika&lt;/full-title&gt;&lt;/periodical&gt;&lt;pages&gt;73-115&lt;/pages&gt;&lt;volume&gt;33&lt;/volume&gt;&lt;number&gt;1&lt;/number&gt;&lt;keywords&gt;&lt;keyword&gt;*Factor Analysis&lt;/keyword&gt;&lt;keyword&gt;*Statistical Analysis&lt;/keyword&gt;&lt;keyword&gt;*Statistical Validity&lt;/keyword&gt;&lt;keyword&gt;*Statistical Variables&lt;/keyword&gt;&lt;keyword&gt;Population (Statistics)&lt;/keyword&gt;&lt;keyword&gt;Simulation&lt;/keyword&gt;&lt;keyword&gt;Statistical Correlation&lt;/keyword&gt;&lt;keyword&gt;Statistical Reliability&lt;/keyword&gt;&lt;/keywords&gt;&lt;dates&gt;&lt;year&gt;1968&lt;/year&gt;&lt;/dates&gt;&lt;pub-location&gt;Germany&lt;/pub-location&gt;&lt;publisher&gt;Springer&lt;/publisher&gt;&lt;isbn&gt;1860-0980(Electronic),0033-3123(Print)&lt;/isbn&gt;&lt;urls&gt;&lt;/urls&gt;&lt;electronic-resource-num&gt;10.1007/BF02289676&lt;/electronic-resource-num&gt;&lt;/record&gt;&lt;/Cite&gt;&lt;/EndNote&gt;</w:instrText>
      </w:r>
      <w:r w:rsidRPr="00A51BC5">
        <w:rPr>
          <w:color w:val="0432FF"/>
        </w:rPr>
        <w:fldChar w:fldCharType="separate"/>
      </w:r>
      <w:r w:rsidRPr="00A51BC5">
        <w:rPr>
          <w:noProof/>
          <w:color w:val="0432FF"/>
        </w:rPr>
        <w:t>(Gollob, 1968)</w:t>
      </w:r>
      <w:r w:rsidRPr="00A51BC5">
        <w:rPr>
          <w:color w:val="0432FF"/>
        </w:rPr>
        <w:fldChar w:fldCharType="end"/>
      </w:r>
      <w:r w:rsidRPr="00A51BC5">
        <w:rPr>
          <w:color w:val="FF0000"/>
        </w:rPr>
        <w:t xml:space="preserve"> </w:t>
      </w:r>
      <w:r w:rsidRPr="00A51BC5">
        <w:t xml:space="preserve">was used to preserve the number of significant interactions with IPCA in the model. AMMI and GE biplot analyses were estimated by using </w:t>
      </w:r>
      <w:r w:rsidRPr="00A51BC5">
        <w:rPr>
          <w:rFonts w:asciiTheme="majorBidi" w:hAnsiTheme="majorBidi" w:cstheme="majorBidi"/>
        </w:rPr>
        <w:t>GENSTAT</w:t>
      </w:r>
      <w:r w:rsidRPr="00A51BC5">
        <w:t xml:space="preserve"> software </w:t>
      </w:r>
      <w:r w:rsidRPr="00A51BC5">
        <w:rPr>
          <w:color w:val="0432FF"/>
        </w:rPr>
        <w:fldChar w:fldCharType="begin" w:fldLock="1"/>
      </w:r>
      <w:r w:rsidRPr="00A51BC5">
        <w:rPr>
          <w:color w:val="0432FF"/>
        </w:rPr>
        <w:instrText>ADDIN CSL_CITATION { "citationItems" : [ { "id" : "ITEM-1", "itemData" : { "author" : [ { "dropping-particle" : "", "family" : "GenStat", "given" : "", "non-dropping-particle" : "", "parse-names" : false, "suffix" : "" } ], "id" : "ITEM-1", "issued" : { "date-parts" : [ [ "2011" ] ] }, "title" : "GenStat for Windows 14th Edition. VSN International, Hemel Hempstead, UK. Web page: GenStat.co.uk", "type" : "article" }, "uris" : [ "http://www.mendeley.com/documents/?uuid=9e84fb48-4ad5-42cf-8b7a-e3c0863155b9" ] } ], "mendeley" : { "formattedCitation" : "(GenStat, 2011)", "plainTextFormattedCitation" : "(GenStat, 2011)", "previouslyFormattedCitation" : "(GenStat, 2011)" }, "properties" : { "noteIndex" : 0 }, "schema" : "https://github.com/citation-style-language/schema/raw/master/csl-citation.json" }</w:instrText>
      </w:r>
      <w:r w:rsidRPr="00A51BC5">
        <w:rPr>
          <w:color w:val="0432FF"/>
        </w:rPr>
        <w:fldChar w:fldCharType="separate"/>
      </w:r>
      <w:r w:rsidRPr="00A51BC5">
        <w:rPr>
          <w:color w:val="0432FF"/>
        </w:rPr>
        <w:t>(GenStat 2011)</w:t>
      </w:r>
      <w:r w:rsidRPr="00A51BC5">
        <w:rPr>
          <w:color w:val="0432FF"/>
        </w:rPr>
        <w:fldChar w:fldCharType="end"/>
      </w:r>
      <w:r w:rsidRPr="00A51BC5">
        <w:t>. To estimate the genotype stability, the integration of some univariate</w:t>
      </w:r>
      <w:r w:rsidRPr="00A51BC5">
        <w:rPr>
          <w:rFonts w:asciiTheme="majorBidi" w:hAnsiTheme="majorBidi" w:cstheme="majorBidi"/>
        </w:rPr>
        <w:t>, and multivariate</w:t>
      </w:r>
      <w:r w:rsidRPr="00A51BC5">
        <w:t xml:space="preserve"> stability models was used as follows.</w:t>
      </w:r>
    </w:p>
    <w:p w14:paraId="5040F7EB" w14:textId="734BC293" w:rsidR="00164203" w:rsidRPr="00A51BC5" w:rsidRDefault="009756F2" w:rsidP="009756F2">
      <w:pPr>
        <w:pStyle w:val="ListParagraph"/>
        <w:numPr>
          <w:ilvl w:val="0"/>
          <w:numId w:val="8"/>
        </w:numPr>
        <w:tabs>
          <w:tab w:val="left" w:pos="993"/>
        </w:tabs>
        <w:spacing w:before="120" w:line="360" w:lineRule="auto"/>
        <w:ind w:left="426"/>
        <w:jc w:val="both"/>
        <w:rPr>
          <w:rFonts w:asciiTheme="majorBidi" w:hAnsiTheme="majorBidi" w:cstheme="majorBidi"/>
          <w:b/>
          <w:bCs/>
        </w:rPr>
      </w:pPr>
      <w:r w:rsidRPr="00A51BC5">
        <w:rPr>
          <w:rFonts w:asciiTheme="majorBidi" w:hAnsiTheme="majorBidi" w:cstheme="majorBidi"/>
          <w:b/>
          <w:bCs/>
        </w:rPr>
        <w:t>Univariate measurements</w:t>
      </w:r>
    </w:p>
    <w:p w14:paraId="6773C8D6" w14:textId="77777777" w:rsidR="009756F2" w:rsidRPr="00A51BC5" w:rsidRDefault="009756F2" w:rsidP="00DC2CD8">
      <w:pPr>
        <w:tabs>
          <w:tab w:val="left" w:pos="993"/>
        </w:tabs>
        <w:spacing w:before="120" w:line="360" w:lineRule="auto"/>
        <w:ind w:left="66"/>
        <w:jc w:val="both"/>
        <w:rPr>
          <w:rFonts w:asciiTheme="majorBidi" w:hAnsiTheme="majorBidi" w:cstheme="majorBidi"/>
          <w:b/>
          <w:bCs/>
        </w:rPr>
      </w:pPr>
      <w:r w:rsidRPr="00A51BC5">
        <w:rPr>
          <w:rFonts w:asciiTheme="majorBidi" w:eastAsiaTheme="minorEastAsia" w:hAnsiTheme="majorBidi" w:cstheme="majorBidi"/>
          <w:b/>
          <w:bCs/>
        </w:rPr>
        <w:t>Regression coefficient:</w:t>
      </w:r>
    </w:p>
    <w:p w14:paraId="5FECAB1B"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The regression coefficient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&lt;EndNote&gt;&lt;Cite&gt;&lt;Author&gt;Finlay&lt;/Author&gt;&lt;Year&gt;1963&lt;/Year&gt;&lt;RecNum&gt;299&lt;/RecNum&gt;&lt;DisplayText&gt;(Finlay &amp;amp; Wilkinson, 1963)&lt;/DisplayText&gt;&lt;record&gt;&lt;rec-number&gt;299&lt;/rec-number&gt;&lt;foreign-keys&gt;&lt;key app="EN" db-id="2x9evwr2lvas5eevfp6v5eea2rfv5faevsdz" timestamp="1617619555" guid="aa2a6185-b700-4348-b447-1986487d78c5"&gt;299&lt;/key&gt;&lt;/foreign-keys&gt;&lt;ref-type name="Journal Article"&gt;17&lt;/ref-type&gt;&lt;contributors&gt;&lt;authors&gt;&lt;author&gt;Finlay, K. W.&lt;/author&gt;&lt;author&gt;Wilkinson, G. N.&lt;/author&gt;&lt;/authors&gt;&lt;/contributors&gt;&lt;titles&gt;&lt;title&gt;The analysis of adaptation in a plant-breeding programme&lt;/title&gt;&lt;secondary-title&gt;Australian Journal of Agricultural Research&lt;/secondary-title&gt;&lt;/titles&gt;&lt;periodical&gt;&lt;full-title&gt;Australian Journal of Agricultural Research&lt;/full-title&gt;&lt;/periodical&gt;&lt;pages&gt;742&lt;/pages&gt;&lt;volume&gt;14&lt;/volume&gt;&lt;number&gt;6&lt;/number&gt;&lt;section&gt;742&lt;/section&gt;&lt;dates&gt;&lt;year&gt;1963&lt;/year&gt;&lt;/dates&gt;&lt;isbn&gt;0004-9409&lt;/isbn&gt;&lt;accession-num&gt;Finlay1963&lt;/accession-num&gt;&lt;urls&gt;&lt;/urls&gt;&lt;electronic-resource-num&gt;10.1071/ar9630742&lt;/electronic-resource-num&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(Finlay &amp; Wilkinson, 1963)</w:t>
      </w:r>
      <w:r w:rsidRPr="00A51BC5">
        <w:rPr>
          <w:rFonts w:asciiTheme="majorBidi" w:hAnsiTheme="majorBidi" w:cstheme="majorBidi"/>
          <w:color w:val="0432FF"/>
        </w:rPr>
        <w:fldChar w:fldCharType="end"/>
      </w:r>
      <w:r w:rsidRPr="00A51BC5">
        <w:rPr>
          <w:rFonts w:asciiTheme="majorBidi" w:hAnsiTheme="majorBidi" w:cstheme="majorBidi"/>
        </w:rPr>
        <w:t xml:space="preserve"> is estimated based on the regression function. Genotype with a low coefficient of regression is considered stable.</w:t>
      </w:r>
    </w:p>
    <w:p w14:paraId="156D2432"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Coefficient of regression:</w:t>
      </w:r>
    </w:p>
    <w:p w14:paraId="17124F88" w14:textId="77777777" w:rsidR="009756F2" w:rsidRPr="00A51BC5" w:rsidRDefault="009756F2" w:rsidP="009756F2">
      <w:pPr>
        <w:widowControl w:val="0"/>
        <w:autoSpaceDE w:val="0"/>
        <w:autoSpaceDN w:val="0"/>
        <w:adjustRightInd w:val="0"/>
        <w:spacing w:line="360" w:lineRule="auto"/>
        <w:jc w:val="both"/>
        <w:rPr>
          <w:rFonts w:ascii="VgsrjpAdvPTimes" w:hAnsi="VgsrjpAdvPTimes"/>
        </w:rPr>
      </w:pPr>
      <m:oMathPara>
        <m:oMathParaPr>
          <m:jc m:val="left"/>
        </m:oMathParaPr>
        <m:oMath>
          <m:r>
            <w:rPr>
              <w:rFonts w:ascii="Cambria Math" w:hAnsi="Cambria Math"/>
            </w:rPr>
            <m:t xml:space="preserve">FW=1+ </m:t>
          </m:r>
          <m:f>
            <m:fPr>
              <m:ctrlPr>
                <w:rPr>
                  <w:rFonts w:ascii="Cambria Math" w:hAnsi="Cambria Math"/>
                  <w:i/>
                </w:rPr>
              </m:ctrlPr>
            </m:fPr>
            <m:num>
              <m:sSup>
                <m:sSupPr>
                  <m:ctrlPr>
                    <w:rPr>
                      <w:rFonts w:ascii="Cambria Math" w:hAnsi="Cambria Math"/>
                      <w:i/>
                    </w:rPr>
                  </m:ctrlPr>
                </m:sSupPr>
                <m:e>
                  <m:sSub>
                    <m:sSubPr>
                      <m:ctrlPr>
                        <w:rPr>
                          <w:rFonts w:ascii="Cambria Math" w:hAnsi="Cambria Math"/>
                          <w:i/>
                        </w:rPr>
                      </m:ctrlPr>
                    </m:sSubPr>
                    <m:e>
                      <m:r>
                        <w:rPr>
                          <w:rFonts w:ascii="Cambria Math" w:hAnsi="Cambria Math"/>
                        </w:rPr>
                        <m:t>∑</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i.</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m:t>
                      </m:r>
                    </m:sub>
                  </m:sSub>
                  <m:r>
                    <w:rPr>
                      <w:rFonts w:ascii="Cambria Math" w:hAnsi="Cambria Math"/>
                    </w:rPr>
                    <m:t>)</m:t>
                  </m:r>
                </m:e>
                <m:sup>
                  <m:r>
                    <w:rPr>
                      <w:rFonts w:ascii="Cambria Math" w:hAnsi="Cambria Math"/>
                    </w:rPr>
                    <m:t>2</m:t>
                  </m:r>
                </m:sup>
              </m:sSup>
            </m:num>
            <m:den>
              <m:r>
                <w:rPr>
                  <w:rFonts w:ascii="Cambria Math" w:hAnsi="Cambria Math"/>
                </w:rPr>
                <m:t>E-1</m:t>
              </m:r>
            </m:den>
          </m:f>
        </m:oMath>
      </m:oMathPara>
    </w:p>
    <w:p w14:paraId="3481E52E"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 xml:space="preserve">where </w:t>
      </w:r>
      <w:proofErr w:type="spellStart"/>
      <w:r w:rsidRPr="00A51BC5">
        <w:rPr>
          <w:rFonts w:asciiTheme="majorBidi" w:hAnsiTheme="majorBidi" w:cstheme="majorBidi"/>
          <w:i/>
          <w:iCs/>
        </w:rPr>
        <w:t>X</w:t>
      </w:r>
      <w:r w:rsidRPr="00A51BC5">
        <w:rPr>
          <w:rFonts w:asciiTheme="majorBidi" w:hAnsiTheme="majorBidi" w:cstheme="majorBidi"/>
          <w:i/>
          <w:iCs/>
          <w:vertAlign w:val="subscript"/>
        </w:rPr>
        <w:t>ij</w:t>
      </w:r>
      <w:proofErr w:type="spellEnd"/>
      <w:r w:rsidRPr="00A51BC5">
        <w:rPr>
          <w:rFonts w:asciiTheme="majorBidi" w:hAnsiTheme="majorBidi" w:cstheme="majorBidi"/>
          <w:i/>
          <w:iCs/>
        </w:rPr>
        <w:t xml:space="preserve"> </w:t>
      </w:r>
      <w:r w:rsidRPr="00A51BC5">
        <w:rPr>
          <w:rFonts w:asciiTheme="majorBidi" w:hAnsiTheme="majorBidi" w:cstheme="majorBidi"/>
        </w:rPr>
        <w:t xml:space="preserve">is the observed mean value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w:t>
      </w:r>
      <w:proofErr w:type="spellStart"/>
      <w:r w:rsidRPr="00A51BC5">
        <w:rPr>
          <w:rFonts w:asciiTheme="majorBidi" w:hAnsiTheme="majorBidi" w:cstheme="majorBidi"/>
          <w:i/>
          <w:iCs/>
        </w:rPr>
        <w:t>i</w:t>
      </w:r>
      <w:proofErr w:type="spellEnd"/>
      <w:r w:rsidRPr="00A51BC5">
        <w:rPr>
          <w:rFonts w:asciiTheme="majorBidi" w:hAnsiTheme="majorBidi" w:cstheme="majorBidi"/>
          <w:i/>
          <w:iCs/>
        </w:rPr>
        <w:t xml:space="preserve"> </w:t>
      </w:r>
      <w:r w:rsidRPr="00A51BC5">
        <w:rPr>
          <w:rFonts w:asciiTheme="majorBidi" w:hAnsiTheme="majorBidi" w:cstheme="majorBidi"/>
        </w:rPr>
        <w:t xml:space="preserve">= 1, ..., G) in environment </w:t>
      </w:r>
      <w:r w:rsidRPr="00A51BC5">
        <w:rPr>
          <w:rFonts w:asciiTheme="majorBidi" w:hAnsiTheme="majorBidi" w:cstheme="majorBidi"/>
          <w:i/>
          <w:iCs/>
        </w:rPr>
        <w:t>j</w:t>
      </w:r>
      <w:r w:rsidRPr="00A51BC5">
        <w:rPr>
          <w:rFonts w:asciiTheme="majorBidi" w:hAnsiTheme="majorBidi" w:cstheme="majorBidi"/>
        </w:rPr>
        <w:t xml:space="preserve"> (</w:t>
      </w:r>
      <w:r w:rsidRPr="00A51BC5">
        <w:rPr>
          <w:rFonts w:asciiTheme="majorBidi" w:hAnsiTheme="majorBidi" w:cstheme="majorBidi"/>
          <w:i/>
          <w:iCs/>
        </w:rPr>
        <w:t>j</w:t>
      </w:r>
      <w:r w:rsidRPr="00A51BC5">
        <w:rPr>
          <w:rFonts w:asciiTheme="majorBidi" w:hAnsiTheme="majorBidi" w:cstheme="majorBidi"/>
        </w:rPr>
        <w:t xml:space="preserve"> = </w:t>
      </w:r>
      <w:proofErr w:type="gramStart"/>
      <w:r w:rsidRPr="00A51BC5">
        <w:rPr>
          <w:rFonts w:asciiTheme="majorBidi" w:hAnsiTheme="majorBidi" w:cstheme="majorBidi"/>
        </w:rPr>
        <w:t>1,…</w:t>
      </w:r>
      <w:proofErr w:type="gramEnd"/>
      <w:r w:rsidRPr="00A51BC5">
        <w:rPr>
          <w:rFonts w:asciiTheme="majorBidi" w:hAnsiTheme="majorBidi" w:cstheme="majorBidi"/>
        </w:rPr>
        <w:t xml:space="preserve">,E), with </w:t>
      </w:r>
      <m:oMath>
        <m:sSub>
          <m:sSubPr>
            <m:ctrlPr>
              <w:rPr>
                <w:rFonts w:ascii="Cambria Math" w:hAnsi="Cambria Math" w:cstheme="majorBidi"/>
                <w:i/>
              </w:rPr>
            </m:ctrlPr>
          </m:sSubPr>
          <m:e>
            <m:bar>
              <m:barPr>
                <m:pos m:val="top"/>
                <m:ctrlPr>
                  <w:rPr>
                    <w:rFonts w:ascii="Cambria Math" w:hAnsi="Cambria Math" w:cstheme="majorBidi"/>
                    <w:i/>
                  </w:rPr>
                </m:ctrlPr>
              </m:barPr>
              <m:e>
                <m:r>
                  <w:rPr>
                    <w:rFonts w:ascii="Cambria Math" w:hAnsi="Cambria Math" w:cstheme="majorBidi"/>
                  </w:rPr>
                  <m:t>X</m:t>
                </m:r>
              </m:e>
            </m:bar>
          </m:e>
          <m:sub>
            <m:r>
              <w:rPr>
                <w:rFonts w:ascii="Cambria Math" w:hAnsi="Cambria Math" w:cstheme="majorBidi"/>
              </w:rPr>
              <m:t>i.</m:t>
            </m:r>
          </m:sub>
        </m:sSub>
      </m:oMath>
      <w:r w:rsidRPr="00A51BC5">
        <w:rPr>
          <w:rFonts w:asciiTheme="majorBidi" w:hAnsiTheme="majorBidi" w:cstheme="majorBidi"/>
        </w:rPr>
        <w:t xml:space="preserve"> and </w:t>
      </w:r>
      <m:oMath>
        <m:sSub>
          <m:sSubPr>
            <m:ctrlPr>
              <w:rPr>
                <w:rFonts w:ascii="Cambria Math" w:hAnsi="Cambria Math" w:cstheme="majorBidi"/>
                <w:i/>
              </w:rPr>
            </m:ctrlPr>
          </m:sSubPr>
          <m:e>
            <m:bar>
              <m:barPr>
                <m:pos m:val="top"/>
                <m:ctrlPr>
                  <w:rPr>
                    <w:rFonts w:ascii="Cambria Math" w:hAnsi="Cambria Math" w:cstheme="majorBidi"/>
                    <w:i/>
                  </w:rPr>
                </m:ctrlPr>
              </m:barPr>
              <m:e>
                <m:r>
                  <w:rPr>
                    <w:rFonts w:ascii="Cambria Math" w:hAnsi="Cambria Math" w:cstheme="majorBidi"/>
                  </w:rPr>
                  <m:t>X</m:t>
                </m:r>
              </m:e>
            </m:bar>
          </m:e>
          <m:sub>
            <m:r>
              <w:rPr>
                <w:rFonts w:ascii="Cambria Math" w:hAnsi="Cambria Math" w:cstheme="majorBidi"/>
              </w:rPr>
              <m:t>.j</m:t>
            </m:r>
          </m:sub>
        </m:sSub>
        <m:r>
          <w:rPr>
            <w:rFonts w:ascii="Cambria Math" w:hAnsi="Cambria Math" w:cstheme="majorBidi"/>
          </w:rPr>
          <m:t xml:space="preserve"> </m:t>
        </m:r>
      </m:oMath>
      <w:r w:rsidRPr="00A51BC5">
        <w:rPr>
          <w:rFonts w:asciiTheme="majorBidi" w:hAnsiTheme="majorBidi" w:cstheme="majorBidi"/>
        </w:rPr>
        <w:t xml:space="preserve">indicating minor means of genotype i and environment j, respectively. </w:t>
      </w:r>
      <m:oMath>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m:t>
            </m:r>
          </m:sub>
        </m:sSub>
      </m:oMath>
      <w:r w:rsidRPr="00A51BC5">
        <w:rPr>
          <w:rFonts w:asciiTheme="majorBidi" w:hAnsiTheme="majorBidi" w:cstheme="majorBidi"/>
        </w:rPr>
        <w:t xml:space="preserve"> indicates the overall mean. </w:t>
      </w:r>
    </w:p>
    <w:p w14:paraId="7641E834" w14:textId="77777777" w:rsidR="009756F2" w:rsidRPr="00A51BC5" w:rsidRDefault="009756F2" w:rsidP="009756F2">
      <w:pPr>
        <w:pStyle w:val="NormalWeb"/>
        <w:spacing w:before="120" w:beforeAutospacing="0" w:after="0" w:afterAutospacing="0" w:line="360" w:lineRule="auto"/>
        <w:rPr>
          <w:rFonts w:asciiTheme="majorBidi" w:eastAsiaTheme="minorEastAsia" w:hAnsiTheme="majorBidi" w:cstheme="majorBidi"/>
          <w:b/>
          <w:bCs/>
        </w:rPr>
      </w:pPr>
      <w:r w:rsidRPr="00A51BC5">
        <w:rPr>
          <w:rFonts w:asciiTheme="majorBidi" w:eastAsiaTheme="minorEastAsia" w:hAnsiTheme="majorBidi" w:cstheme="majorBidi"/>
          <w:b/>
          <w:bCs/>
        </w:rPr>
        <w:t xml:space="preserve">Deviation means squares: </w:t>
      </w:r>
    </w:p>
    <w:p w14:paraId="59761291"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A linear correlation among the phenotype and environment and assessed its effect on the trait. Assumed an additional method to find the phenotypic regression (b</w:t>
      </w:r>
      <w:r w:rsidRPr="00A51BC5">
        <w:rPr>
          <w:rFonts w:asciiTheme="majorBidi" w:hAnsiTheme="majorBidi" w:cstheme="majorBidi"/>
          <w:vertAlign w:val="subscript"/>
        </w:rPr>
        <w:t>i</w:t>
      </w:r>
      <w:r w:rsidRPr="00A51BC5">
        <w:rPr>
          <w:rFonts w:asciiTheme="majorBidi" w:hAnsiTheme="majorBidi" w:cstheme="majorBidi"/>
        </w:rPr>
        <w:t xml:space="preserve">) of the value </w:t>
      </w:r>
      <w:proofErr w:type="spellStart"/>
      <w:r w:rsidRPr="00A51BC5">
        <w:rPr>
          <w:rFonts w:asciiTheme="majorBidi" w:hAnsiTheme="majorBidi" w:cstheme="majorBidi"/>
        </w:rPr>
        <w:t>y</w:t>
      </w:r>
      <w:r w:rsidRPr="00A51BC5">
        <w:rPr>
          <w:rFonts w:asciiTheme="majorBidi" w:hAnsiTheme="majorBidi" w:cstheme="majorBidi"/>
          <w:vertAlign w:val="subscript"/>
        </w:rPr>
        <w:t>ij</w:t>
      </w:r>
      <w:proofErr w:type="spellEnd"/>
      <w:r w:rsidRPr="00A51BC5">
        <w:rPr>
          <w:rFonts w:asciiTheme="majorBidi" w:hAnsiTheme="majorBidi" w:cstheme="majorBidi"/>
        </w:rPr>
        <w:t xml:space="preserve"> in the environment </w:t>
      </w:r>
      <w:proofErr w:type="spellStart"/>
      <w:r w:rsidRPr="00A51BC5">
        <w:rPr>
          <w:rFonts w:asciiTheme="majorBidi" w:hAnsiTheme="majorBidi" w:cstheme="majorBidi"/>
        </w:rPr>
        <w:t>E</w:t>
      </w:r>
      <w:r w:rsidRPr="00A51BC5">
        <w:rPr>
          <w:rFonts w:asciiTheme="majorBidi" w:hAnsiTheme="majorBidi" w:cstheme="majorBidi"/>
          <w:vertAlign w:val="subscript"/>
        </w:rPr>
        <w:t>j</w:t>
      </w:r>
      <w:proofErr w:type="spellEnd"/>
      <w:r w:rsidRPr="00A51BC5">
        <w:rPr>
          <w:rFonts w:asciiTheme="majorBidi" w:hAnsiTheme="majorBidi" w:cstheme="majorBidi"/>
        </w:rPr>
        <w:t>, as against to phenotypic regression (</w:t>
      </w:r>
      <w:proofErr w:type="spellStart"/>
      <w:r w:rsidRPr="00A51BC5">
        <w:rPr>
          <w:rFonts w:asciiTheme="majorBidi" w:hAnsiTheme="majorBidi" w:cstheme="majorBidi"/>
        </w:rPr>
        <w:t>b</w:t>
      </w:r>
      <w:r w:rsidRPr="00A51BC5">
        <w:rPr>
          <w:rFonts w:asciiTheme="majorBidi" w:hAnsiTheme="majorBidi" w:cstheme="majorBidi"/>
          <w:vertAlign w:val="subscript"/>
        </w:rPr>
        <w:t>j</w:t>
      </w:r>
      <w:proofErr w:type="spellEnd"/>
      <w:r w:rsidRPr="00A51BC5">
        <w:rPr>
          <w:rFonts w:asciiTheme="majorBidi" w:hAnsiTheme="majorBidi" w:cstheme="majorBidi"/>
        </w:rPr>
        <w:t xml:space="preserve">) of </w:t>
      </w:r>
      <w:proofErr w:type="spellStart"/>
      <w:r w:rsidRPr="00A51BC5">
        <w:rPr>
          <w:rFonts w:asciiTheme="majorBidi" w:hAnsiTheme="majorBidi" w:cstheme="majorBidi"/>
        </w:rPr>
        <w:t>g</w:t>
      </w:r>
      <w:r w:rsidRPr="00A51BC5">
        <w:rPr>
          <w:rFonts w:asciiTheme="majorBidi" w:hAnsiTheme="majorBidi" w:cstheme="majorBidi"/>
          <w:vertAlign w:val="subscript"/>
        </w:rPr>
        <w:t>ij</w:t>
      </w:r>
      <w:proofErr w:type="spellEnd"/>
      <w:r w:rsidRPr="00A51BC5">
        <w:rPr>
          <w:rFonts w:asciiTheme="majorBidi" w:hAnsiTheme="majorBidi" w:cstheme="majorBidi"/>
        </w:rPr>
        <w:t xml:space="preserve"> on </w:t>
      </w:r>
      <w:proofErr w:type="spellStart"/>
      <w:r w:rsidRPr="00A51BC5">
        <w:rPr>
          <w:rFonts w:asciiTheme="majorBidi" w:hAnsiTheme="majorBidi" w:cstheme="majorBidi"/>
        </w:rPr>
        <w:t>E</w:t>
      </w:r>
      <w:r w:rsidRPr="00A51BC5">
        <w:rPr>
          <w:rFonts w:asciiTheme="majorBidi" w:hAnsiTheme="majorBidi" w:cstheme="majorBidi"/>
          <w:vertAlign w:val="subscript"/>
        </w:rPr>
        <w:t>j</w:t>
      </w:r>
      <w:proofErr w:type="spellEnd"/>
      <w:r w:rsidRPr="00A51BC5">
        <w:rPr>
          <w:rFonts w:asciiTheme="majorBidi" w:hAnsiTheme="majorBidi" w:cstheme="majorBidi"/>
        </w:rPr>
        <w:t xml:space="preserve"> as suggested by </w:t>
      </w:r>
      <w:r w:rsidRPr="00A51BC5">
        <w:rPr>
          <w:rFonts w:asciiTheme="majorBidi" w:hAnsiTheme="majorBidi" w:cstheme="majorBidi"/>
          <w:color w:val="0432FF"/>
        </w:rPr>
        <w:t>Finlay and Wilkinson, (1963)</w:t>
      </w:r>
      <w:r w:rsidRPr="00A51BC5">
        <w:rPr>
          <w:rFonts w:asciiTheme="majorBidi" w:hAnsiTheme="majorBidi" w:cstheme="majorBidi"/>
        </w:rPr>
        <w:t>. Analysis of GEIs, using joint regression the interaction sum of squares is divided into two portions: (a) linear regression coefficients (b</w:t>
      </w:r>
      <w:r w:rsidRPr="00A51BC5">
        <w:rPr>
          <w:rFonts w:asciiTheme="majorBidi" w:hAnsiTheme="majorBidi" w:cstheme="majorBidi"/>
          <w:vertAlign w:val="subscript"/>
        </w:rPr>
        <w:t>i</w:t>
      </w:r>
      <w:r w:rsidRPr="00A51BC5">
        <w:rPr>
          <w:rFonts w:asciiTheme="majorBidi" w:hAnsiTheme="majorBidi" w:cstheme="majorBidi"/>
        </w:rPr>
        <w:t>), (b) the pooled deviations from regression lines (S</w:t>
      </w:r>
      <w:r w:rsidRPr="00A51BC5">
        <w:rPr>
          <w:rFonts w:asciiTheme="majorBidi" w:hAnsiTheme="majorBidi" w:cstheme="majorBidi"/>
          <w:vertAlign w:val="superscript"/>
        </w:rPr>
        <w:t>2</w:t>
      </w:r>
      <w:r w:rsidRPr="00A51BC5">
        <w:rPr>
          <w:rFonts w:asciiTheme="majorBidi" w:hAnsiTheme="majorBidi" w:cstheme="majorBidi"/>
          <w:vertAlign w:val="subscript"/>
        </w:rPr>
        <w:t>di</w:t>
      </w:r>
      <w:r w:rsidRPr="00A51BC5">
        <w:rPr>
          <w:rFonts w:asciiTheme="majorBidi" w:hAnsiTheme="majorBidi" w:cstheme="majorBidi"/>
        </w:rPr>
        <w:t xml:space="preserve">) according to </w:t>
      </w:r>
      <w:r w:rsidRPr="00A51BC5">
        <w:rPr>
          <w:rFonts w:asciiTheme="majorBidi" w:hAnsiTheme="majorBidi" w:cstheme="majorBidi"/>
          <w:color w:val="0432FF"/>
        </w:rPr>
        <w:t xml:space="preserve">Eberhart and Russell (1966). </w:t>
      </w:r>
    </w:p>
    <w:p w14:paraId="21B3324C"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lastRenderedPageBreak/>
        <w:t>Regression coefficients (b</w:t>
      </w:r>
      <w:r w:rsidRPr="00A51BC5">
        <w:rPr>
          <w:rFonts w:asciiTheme="majorBidi" w:hAnsiTheme="majorBidi" w:cstheme="majorBidi"/>
          <w:vertAlign w:val="subscript"/>
        </w:rPr>
        <w:t>i</w:t>
      </w:r>
      <w:r w:rsidRPr="00A51BC5">
        <w:rPr>
          <w:rFonts w:asciiTheme="majorBidi" w:hAnsiTheme="majorBidi" w:cstheme="majorBidi"/>
        </w:rPr>
        <w:t>):</w:t>
      </w:r>
    </w:p>
    <w:p w14:paraId="729D5D7B" w14:textId="77777777" w:rsidR="009756F2" w:rsidRPr="00A51BC5" w:rsidRDefault="00000000" w:rsidP="009756F2">
      <w:pPr>
        <w:widowControl w:val="0"/>
        <w:autoSpaceDE w:val="0"/>
        <w:autoSpaceDN w:val="0"/>
        <w:adjustRightInd w:val="0"/>
        <w:spacing w:line="360" w:lineRule="auto"/>
        <w:jc w:val="both"/>
        <w:rPr>
          <w:rFonts w:asciiTheme="majorBidi" w:hAnsiTheme="majorBidi" w:cstheme="majorBidi"/>
        </w:rPr>
      </w:pPr>
      <m:oMathPara>
        <m:oMathParaPr>
          <m:jc m:val="left"/>
        </m:oMathParaPr>
        <m:oMath>
          <m:sSub>
            <m:sSubPr>
              <m:ctrlPr>
                <w:rPr>
                  <w:rFonts w:ascii="Cambria Math" w:hAnsi="Cambria Math" w:cstheme="majorBidi"/>
                  <w:i/>
                  <w:iCs/>
                </w:rPr>
              </m:ctrlPr>
            </m:sSubPr>
            <m:e>
              <m:r>
                <w:rPr>
                  <w:rFonts w:ascii="Cambria Math" w:hAnsi="Cambria Math" w:cstheme="majorBidi"/>
                </w:rPr>
                <m:t>b</m:t>
              </m:r>
            </m:e>
            <m:sub>
              <m:r>
                <w:rPr>
                  <w:rFonts w:ascii="Cambria Math" w:hAnsi="Cambria Math" w:cstheme="majorBidi"/>
                </w:rPr>
                <m:t>i</m:t>
              </m:r>
            </m:sub>
          </m:sSub>
          <m:r>
            <w:rPr>
              <w:rFonts w:ascii="Cambria Math" w:hAnsi="Cambria Math" w:cstheme="majorBidi"/>
            </w:rPr>
            <m:t xml:space="preserve">=1+ </m:t>
          </m:r>
          <m:f>
            <m:fPr>
              <m:ctrlPr>
                <w:rPr>
                  <w:rFonts w:ascii="Cambria Math" w:hAnsi="Cambria Math" w:cstheme="majorBidi"/>
                  <w:i/>
                </w:rPr>
              </m:ctrlPr>
            </m:fPr>
            <m:num>
              <m:sSub>
                <m:sSubPr>
                  <m:ctrlPr>
                    <w:rPr>
                      <w:rFonts w:ascii="Cambria Math" w:hAnsi="Cambria Math" w:cstheme="majorBidi"/>
                    </w:rPr>
                  </m:ctrlPr>
                </m:sSubPr>
                <m:e>
                  <m:r>
                    <m:rPr>
                      <m:sty m:val="p"/>
                    </m:rPr>
                    <w:rPr>
                      <w:rFonts w:ascii="Cambria Math" w:hAnsi="Cambria Math" w:cstheme="majorBidi"/>
                    </w:rPr>
                    <m:t>Σ</m:t>
                  </m:r>
                </m:e>
                <m:sub>
                  <m:r>
                    <w:rPr>
                      <w:rFonts w:ascii="Cambria Math" w:hAnsi="Cambria Math" w:cstheme="majorBidi"/>
                    </w:rPr>
                    <m:t>i</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i.</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m:t>
                  </m:r>
                </m:sub>
              </m:sSub>
              <m:r>
                <w:rPr>
                  <w:rFonts w:ascii="Cambria Math" w:hAnsi="Cambria Math" w:cstheme="majorBidi"/>
                </w:rPr>
                <m:t>)</m:t>
              </m:r>
            </m:num>
            <m:den>
              <m:sSub>
                <m:sSubPr>
                  <m:ctrlPr>
                    <w:rPr>
                      <w:rFonts w:ascii="Cambria Math" w:hAnsi="Cambria Math" w:cstheme="majorBidi"/>
                    </w:rPr>
                  </m:ctrlPr>
                </m:sSubPr>
                <m:e>
                  <m:r>
                    <m:rPr>
                      <m:sty m:val="p"/>
                    </m:rPr>
                    <w:rPr>
                      <w:rFonts w:ascii="Cambria Math" w:hAnsi="Cambria Math" w:cstheme="majorBidi"/>
                    </w:rPr>
                    <m:t>Σ</m:t>
                  </m:r>
                </m:e>
                <m:sub>
                  <m:r>
                    <w:rPr>
                      <w:rFonts w:ascii="Cambria Math" w:hAnsi="Cambria Math" w:cstheme="majorBidi"/>
                    </w:rPr>
                    <m:t>j</m:t>
                  </m:r>
                </m:sub>
              </m:sSub>
              <m:sSup>
                <m:sSupPr>
                  <m:ctrlPr>
                    <w:rPr>
                      <w:rFonts w:ascii="Cambria Math" w:hAnsi="Cambria Math" w:cstheme="majorBidi"/>
                      <w:i/>
                    </w:rPr>
                  </m:ctrlPr>
                </m:sSupPr>
                <m:e>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m:t>
                      </m:r>
                    </m:sub>
                  </m:sSub>
                  <m:r>
                    <w:rPr>
                      <w:rFonts w:ascii="Cambria Math" w:hAnsi="Cambria Math" w:cstheme="majorBidi"/>
                    </w:rPr>
                    <m:t>)</m:t>
                  </m:r>
                </m:e>
                <m:sup>
                  <m:r>
                    <w:rPr>
                      <w:rFonts w:ascii="Cambria Math" w:hAnsi="Cambria Math" w:cstheme="majorBidi"/>
                    </w:rPr>
                    <m:t>2</m:t>
                  </m:r>
                </m:sup>
              </m:sSup>
            </m:den>
          </m:f>
        </m:oMath>
      </m:oMathPara>
    </w:p>
    <w:p w14:paraId="1A1829A7"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Deviations from regression (S</w:t>
      </w:r>
      <w:r w:rsidRPr="00A51BC5">
        <w:rPr>
          <w:rFonts w:asciiTheme="majorBidi" w:hAnsiTheme="majorBidi" w:cstheme="majorBidi"/>
          <w:vertAlign w:val="superscript"/>
        </w:rPr>
        <w:t>2</w:t>
      </w:r>
      <w:r w:rsidRPr="00A51BC5">
        <w:rPr>
          <w:rFonts w:asciiTheme="majorBidi" w:hAnsiTheme="majorBidi" w:cstheme="majorBidi"/>
          <w:vertAlign w:val="subscript"/>
        </w:rPr>
        <w:t>di</w:t>
      </w:r>
      <w:r w:rsidRPr="00A51BC5">
        <w:rPr>
          <w:rFonts w:asciiTheme="majorBidi" w:hAnsiTheme="majorBidi" w:cstheme="majorBidi"/>
        </w:rPr>
        <w:t>):</w:t>
      </w:r>
    </w:p>
    <w:p w14:paraId="2C02A9C9" w14:textId="77777777" w:rsidR="009756F2" w:rsidRPr="00A51BC5" w:rsidRDefault="00000000" w:rsidP="009756F2">
      <w:pPr>
        <w:widowControl w:val="0"/>
        <w:autoSpaceDE w:val="0"/>
        <w:autoSpaceDN w:val="0"/>
        <w:adjustRightInd w:val="0"/>
        <w:spacing w:line="360" w:lineRule="auto"/>
        <w:jc w:val="both"/>
        <w:rPr>
          <w:rFonts w:asciiTheme="majorBidi" w:hAnsiTheme="majorBidi" w:cstheme="majorBidi"/>
        </w:rPr>
      </w:pPr>
      <m:oMath>
        <m:sSubSup>
          <m:sSubSupPr>
            <m:ctrlPr>
              <w:rPr>
                <w:rFonts w:ascii="Cambria Math" w:hAnsi="Cambria Math" w:cstheme="majorBidi"/>
                <w:i/>
                <w:iCs/>
              </w:rPr>
            </m:ctrlPr>
          </m:sSubSupPr>
          <m:e>
            <m:r>
              <w:rPr>
                <w:rFonts w:ascii="Cambria Math" w:hAnsi="Cambria Math" w:cstheme="majorBidi"/>
              </w:rPr>
              <m:t>S</m:t>
            </m:r>
          </m:e>
          <m:sub>
            <m:r>
              <w:rPr>
                <w:rFonts w:ascii="Cambria Math" w:hAnsi="Cambria Math" w:cstheme="majorBidi"/>
              </w:rPr>
              <m:t>di</m:t>
            </m:r>
          </m:sub>
          <m:sup>
            <m:r>
              <w:rPr>
                <w:rFonts w:ascii="Cambria Math" w:hAnsi="Cambria Math" w:cstheme="majorBidi"/>
              </w:rPr>
              <m:t>2</m:t>
            </m:r>
          </m:sup>
        </m:sSubSup>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E-2</m:t>
            </m:r>
          </m:den>
        </m:f>
      </m:oMath>
      <w:r w:rsidR="009756F2" w:rsidRPr="00A51BC5">
        <w:rPr>
          <w:rFonts w:asciiTheme="majorBidi" w:hAnsiTheme="majorBidi" w:cstheme="majorBidi"/>
        </w:rPr>
        <w:t xml:space="preserve"> </w:t>
      </w:r>
      <m:oMath>
        <m:d>
          <m:dPr>
            <m:begChr m:val="["/>
            <m:endChr m:val="]"/>
            <m:ctrlPr>
              <w:rPr>
                <w:rFonts w:ascii="Cambria Math" w:hAnsi="Cambria Math" w:cstheme="majorBidi"/>
                <w:i/>
              </w:rPr>
            </m:ctrlPr>
          </m:dPr>
          <m:e>
            <m:sSub>
              <m:sSubPr>
                <m:ctrlPr>
                  <w:rPr>
                    <w:rFonts w:ascii="Cambria Math" w:hAnsi="Cambria Math" w:cstheme="majorBidi"/>
                  </w:rPr>
                </m:ctrlPr>
              </m:sSubPr>
              <m:e>
                <m:r>
                  <m:rPr>
                    <m:sty m:val="p"/>
                  </m:rPr>
                  <w:rPr>
                    <w:rFonts w:ascii="Cambria Math" w:hAnsi="Cambria Math" w:cstheme="majorBidi"/>
                  </w:rPr>
                  <m:t>Σ</m:t>
                </m:r>
              </m:e>
              <m:sub>
                <m:r>
                  <w:rPr>
                    <w:rFonts w:ascii="Cambria Math" w:hAnsi="Cambria Math" w:cstheme="majorBidi"/>
                  </w:rPr>
                  <m:t>j</m:t>
                </m:r>
              </m:sub>
            </m:sSub>
            <m:sSup>
              <m:sSupPr>
                <m:ctrlPr>
                  <w:rPr>
                    <w:rFonts w:ascii="Cambria Math" w:hAnsi="Cambria Math" w:cstheme="majorBidi"/>
                    <w:i/>
                  </w:rPr>
                </m:ctrlPr>
              </m:sSupPr>
              <m:e>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i.</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m:t>
                    </m:r>
                  </m:sub>
                </m:sSub>
                <m:r>
                  <w:rPr>
                    <w:rFonts w:ascii="Cambria Math" w:hAnsi="Cambria Math" w:cstheme="majorBidi"/>
                  </w:rPr>
                  <m:t>)</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(b</m:t>
                    </m:r>
                  </m:e>
                  <m:sub>
                    <m:r>
                      <w:rPr>
                        <w:rFonts w:ascii="Cambria Math" w:hAnsi="Cambria Math" w:cstheme="majorBidi"/>
                      </w:rPr>
                      <m:t>i</m:t>
                    </m:r>
                  </m:sub>
                </m:sSub>
                <m:r>
                  <w:rPr>
                    <w:rFonts w:ascii="Cambria Math" w:hAnsi="Cambria Math" w:cstheme="majorBidi"/>
                  </w:rPr>
                  <m:t>-2)</m:t>
                </m:r>
              </m:e>
              <m:sup>
                <m:r>
                  <w:rPr>
                    <w:rFonts w:ascii="Cambria Math" w:hAnsi="Cambria Math" w:cstheme="majorBidi"/>
                  </w:rPr>
                  <m:t>2</m:t>
                </m:r>
              </m:sup>
            </m:sSup>
            <m:nary>
              <m:naryPr>
                <m:chr m:val="∑"/>
                <m:limLoc m:val="undOvr"/>
                <m:subHide m:val="1"/>
                <m:supHide m:val="1"/>
                <m:ctrlPr>
                  <w:rPr>
                    <w:rFonts w:ascii="Cambria Math" w:hAnsi="Cambria Math" w:cstheme="majorBidi"/>
                    <w:i/>
                  </w:rPr>
                </m:ctrlPr>
              </m:naryPr>
              <m:sub/>
              <m:sup/>
              <m:e>
                <m:sSup>
                  <m:sSupPr>
                    <m:ctrlPr>
                      <w:rPr>
                        <w:rFonts w:ascii="Cambria Math" w:hAnsi="Cambria Math" w:cstheme="majorBidi"/>
                        <w:i/>
                      </w:rPr>
                    </m:ctrlPr>
                  </m:sSupPr>
                  <m:e>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m:t>
                        </m:r>
                      </m:sub>
                    </m:sSub>
                    <m:r>
                      <w:rPr>
                        <w:rFonts w:ascii="Cambria Math" w:hAnsi="Cambria Math" w:cstheme="majorBidi"/>
                      </w:rPr>
                      <m:t>)</m:t>
                    </m:r>
                  </m:e>
                  <m:sup>
                    <m:r>
                      <w:rPr>
                        <w:rFonts w:ascii="Cambria Math" w:hAnsi="Cambria Math" w:cstheme="majorBidi"/>
                      </w:rPr>
                      <m:t>2</m:t>
                    </m:r>
                  </m:sup>
                </m:sSup>
              </m:e>
            </m:nary>
          </m:e>
        </m:d>
      </m:oMath>
    </w:p>
    <w:p w14:paraId="7D384DBF"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where </w:t>
      </w:r>
      <w:proofErr w:type="spellStart"/>
      <w:r w:rsidRPr="00A51BC5">
        <w:rPr>
          <w:rFonts w:asciiTheme="majorBidi" w:hAnsiTheme="majorBidi" w:cstheme="majorBidi"/>
        </w:rPr>
        <w:t>X</w:t>
      </w:r>
      <w:r w:rsidRPr="00A51BC5">
        <w:rPr>
          <w:rFonts w:asciiTheme="majorBidi" w:hAnsiTheme="majorBidi" w:cstheme="majorBidi"/>
          <w:vertAlign w:val="subscript"/>
        </w:rPr>
        <w:t>ij</w:t>
      </w:r>
      <w:proofErr w:type="spellEnd"/>
      <w:r w:rsidRPr="00A51BC5">
        <w:rPr>
          <w:rFonts w:asciiTheme="majorBidi" w:hAnsiTheme="majorBidi" w:cstheme="majorBidi"/>
        </w:rPr>
        <w:t xml:space="preserve"> is </w:t>
      </w:r>
      <w:proofErr w:type="spellStart"/>
      <w:r w:rsidRPr="00A51BC5">
        <w:rPr>
          <w:rFonts w:asciiTheme="majorBidi" w:hAnsiTheme="majorBidi" w:cstheme="majorBidi"/>
          <w:i/>
          <w:iCs/>
        </w:rPr>
        <w:t>X</w:t>
      </w:r>
      <w:r w:rsidRPr="00A51BC5">
        <w:rPr>
          <w:rFonts w:asciiTheme="majorBidi" w:hAnsiTheme="majorBidi" w:cstheme="majorBidi"/>
          <w:i/>
          <w:iCs/>
          <w:vertAlign w:val="subscript"/>
        </w:rPr>
        <w:t>ij</w:t>
      </w:r>
      <w:proofErr w:type="spellEnd"/>
      <w:r w:rsidRPr="00A51BC5">
        <w:rPr>
          <w:rFonts w:asciiTheme="majorBidi" w:hAnsiTheme="majorBidi" w:cstheme="majorBidi"/>
          <w:i/>
          <w:iCs/>
        </w:rPr>
        <w:t xml:space="preserve"> </w:t>
      </w:r>
      <w:r w:rsidRPr="00A51BC5">
        <w:rPr>
          <w:rFonts w:asciiTheme="majorBidi" w:hAnsiTheme="majorBidi" w:cstheme="majorBidi"/>
        </w:rPr>
        <w:t xml:space="preserve">is the observed mean value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 1, ..., G) in environment </w:t>
      </w:r>
      <w:r w:rsidRPr="00A51BC5">
        <w:rPr>
          <w:rFonts w:asciiTheme="majorBidi" w:hAnsiTheme="majorBidi" w:cstheme="majorBidi"/>
          <w:i/>
          <w:iCs/>
        </w:rPr>
        <w:t>j</w:t>
      </w:r>
      <w:r w:rsidRPr="00A51BC5">
        <w:rPr>
          <w:rFonts w:asciiTheme="majorBidi" w:hAnsiTheme="majorBidi" w:cstheme="majorBidi"/>
        </w:rPr>
        <w:t xml:space="preserve"> (</w:t>
      </w:r>
      <w:r w:rsidRPr="00A51BC5">
        <w:rPr>
          <w:rFonts w:asciiTheme="majorBidi" w:hAnsiTheme="majorBidi" w:cstheme="majorBidi"/>
          <w:i/>
          <w:iCs/>
        </w:rPr>
        <w:t>j</w:t>
      </w:r>
      <w:r w:rsidRPr="00A51BC5">
        <w:rPr>
          <w:rFonts w:asciiTheme="majorBidi" w:hAnsiTheme="majorBidi" w:cstheme="majorBidi"/>
        </w:rPr>
        <w:t xml:space="preserve"> = </w:t>
      </w:r>
      <w:proofErr w:type="gramStart"/>
      <w:r w:rsidRPr="00A51BC5">
        <w:rPr>
          <w:rFonts w:asciiTheme="majorBidi" w:hAnsiTheme="majorBidi" w:cstheme="majorBidi"/>
        </w:rPr>
        <w:t>1,...</w:t>
      </w:r>
      <w:proofErr w:type="gramEnd"/>
      <w:r w:rsidRPr="00A51BC5">
        <w:rPr>
          <w:rFonts w:asciiTheme="majorBidi" w:hAnsiTheme="majorBidi" w:cstheme="majorBidi"/>
        </w:rPr>
        <w:t xml:space="preserve">, E), with </w:t>
      </w: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i.</m:t>
            </m:r>
          </m:sub>
        </m:sSub>
      </m:oMath>
      <w:r w:rsidRPr="00A51BC5">
        <w:rPr>
          <w:rFonts w:asciiTheme="majorBidi" w:hAnsiTheme="majorBidi" w:cstheme="majorBidi"/>
        </w:rPr>
        <w:t xml:space="preserve"> and </w:t>
      </w: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.j</m:t>
            </m:r>
          </m:sub>
        </m:sSub>
      </m:oMath>
      <w:r w:rsidRPr="00A51BC5">
        <w:rPr>
          <w:rFonts w:asciiTheme="majorBidi" w:hAnsiTheme="majorBidi" w:cstheme="majorBidi"/>
        </w:rPr>
        <w:t xml:space="preserve"> indicating minor means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and environment </w:t>
      </w:r>
      <w:r w:rsidRPr="00A51BC5">
        <w:rPr>
          <w:rFonts w:asciiTheme="majorBidi" w:hAnsiTheme="majorBidi" w:cstheme="majorBidi"/>
          <w:i/>
          <w:iCs/>
        </w:rPr>
        <w:t>j</w:t>
      </w:r>
      <w:r w:rsidRPr="00A51BC5">
        <w:rPr>
          <w:rFonts w:asciiTheme="majorBidi" w:hAnsiTheme="majorBidi" w:cstheme="majorBidi"/>
        </w:rPr>
        <w:t xml:space="preserve">, respectively. </w:t>
      </w: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m:t>
            </m:r>
          </m:sub>
        </m:sSub>
      </m:oMath>
      <w:r w:rsidRPr="00A51BC5">
        <w:rPr>
          <w:rFonts w:asciiTheme="majorBidi" w:hAnsiTheme="majorBidi" w:cstheme="majorBidi"/>
        </w:rPr>
        <w:t xml:space="preserve"> indicates the overall mean of X. </w:t>
      </w:r>
      <w:r w:rsidRPr="00A51BC5">
        <w:rPr>
          <w:rFonts w:asciiTheme="majorBidi" w:hAnsiTheme="majorBidi" w:cstheme="majorBidi"/>
          <w:i/>
          <w:iCs/>
        </w:rPr>
        <w:t>bi</w:t>
      </w:r>
      <w:r w:rsidRPr="00A51BC5">
        <w:rPr>
          <w:rFonts w:asciiTheme="majorBidi" w:hAnsiTheme="majorBidi" w:cstheme="majorBidi"/>
        </w:rPr>
        <w:t xml:space="preserve"> is the estimation of the coefficient of regression. The genotypes are categorized according to the size of the b</w:t>
      </w:r>
      <w:r w:rsidRPr="00A51BC5">
        <w:rPr>
          <w:rFonts w:asciiTheme="majorBidi" w:hAnsiTheme="majorBidi" w:cstheme="majorBidi"/>
          <w:vertAlign w:val="superscript"/>
        </w:rPr>
        <w:t>i</w:t>
      </w:r>
      <w:r w:rsidRPr="00A51BC5">
        <w:rPr>
          <w:rFonts w:asciiTheme="majorBidi" w:hAnsiTheme="majorBidi" w:cstheme="majorBidi"/>
        </w:rPr>
        <w:t xml:space="preserve"> and S</w:t>
      </w:r>
      <w:r w:rsidRPr="00A51BC5">
        <w:rPr>
          <w:rFonts w:asciiTheme="majorBidi" w:hAnsiTheme="majorBidi" w:cstheme="majorBidi"/>
          <w:vertAlign w:val="superscript"/>
        </w:rPr>
        <w:t>2</w:t>
      </w:r>
      <w:r w:rsidRPr="00A51BC5">
        <w:rPr>
          <w:rFonts w:asciiTheme="majorBidi" w:hAnsiTheme="majorBidi" w:cstheme="majorBidi"/>
          <w:vertAlign w:val="subscript"/>
        </w:rPr>
        <w:t>di</w:t>
      </w:r>
      <w:r w:rsidRPr="00A51BC5">
        <w:rPr>
          <w:rFonts w:asciiTheme="majorBidi" w:hAnsiTheme="majorBidi" w:cstheme="majorBidi"/>
        </w:rPr>
        <w:t xml:space="preserve"> parameters in this model. A genotype is highly adapted to favorable environmental conditions and adapted to unfavorable growing conditions when b</w:t>
      </w:r>
      <w:r w:rsidRPr="00A51BC5">
        <w:rPr>
          <w:rFonts w:asciiTheme="majorBidi" w:hAnsiTheme="majorBidi" w:cstheme="majorBidi"/>
          <w:vertAlign w:val="subscript"/>
        </w:rPr>
        <w:t>i</w:t>
      </w:r>
      <w:r w:rsidRPr="00A51BC5">
        <w:rPr>
          <w:rFonts w:asciiTheme="majorBidi" w:hAnsiTheme="majorBidi" w:cstheme="majorBidi"/>
        </w:rPr>
        <w:t xml:space="preserve"> &gt; 1, and b</w:t>
      </w:r>
      <w:r w:rsidRPr="00A51BC5">
        <w:rPr>
          <w:rFonts w:asciiTheme="majorBidi" w:hAnsiTheme="majorBidi" w:cstheme="majorBidi"/>
          <w:vertAlign w:val="subscript"/>
        </w:rPr>
        <w:t>i</w:t>
      </w:r>
      <w:r w:rsidRPr="00A51BC5">
        <w:rPr>
          <w:rFonts w:asciiTheme="majorBidi" w:hAnsiTheme="majorBidi" w:cstheme="majorBidi"/>
        </w:rPr>
        <w:t xml:space="preserve"> &lt; 1, respectively. The genotypes expressed an average adaptation to all environments when regression coefficients are equal to one. Genotypes with S</w:t>
      </w:r>
      <w:r w:rsidRPr="00A51BC5">
        <w:rPr>
          <w:rFonts w:asciiTheme="majorBidi" w:hAnsiTheme="majorBidi" w:cstheme="majorBidi"/>
          <w:vertAlign w:val="superscript"/>
        </w:rPr>
        <w:t>2</w:t>
      </w:r>
      <w:r w:rsidRPr="00A51BC5">
        <w:rPr>
          <w:rFonts w:asciiTheme="majorBidi" w:hAnsiTheme="majorBidi" w:cstheme="majorBidi"/>
          <w:vertAlign w:val="subscript"/>
        </w:rPr>
        <w:t>di</w:t>
      </w:r>
      <w:r w:rsidRPr="00A51BC5">
        <w:rPr>
          <w:rFonts w:asciiTheme="majorBidi" w:hAnsiTheme="majorBidi" w:cstheme="majorBidi"/>
        </w:rPr>
        <w:t xml:space="preserve"> equal to zero could be the most stable, whereas an S</w:t>
      </w:r>
      <w:r w:rsidRPr="00A51BC5">
        <w:rPr>
          <w:rFonts w:asciiTheme="majorBidi" w:hAnsiTheme="majorBidi" w:cstheme="majorBidi"/>
          <w:vertAlign w:val="superscript"/>
        </w:rPr>
        <w:t>2</w:t>
      </w:r>
      <w:r w:rsidRPr="00A51BC5">
        <w:rPr>
          <w:rFonts w:asciiTheme="majorBidi" w:hAnsiTheme="majorBidi" w:cstheme="majorBidi"/>
          <w:vertAlign w:val="subscript"/>
        </w:rPr>
        <w:t>di</w:t>
      </w:r>
      <w:r w:rsidRPr="00A51BC5">
        <w:rPr>
          <w:rFonts w:asciiTheme="majorBidi" w:hAnsiTheme="majorBidi" w:cstheme="majorBidi"/>
        </w:rPr>
        <w:t xml:space="preserve"> higher than zero would indicate lower stability across the environments.</w:t>
      </w:r>
    </w:p>
    <w:p w14:paraId="740B8E65"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hAnsiTheme="majorBidi" w:cstheme="majorBidi"/>
          <w:b/>
          <w:bCs/>
        </w:rPr>
        <w:t>Coefficient of determination:</w:t>
      </w:r>
    </w:p>
    <w:p w14:paraId="7A62BC30"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The coefficient of determination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&lt;EndNote&gt;&lt;Cite&gt;&lt;Author&gt;Pinthus&lt;/Author&gt;&lt;Year&gt;1973&lt;/Year&gt;&lt;RecNum&gt;2200&lt;/RecNum&gt;&lt;DisplayText&gt;(Pinthus, 1973)&lt;/DisplayText&gt;&lt;record&gt;&lt;rec-number&gt;2200&lt;/rec-number&gt;&lt;foreign-keys&gt;&lt;key app="EN" db-id="2x9evwr2lvas5eevfp6v5eea2rfv5faevsdz" timestamp="1684147097" guid="ed4fbe8a-0ec6-4449-a4bf-115f124093f2"&gt;2200&lt;/key&gt;&lt;/foreign-keys&gt;&lt;ref-type name="Journal Article"&gt;17&lt;/ref-type&gt;&lt;contributors&gt;&lt;authors&gt;&lt;author&gt;Pinthus, Moshe J.&lt;/author&gt;&lt;/authors&gt;&lt;/contributors&gt;&lt;titles&gt;&lt;title&gt;Estimate of genotypic value: A proposed method&lt;/title&gt;&lt;secondary-title&gt;Euphytica&lt;/secondary-title&gt;&lt;/titles&gt;&lt;periodical&gt;&lt;full-title&gt;Euphytica&lt;/full-title&gt;&lt;/periodical&gt;&lt;pages&gt;121-123&lt;/pages&gt;&lt;volume&gt;22&lt;/volume&gt;&lt;number&gt;1&lt;/number&gt;&lt;section&gt;121&lt;/section&gt;&lt;keywords&gt;&lt;keyword&gt;Plant Sciences&lt;/keyword&gt;&lt;keyword&gt;Plant Genetics and Genomics&lt;/keyword&gt;&lt;keyword&gt;Plant Pathology&lt;/keyword&gt;&lt;keyword&gt;Plant Physiology&lt;/keyword&gt;&lt;keyword&gt;Biotechnology&lt;/keyword&gt;&lt;/keywords&gt;&lt;dates&gt;&lt;year&gt;1973&lt;/year&gt;&lt;/dates&gt;&lt;publisher&gt;Springer&lt;/publisher&gt;&lt;isbn&gt;0014-2336&amp;#xD;1573-5060&lt;/isbn&gt;&lt;work-type&gt;OriginalPaper&lt;/work-type&gt;&lt;urls&gt;&lt;related-urls&gt;&lt;url&gt;https://link.springer.com/article/10.1007/BF00021563&lt;/url&gt;&lt;/related-urls&gt;&lt;/urls&gt;&lt;electronic-resource-num&gt;10.1007/bf00021563&lt;/electronic-resource-num&gt;&lt;language&gt;En&lt;/languag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(Pinthus, 1973)</w:t>
      </w:r>
      <w:r w:rsidRPr="00A51BC5">
        <w:rPr>
          <w:rFonts w:asciiTheme="majorBidi" w:hAnsiTheme="majorBidi" w:cstheme="majorBidi"/>
          <w:color w:val="0432FF"/>
        </w:rPr>
        <w:fldChar w:fldCharType="end"/>
      </w:r>
      <w:r w:rsidRPr="00A51BC5">
        <w:rPr>
          <w:rFonts w:asciiTheme="majorBidi" w:hAnsiTheme="majorBidi" w:cstheme="majorBidi"/>
        </w:rPr>
        <w:t xml:space="preserve"> is estimated based on regression function. A genotype with a high coefficient of determination is considered stable.</w:t>
      </w:r>
    </w:p>
    <w:p w14:paraId="38DA7540"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Coefficient of determination:</w:t>
      </w:r>
    </w:p>
    <w:p w14:paraId="2FD0DCD0" w14:textId="77777777" w:rsidR="009756F2" w:rsidRPr="00A51BC5" w:rsidRDefault="00000000" w:rsidP="009756F2">
      <w:pPr>
        <w:pStyle w:val="NormalWeb"/>
        <w:spacing w:before="0" w:beforeAutospacing="0" w:after="0" w:afterAutospacing="0" w:line="360" w:lineRule="auto"/>
        <w:jc w:val="both"/>
        <w:rPr>
          <w:rFonts w:asciiTheme="majorBidi" w:hAnsiTheme="majorBidi" w:cstheme="majorBidi"/>
        </w:rPr>
      </w:pPr>
      <m:oMathPara>
        <m:oMathParaPr>
          <m:jc m:val="left"/>
        </m:oMathParaPr>
        <m:oMath>
          <m:sSup>
            <m:sSupPr>
              <m:ctrlPr>
                <w:rPr>
                  <w:rFonts w:ascii="Cambria Math" w:eastAsiaTheme="minorEastAsia" w:hAnsi="Cambria Math" w:cstheme="majorBidi"/>
                  <w:sz w:val="22"/>
                  <w:szCs w:val="22"/>
                </w:rPr>
              </m:ctrlPr>
            </m:sSupPr>
            <m:e>
              <m:r>
                <w:rPr>
                  <w:rFonts w:ascii="Cambria Math" w:eastAsiaTheme="minorEastAsia" w:hAnsi="Cambria Math" w:cstheme="majorBidi"/>
                  <w:sz w:val="22"/>
                  <w:szCs w:val="22"/>
                </w:rPr>
                <m:t>R</m:t>
              </m:r>
            </m:e>
            <m:sup>
              <m:r>
                <w:rPr>
                  <w:rFonts w:ascii="Cambria Math" w:eastAsiaTheme="minorEastAsia" w:hAnsi="Cambria Math" w:cstheme="majorBidi"/>
                  <w:sz w:val="22"/>
                  <w:szCs w:val="22"/>
                </w:rPr>
                <m:t>2</m:t>
              </m:r>
            </m:sup>
          </m:sSup>
          <m:r>
            <w:rPr>
              <w:rFonts w:ascii="Cambria Math" w:hAnsi="Cambria Math" w:cstheme="majorBidi"/>
            </w:rPr>
            <m:t>=</m:t>
          </m:r>
          <m:r>
            <m:rPr>
              <m:sty m:val="p"/>
            </m:rPr>
            <w:rPr>
              <w:rFonts w:ascii="Cambria Math" w:hAnsi="Cambria Math" w:cstheme="majorBidi"/>
            </w:rPr>
            <m:t>1</m:t>
          </m:r>
          <m:r>
            <w:rPr>
              <w:rFonts w:ascii="Cambria Math" w:hAnsi="Cambria Math" w:cstheme="majorBidi"/>
            </w:rPr>
            <m:t xml:space="preserve">- </m:t>
          </m:r>
          <m:f>
            <m:fPr>
              <m:ctrlPr>
                <w:rPr>
                  <w:rFonts w:ascii="Cambria Math" w:hAnsi="Cambria Math" w:cstheme="majorBidi"/>
                  <w:i/>
                </w:rPr>
              </m:ctrlPr>
            </m:fPr>
            <m:num>
              <m:sSubSup>
                <m:sSubSupPr>
                  <m:ctrlPr>
                    <w:rPr>
                      <w:rFonts w:ascii="Cambria Math" w:hAnsi="Cambria Math" w:cstheme="majorBidi"/>
                      <w:i/>
                      <w:iCs/>
                    </w:rPr>
                  </m:ctrlPr>
                </m:sSubSupPr>
                <m:e>
                  <m:r>
                    <w:rPr>
                      <w:rFonts w:ascii="Cambria Math" w:hAnsi="Cambria Math" w:cstheme="majorBidi"/>
                    </w:rPr>
                    <m:t>S</m:t>
                  </m:r>
                </m:e>
                <m:sub>
                  <m:r>
                    <w:rPr>
                      <w:rFonts w:ascii="Cambria Math" w:hAnsi="Cambria Math" w:cstheme="majorBidi"/>
                    </w:rPr>
                    <m:t>di</m:t>
                  </m:r>
                </m:sub>
                <m:sup>
                  <m:r>
                    <w:rPr>
                      <w:rFonts w:ascii="Cambria Math" w:hAnsi="Cambria Math" w:cstheme="majorBidi"/>
                    </w:rPr>
                    <m:t>2</m:t>
                  </m:r>
                </m:sup>
              </m:sSubSup>
            </m:num>
            <m:den>
              <m:sSubSup>
                <m:sSubSupPr>
                  <m:ctrlPr>
                    <w:rPr>
                      <w:rFonts w:ascii="Cambria Math" w:hAnsi="Cambria Math" w:cstheme="majorBidi"/>
                      <w:i/>
                      <w:iCs/>
                    </w:rPr>
                  </m:ctrlPr>
                </m:sSubSupPr>
                <m:e>
                  <m:r>
                    <w:rPr>
                      <w:rFonts w:ascii="Cambria Math" w:hAnsi="Cambria Math" w:cstheme="majorBidi"/>
                    </w:rPr>
                    <m:t>S</m:t>
                  </m:r>
                </m:e>
                <m:sub>
                  <m:r>
                    <w:rPr>
                      <w:rFonts w:ascii="Cambria Math" w:hAnsi="Cambria Math" w:cstheme="majorBidi"/>
                    </w:rPr>
                    <m:t>xi</m:t>
                  </m:r>
                </m:sub>
                <m:sup>
                  <m:r>
                    <w:rPr>
                      <w:rFonts w:ascii="Cambria Math" w:hAnsi="Cambria Math" w:cstheme="majorBidi"/>
                    </w:rPr>
                    <m:t>2</m:t>
                  </m:r>
                </m:sup>
              </m:sSubSup>
            </m:den>
          </m:f>
        </m:oMath>
      </m:oMathPara>
    </w:p>
    <w:p w14:paraId="7AB3D2C1"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 xml:space="preserve">where </w:t>
      </w:r>
      <w:proofErr w:type="spellStart"/>
      <w:r w:rsidRPr="00A51BC5">
        <w:rPr>
          <w:rFonts w:asciiTheme="majorBidi" w:hAnsiTheme="majorBidi" w:cstheme="majorBidi"/>
        </w:rPr>
        <w:t>X</w:t>
      </w:r>
      <w:r w:rsidRPr="00A51BC5">
        <w:rPr>
          <w:rFonts w:asciiTheme="majorBidi" w:hAnsiTheme="majorBidi" w:cstheme="majorBidi"/>
          <w:vertAlign w:val="subscript"/>
        </w:rPr>
        <w:t>ij</w:t>
      </w:r>
      <w:proofErr w:type="spellEnd"/>
      <w:r w:rsidRPr="00A51BC5">
        <w:rPr>
          <w:rFonts w:asciiTheme="majorBidi" w:hAnsiTheme="majorBidi" w:cstheme="majorBidi"/>
        </w:rPr>
        <w:t xml:space="preserve"> is </w:t>
      </w:r>
      <w:proofErr w:type="spellStart"/>
      <w:r w:rsidRPr="00A51BC5">
        <w:rPr>
          <w:rFonts w:asciiTheme="majorBidi" w:hAnsiTheme="majorBidi" w:cstheme="majorBidi"/>
          <w:i/>
          <w:iCs/>
        </w:rPr>
        <w:t>X</w:t>
      </w:r>
      <w:r w:rsidRPr="00A51BC5">
        <w:rPr>
          <w:rFonts w:asciiTheme="majorBidi" w:hAnsiTheme="majorBidi" w:cstheme="majorBidi"/>
          <w:i/>
          <w:iCs/>
          <w:vertAlign w:val="subscript"/>
        </w:rPr>
        <w:t>ij</w:t>
      </w:r>
      <w:proofErr w:type="spellEnd"/>
      <w:r w:rsidRPr="00A51BC5">
        <w:rPr>
          <w:rFonts w:asciiTheme="majorBidi" w:hAnsiTheme="majorBidi" w:cstheme="majorBidi"/>
          <w:i/>
          <w:iCs/>
        </w:rPr>
        <w:t xml:space="preserve"> </w:t>
      </w:r>
      <w:r w:rsidRPr="00A51BC5">
        <w:rPr>
          <w:rFonts w:asciiTheme="majorBidi" w:hAnsiTheme="majorBidi" w:cstheme="majorBidi"/>
        </w:rPr>
        <w:t xml:space="preserve">is the observed mean value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 1, ..., G) in environment </w:t>
      </w:r>
      <w:r w:rsidRPr="00A51BC5">
        <w:rPr>
          <w:rFonts w:asciiTheme="majorBidi" w:hAnsiTheme="majorBidi" w:cstheme="majorBidi"/>
          <w:i/>
          <w:iCs/>
        </w:rPr>
        <w:t>j</w:t>
      </w:r>
      <w:r w:rsidRPr="00A51BC5">
        <w:rPr>
          <w:rFonts w:asciiTheme="majorBidi" w:hAnsiTheme="majorBidi" w:cstheme="majorBidi"/>
        </w:rPr>
        <w:t xml:space="preserve"> (</w:t>
      </w:r>
      <w:r w:rsidRPr="00A51BC5">
        <w:rPr>
          <w:rFonts w:asciiTheme="majorBidi" w:hAnsiTheme="majorBidi" w:cstheme="majorBidi"/>
          <w:i/>
          <w:iCs/>
        </w:rPr>
        <w:t>j</w:t>
      </w:r>
      <w:r w:rsidRPr="00A51BC5">
        <w:rPr>
          <w:rFonts w:asciiTheme="majorBidi" w:hAnsiTheme="majorBidi" w:cstheme="majorBidi"/>
        </w:rPr>
        <w:t xml:space="preserve"> = </w:t>
      </w:r>
      <w:proofErr w:type="gramStart"/>
      <w:r w:rsidRPr="00A51BC5">
        <w:rPr>
          <w:rFonts w:asciiTheme="majorBidi" w:hAnsiTheme="majorBidi" w:cstheme="majorBidi"/>
        </w:rPr>
        <w:t>1,...</w:t>
      </w:r>
      <w:proofErr w:type="gramEnd"/>
      <w:r w:rsidRPr="00A51BC5">
        <w:rPr>
          <w:rFonts w:asciiTheme="majorBidi" w:hAnsiTheme="majorBidi" w:cstheme="majorBidi"/>
        </w:rPr>
        <w:t xml:space="preserve">, E), with </w:t>
      </w: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i.</m:t>
            </m:r>
          </m:sub>
        </m:sSub>
      </m:oMath>
      <w:r w:rsidRPr="00A51BC5">
        <w:rPr>
          <w:rFonts w:asciiTheme="majorBidi" w:hAnsiTheme="majorBidi" w:cstheme="majorBidi"/>
        </w:rPr>
        <w:t xml:space="preserve"> and </w:t>
      </w: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.j</m:t>
            </m:r>
          </m:sub>
        </m:sSub>
      </m:oMath>
      <w:r w:rsidRPr="00A51BC5">
        <w:rPr>
          <w:rFonts w:asciiTheme="majorBidi" w:hAnsiTheme="majorBidi" w:cstheme="majorBidi"/>
        </w:rPr>
        <w:t xml:space="preserve"> indicating minor means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and environment </w:t>
      </w:r>
      <w:r w:rsidRPr="00A51BC5">
        <w:rPr>
          <w:rFonts w:asciiTheme="majorBidi" w:hAnsiTheme="majorBidi" w:cstheme="majorBidi"/>
          <w:i/>
          <w:iCs/>
        </w:rPr>
        <w:t>j</w:t>
      </w:r>
      <w:r w:rsidRPr="00A51BC5">
        <w:rPr>
          <w:rFonts w:asciiTheme="majorBidi" w:hAnsiTheme="majorBidi" w:cstheme="majorBidi"/>
        </w:rPr>
        <w:t xml:space="preserve">, respectively. </w:t>
      </w: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m:t>
            </m:r>
          </m:sub>
        </m:sSub>
      </m:oMath>
      <w:r w:rsidRPr="00A51BC5">
        <w:rPr>
          <w:rFonts w:asciiTheme="majorBidi" w:hAnsiTheme="majorBidi" w:cstheme="majorBidi"/>
        </w:rPr>
        <w:t xml:space="preserve"> indicates the overall mean of X.</w:t>
      </w:r>
    </w:p>
    <w:p w14:paraId="5FA922FC"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eastAsiaTheme="minorEastAsia" w:hAnsiTheme="majorBidi" w:cstheme="majorBidi"/>
          <w:b/>
          <w:bCs/>
        </w:rPr>
        <w:t>Join</w:t>
      </w:r>
      <w:r w:rsidRPr="00A51BC5">
        <w:rPr>
          <w:rFonts w:asciiTheme="majorBidi" w:hAnsiTheme="majorBidi" w:cstheme="majorBidi"/>
          <w:b/>
          <w:bCs/>
        </w:rPr>
        <w:t xml:space="preserve"> regression analysis: </w:t>
      </w:r>
    </w:p>
    <w:p w14:paraId="76AFF489" w14:textId="77777777" w:rsidR="009756F2" w:rsidRPr="00A51BC5" w:rsidRDefault="009756F2" w:rsidP="009756F2">
      <w:pPr>
        <w:spacing w:after="120" w:line="360" w:lineRule="auto"/>
        <w:jc w:val="both"/>
        <w:rPr>
          <w:rFonts w:asciiTheme="majorBidi" w:eastAsiaTheme="minorEastAsia" w:hAnsiTheme="majorBidi" w:cstheme="majorBidi"/>
        </w:rPr>
      </w:pPr>
      <w:r w:rsidRPr="00A51BC5">
        <w:rPr>
          <w:rFonts w:asciiTheme="majorBidi" w:hAnsiTheme="majorBidi" w:cstheme="majorBidi"/>
        </w:rPr>
        <w:t>Two</w:t>
      </w:r>
      <w:r w:rsidRPr="00A51BC5">
        <w:rPr>
          <w:rFonts w:asciiTheme="majorBidi" w:eastAsiaTheme="minorEastAsia" w:hAnsiTheme="majorBidi" w:cstheme="majorBidi"/>
        </w:rPr>
        <w:t xml:space="preserve"> stability parameters (</w:t>
      </w:r>
      <w:r w:rsidRPr="00A51BC5">
        <w:rPr>
          <w:rFonts w:asciiTheme="majorBidi" w:eastAsiaTheme="minorEastAsia" w:hAnsiTheme="majorBidi" w:cstheme="majorBidi"/>
          <w:i/>
          <w:iCs/>
        </w:rPr>
        <w:t>β</w:t>
      </w:r>
      <w:proofErr w:type="spellStart"/>
      <w:r w:rsidRPr="00A51BC5">
        <w:rPr>
          <w:rFonts w:asciiTheme="majorBidi" w:eastAsiaTheme="minorEastAsia" w:hAnsiTheme="majorBidi" w:cstheme="majorBidi"/>
          <w:i/>
          <w:iCs/>
        </w:rPr>
        <w:t>i</w:t>
      </w:r>
      <w:proofErr w:type="spellEnd"/>
      <w:r w:rsidRPr="00A51BC5">
        <w:rPr>
          <w:rFonts w:asciiTheme="majorBidi" w:eastAsiaTheme="minorEastAsia" w:hAnsiTheme="majorBidi" w:cstheme="majorBidi"/>
          <w:i/>
          <w:iCs/>
        </w:rPr>
        <w:t xml:space="preserve"> </w:t>
      </w:r>
      <w:r w:rsidRPr="00A51BC5">
        <w:rPr>
          <w:rFonts w:asciiTheme="majorBidi" w:eastAsiaTheme="minorEastAsia" w:hAnsiTheme="majorBidi" w:cstheme="majorBidi"/>
        </w:rPr>
        <w:t xml:space="preserve">and </w:t>
      </w:r>
      <w:proofErr w:type="spellStart"/>
      <w:r w:rsidRPr="00A51BC5">
        <w:rPr>
          <w:rFonts w:asciiTheme="majorBidi" w:eastAsiaTheme="minorEastAsia" w:hAnsiTheme="majorBidi" w:cstheme="majorBidi"/>
          <w:i/>
          <w:iCs/>
        </w:rPr>
        <w:t>Dji</w:t>
      </w:r>
      <w:proofErr w:type="spellEnd"/>
      <w:r w:rsidRPr="00A51BC5">
        <w:rPr>
          <w:rFonts w:asciiTheme="majorBidi" w:eastAsiaTheme="minorEastAsia" w:hAnsiTheme="majorBidi" w:cstheme="majorBidi"/>
        </w:rPr>
        <w:t xml:space="preserve">) indices were suggested by </w:t>
      </w:r>
      <w:r w:rsidRPr="00A51BC5">
        <w:rPr>
          <w:rFonts w:asciiTheme="majorBidi" w:eastAsiaTheme="minorEastAsia" w:hAnsiTheme="majorBidi" w:cstheme="majorBidi"/>
          <w:color w:val="0432FF"/>
        </w:rPr>
        <w:t>Perkins and Jinks, (1968)</w:t>
      </w:r>
      <w:r w:rsidRPr="00A51BC5">
        <w:rPr>
          <w:rFonts w:asciiTheme="majorBidi" w:eastAsiaTheme="minorEastAsia" w:hAnsiTheme="majorBidi" w:cstheme="majorBidi"/>
        </w:rPr>
        <w:t xml:space="preserve"> </w:t>
      </w:r>
      <w:r w:rsidRPr="00A51BC5">
        <w:rPr>
          <w:rFonts w:asciiTheme="majorBidi" w:hAnsiTheme="majorBidi" w:cstheme="majorBidi"/>
        </w:rPr>
        <w:t xml:space="preserve">as an improvement of </w:t>
      </w:r>
      <w:proofErr w:type="spellStart"/>
      <w:r w:rsidRPr="00A51BC5">
        <w:rPr>
          <w:rFonts w:asciiTheme="majorBidi" w:hAnsiTheme="majorBidi" w:cstheme="majorBidi"/>
        </w:rPr>
        <w:t>Bucio</w:t>
      </w:r>
      <w:proofErr w:type="spellEnd"/>
      <w:r w:rsidRPr="00A51BC5">
        <w:rPr>
          <w:rFonts w:asciiTheme="majorBidi" w:hAnsiTheme="majorBidi" w:cstheme="majorBidi"/>
        </w:rPr>
        <w:t xml:space="preserve"> </w:t>
      </w:r>
      <w:proofErr w:type="spellStart"/>
      <w:r w:rsidRPr="00A51BC5">
        <w:rPr>
          <w:rFonts w:asciiTheme="majorBidi" w:hAnsiTheme="majorBidi" w:cstheme="majorBidi"/>
        </w:rPr>
        <w:t>Alian</w:t>
      </w:r>
      <w:proofErr w:type="spellEnd"/>
      <w:r w:rsidRPr="00A51BC5">
        <w:rPr>
          <w:rFonts w:asciiTheme="majorBidi" w:hAnsiTheme="majorBidi" w:cstheme="majorBidi"/>
        </w:rPr>
        <w:t xml:space="preserve"> and Hill </w:t>
      </w:r>
      <w:r w:rsidRPr="00A51BC5">
        <w:rPr>
          <w:rFonts w:asciiTheme="majorBidi" w:eastAsiaTheme="minorEastAsia" w:hAnsiTheme="majorBidi" w:cstheme="majorBidi"/>
        </w:rPr>
        <w:t xml:space="preserve">model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&lt;EndNote&gt;&lt;Cite&gt;&lt;Author&gt;Bucio Alanis&lt;/Author&gt;&lt;Year&gt;1966&lt;/Year&gt;&lt;RecNum&gt;2199&lt;/RecNum&gt;&lt;DisplayText&gt;(Bucio Alanis &amp;amp; Hill, 1966)&lt;/DisplayText&gt;&lt;record&gt;&lt;rec-number&gt;2199&lt;/rec-number&gt;&lt;foreign-keys&gt;&lt;key app="EN" db-id="2x9evwr2lvas5eevfp6v5eea2rfv5faevsdz" timestamp="1684143758" guid="25eead5c-e300-4e08-8888-8383392c436c"&gt;2199&lt;/key&gt;&lt;/foreign-keys&gt;&lt;ref-type name="Journal Article"&gt;17&lt;/ref-type&gt;&lt;contributors&gt;&lt;authors&gt;&lt;author&gt;Bucio Alanis, L.&lt;/author&gt;&lt;author&gt;Hill, J.&lt;/author&gt;&lt;/authors&gt;&lt;/contributors&gt;&lt;titles&gt;&lt;title&gt;Environmental and genotype-environmental components of variability II. Heterozygotes&lt;/title&gt;&lt;secondary-title&gt;Heredity&lt;/secondary-title&gt;&lt;/titles&gt;&lt;periodical&gt;&lt;full-title&gt;Heredity&lt;/full-title&gt;&lt;/periodical&gt;&lt;pages&gt;399-405&lt;/pages&gt;&lt;volume&gt;21&lt;/volume&gt;&lt;number&gt;3&lt;/number&gt;&lt;section&gt;399&lt;/section&gt;&lt;keywords&gt;&lt;keyword&gt;Biomedicine, general&lt;/keyword&gt;&lt;keyword&gt;Human Genetics&lt;/keyword&gt;&lt;keyword&gt;Evolutionary Biology&lt;/keyword&gt;&lt;keyword&gt;Ecology&lt;/keyword&gt;&lt;keyword&gt;Cytogenetics&lt;/keyword&gt;&lt;keyword&gt;Plant Genetics and Genomics&lt;/keyword&gt;&lt;/keywords&gt;&lt;dates&gt;&lt;year&gt;1966&lt;/year&gt;&lt;/dates&gt;&lt;publisher&gt;Nature Publishing Group&lt;/publisher&gt;&lt;isbn&gt;0018-067X&amp;#xD;1365-2540&lt;/isbn&gt;&lt;work-type&gt;OriginalPaper&lt;/work-type&gt;&lt;urls&gt;&lt;related-urls&gt;&lt;url&gt;https://www.nature.com/articles/hdy196641&lt;/url&gt;&lt;/related-urls&gt;&lt;/urls&gt;&lt;electronic-resource-num&gt;10.1038/hdy.1966.41&lt;/electronic-resource-num&gt;&lt;language&gt;En&lt;/languag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(Bucio Alanis &amp; Hill, 1966)</w:t>
      </w:r>
      <w:r w:rsidRPr="00A51BC5">
        <w:rPr>
          <w:rFonts w:asciiTheme="majorBidi" w:hAnsiTheme="majorBidi" w:cstheme="majorBidi"/>
          <w:color w:val="0432FF"/>
        </w:rPr>
        <w:fldChar w:fldCharType="end"/>
      </w:r>
      <w:r w:rsidRPr="00A51BC5">
        <w:rPr>
          <w:rFonts w:asciiTheme="majorBidi" w:hAnsiTheme="majorBidi" w:cstheme="majorBidi"/>
          <w:color w:val="0432FF"/>
        </w:rPr>
        <w:t>.</w:t>
      </w:r>
      <w:r w:rsidRPr="00A51BC5">
        <w:rPr>
          <w:rFonts w:asciiTheme="majorBidi" w:hAnsiTheme="majorBidi" w:cstheme="majorBidi"/>
        </w:rPr>
        <w:t xml:space="preserve"> </w:t>
      </w:r>
      <w:r w:rsidRPr="00A51BC5">
        <w:rPr>
          <w:rFonts w:asciiTheme="majorBidi" w:eastAsiaTheme="minorEastAsia" w:hAnsiTheme="majorBidi" w:cstheme="majorBidi"/>
        </w:rPr>
        <w:t>A regression coefficient (</w:t>
      </w:r>
      <w:r w:rsidRPr="00A51BC5">
        <w:rPr>
          <w:rFonts w:asciiTheme="majorBidi" w:eastAsiaTheme="minorEastAsia" w:hAnsiTheme="majorBidi" w:cstheme="majorBidi"/>
          <w:i/>
          <w:iCs/>
        </w:rPr>
        <w:t>β</w:t>
      </w:r>
      <w:proofErr w:type="spellStart"/>
      <w:r w:rsidRPr="00A51BC5">
        <w:rPr>
          <w:rFonts w:asciiTheme="majorBidi" w:eastAsiaTheme="minorEastAsia" w:hAnsiTheme="majorBidi" w:cstheme="majorBidi"/>
          <w:i/>
          <w:iCs/>
          <w:vertAlign w:val="subscript"/>
        </w:rPr>
        <w:t>i</w:t>
      </w:r>
      <w:proofErr w:type="spellEnd"/>
      <w:r w:rsidRPr="00A51BC5">
        <w:rPr>
          <w:rFonts w:asciiTheme="majorBidi" w:eastAsiaTheme="minorEastAsia" w:hAnsiTheme="majorBidi" w:cstheme="majorBidi"/>
          <w:i/>
          <w:iCs/>
        </w:rPr>
        <w:t xml:space="preserve">) </w:t>
      </w:r>
      <w:r w:rsidRPr="00A51BC5">
        <w:rPr>
          <w:rFonts w:asciiTheme="majorBidi" w:eastAsiaTheme="minorEastAsia" w:hAnsiTheme="majorBidi" w:cstheme="majorBidi"/>
        </w:rPr>
        <w:t>as a linear sensitivity to change in the environments</w:t>
      </w:r>
      <w:r w:rsidRPr="00A51BC5">
        <w:rPr>
          <w:rFonts w:asciiTheme="majorBidi" w:eastAsiaTheme="minorEastAsia" w:hAnsiTheme="majorBidi" w:cstheme="majorBidi"/>
          <w:i/>
          <w:iCs/>
        </w:rPr>
        <w:t xml:space="preserve"> </w:t>
      </w:r>
      <w:r w:rsidRPr="00A51BC5">
        <w:rPr>
          <w:rFonts w:asciiTheme="majorBidi" w:eastAsiaTheme="minorEastAsia" w:hAnsiTheme="majorBidi" w:cstheme="majorBidi"/>
        </w:rPr>
        <w:t>and non-linear sensitivity to the environments change (</w:t>
      </w:r>
      <w:proofErr w:type="spellStart"/>
      <w:r w:rsidRPr="00A51BC5">
        <w:rPr>
          <w:rFonts w:asciiTheme="majorBidi" w:eastAsiaTheme="minorEastAsia" w:hAnsiTheme="majorBidi" w:cstheme="majorBidi"/>
          <w:i/>
          <w:iCs/>
        </w:rPr>
        <w:t>D</w:t>
      </w:r>
      <w:r w:rsidRPr="00A51BC5">
        <w:rPr>
          <w:rFonts w:asciiTheme="majorBidi" w:eastAsiaTheme="minorEastAsia" w:hAnsiTheme="majorBidi" w:cstheme="majorBidi"/>
          <w:i/>
          <w:iCs/>
          <w:vertAlign w:val="subscript"/>
        </w:rPr>
        <w:t>ji</w:t>
      </w:r>
      <w:proofErr w:type="spellEnd"/>
      <w:r w:rsidRPr="00A51BC5">
        <w:rPr>
          <w:rFonts w:asciiTheme="majorBidi" w:eastAsiaTheme="minorEastAsia" w:hAnsiTheme="majorBidi" w:cstheme="majorBidi"/>
          <w:i/>
          <w:iCs/>
        </w:rPr>
        <w:t>)</w:t>
      </w:r>
      <w:r w:rsidRPr="00A51BC5">
        <w:rPr>
          <w:rFonts w:asciiTheme="majorBidi" w:eastAsiaTheme="minorEastAsia" w:hAnsiTheme="majorBidi" w:cstheme="majorBidi"/>
        </w:rPr>
        <w:t>.</w:t>
      </w:r>
    </w:p>
    <w:p w14:paraId="5745278D" w14:textId="77777777" w:rsidR="009756F2" w:rsidRPr="00A51BC5" w:rsidRDefault="00000000" w:rsidP="009756F2">
      <w:pPr>
        <w:pStyle w:val="NormalWeb"/>
        <w:adjustRightInd w:val="0"/>
        <w:snapToGrid w:val="0"/>
        <w:spacing w:before="0" w:beforeAutospacing="0" w:after="0" w:afterAutospacing="0" w:line="360" w:lineRule="auto"/>
        <w:jc w:val="both"/>
        <w:rPr>
          <w:rFonts w:asciiTheme="majorBidi" w:hAnsiTheme="majorBidi" w:cstheme="majorBidi"/>
        </w:rPr>
      </w:pPr>
      <m:oMathPara>
        <m:oMathParaPr>
          <m:jc m:val="left"/>
        </m:oMathParaPr>
        <m:oMath>
          <m:sSub>
            <m:sSubPr>
              <m:ctrlPr>
                <w:rPr>
                  <w:rFonts w:ascii="Cambria Math" w:eastAsiaTheme="minorEastAsia" w:hAnsi="Cambria Math" w:cstheme="majorBidi"/>
                  <w:sz w:val="22"/>
                  <w:szCs w:val="22"/>
                </w:rPr>
              </m:ctrlPr>
            </m:sSubPr>
            <m:e>
              <m:r>
                <m:rPr>
                  <m:sty m:val="p"/>
                </m:rPr>
                <w:rPr>
                  <w:rFonts w:ascii="Cambria Math" w:hAnsi="Cambria Math" w:cstheme="majorBidi"/>
                </w:rPr>
                <m:t>β</m:t>
              </m:r>
            </m:e>
            <m:sub>
              <m:r>
                <w:rPr>
                  <w:rFonts w:ascii="Cambria Math" w:hAnsi="Cambria Math" w:cstheme="majorBidi"/>
                </w:rPr>
                <m:t>i</m:t>
              </m:r>
            </m:sub>
          </m:sSub>
          <m:r>
            <w:rPr>
              <w:rFonts w:ascii="Cambria Math" w:hAnsi="Cambria Math" w:cstheme="majorBidi"/>
            </w:rPr>
            <m:t>=</m:t>
          </m:r>
          <m:f>
            <m:fPr>
              <m:ctrlPr>
                <w:rPr>
                  <w:rFonts w:ascii="Cambria Math" w:hAnsi="Cambria Math" w:cstheme="majorBidi"/>
                </w:rPr>
              </m:ctrlPr>
            </m:fPr>
            <m:num>
              <m:sSub>
                <m:sSubPr>
                  <m:ctrlPr>
                    <w:rPr>
                      <w:rFonts w:ascii="Cambria Math" w:hAnsi="Cambria Math" w:cstheme="majorBidi"/>
                    </w:rPr>
                  </m:ctrlPr>
                </m:sSubPr>
                <m:e>
                  <m:r>
                    <m:rPr>
                      <m:sty m:val="p"/>
                    </m:rPr>
                    <w:rPr>
                      <w:rFonts w:ascii="Cambria Math" w:hAnsi="Cambria Math" w:cstheme="majorBidi"/>
                    </w:rPr>
                    <m:t>Σ</m:t>
                  </m:r>
                </m:e>
                <m:sub>
                  <m:r>
                    <w:rPr>
                      <w:rFonts w:ascii="Cambria Math" w:hAnsi="Cambria Math" w:cstheme="majorBidi"/>
                    </w:rPr>
                    <m:t>j</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Y</m:t>
                  </m:r>
                </m:e>
                <m:sub>
                  <m:r>
                    <w:rPr>
                      <w:rFonts w:ascii="Cambria Math" w:hAnsi="Cambria Math" w:cstheme="majorBidi"/>
                    </w:rPr>
                    <m:t>ij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i.</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m:t>
                  </m:r>
                </m:sub>
              </m:sSub>
              <m:r>
                <w:rPr>
                  <w:rFonts w:ascii="Cambria Math" w:hAnsi="Cambria Math" w:cstheme="majorBidi"/>
                </w:rPr>
                <m:t>)</m:t>
              </m:r>
            </m:num>
            <m:den>
              <m:sSub>
                <m:sSubPr>
                  <m:ctrlPr>
                    <w:rPr>
                      <w:rFonts w:ascii="Cambria Math" w:hAnsi="Cambria Math" w:cstheme="majorBidi"/>
                    </w:rPr>
                  </m:ctrlPr>
                </m:sSubPr>
                <m:e>
                  <m:r>
                    <m:rPr>
                      <m:sty m:val="p"/>
                    </m:rPr>
                    <w:rPr>
                      <w:rFonts w:ascii="Cambria Math" w:hAnsi="Cambria Math" w:cstheme="majorBidi"/>
                    </w:rPr>
                    <m:t>Σ</m:t>
                  </m:r>
                </m:e>
                <m:sub>
                  <m:r>
                    <w:rPr>
                      <w:rFonts w:ascii="Cambria Math" w:hAnsi="Cambria Math" w:cstheme="majorBidi"/>
                    </w:rPr>
                    <m:t>j</m:t>
                  </m:r>
                </m:sub>
              </m:sSub>
              <m:sSup>
                <m:sSupPr>
                  <m:ctrlPr>
                    <w:rPr>
                      <w:rFonts w:ascii="Cambria Math" w:hAnsi="Cambria Math" w:cstheme="majorBidi"/>
                      <w:i/>
                    </w:rPr>
                  </m:ctrlPr>
                </m:sSupPr>
                <m:e>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m:t>
                      </m:r>
                    </m:sub>
                  </m:sSub>
                  <m:r>
                    <w:rPr>
                      <w:rFonts w:ascii="Cambria Math" w:hAnsi="Cambria Math" w:cstheme="majorBidi"/>
                    </w:rPr>
                    <m:t>)</m:t>
                  </m:r>
                </m:e>
                <m:sup>
                  <m:r>
                    <w:rPr>
                      <w:rFonts w:ascii="Cambria Math" w:hAnsi="Cambria Math" w:cstheme="majorBidi"/>
                    </w:rPr>
                    <m:t>2</m:t>
                  </m:r>
                </m:sup>
              </m:sSup>
            </m:den>
          </m:f>
        </m:oMath>
      </m:oMathPara>
    </w:p>
    <w:p w14:paraId="130B28C3" w14:textId="77777777" w:rsidR="009756F2" w:rsidRPr="00A51BC5" w:rsidRDefault="00000000" w:rsidP="009756F2">
      <w:pPr>
        <w:widowControl w:val="0"/>
        <w:autoSpaceDE w:val="0"/>
        <w:autoSpaceDN w:val="0"/>
        <w:adjustRightInd w:val="0"/>
        <w:snapToGrid w:val="0"/>
        <w:spacing w:line="360" w:lineRule="auto"/>
        <w:jc w:val="both"/>
        <w:rPr>
          <w:rFonts w:asciiTheme="majorBidi" w:hAnsiTheme="majorBidi" w:cstheme="majorBidi"/>
        </w:rPr>
      </w:pPr>
      <m:oMathPara>
        <m:oMathParaPr>
          <m:jc m:val="left"/>
        </m:oMathParaPr>
        <m:oMath>
          <m:sSub>
            <m:sSubPr>
              <m:ctrlPr>
                <w:rPr>
                  <w:rFonts w:ascii="Cambria Math" w:hAnsi="Cambria Math" w:cstheme="majorBidi"/>
                  <w:i/>
                  <w:iCs/>
                </w:rPr>
              </m:ctrlPr>
            </m:sSubPr>
            <m:e>
              <m:r>
                <w:rPr>
                  <w:rFonts w:ascii="Cambria Math" w:hAnsi="Cambria Math" w:cstheme="majorBidi"/>
                </w:rPr>
                <m:t>D</m:t>
              </m:r>
            </m:e>
            <m:sub>
              <m:r>
                <w:rPr>
                  <w:rFonts w:ascii="Cambria Math" w:hAnsi="Cambria Math" w:cstheme="majorBidi"/>
                </w:rPr>
                <m:t>ji</m:t>
              </m:r>
            </m:sub>
          </m:sSub>
          <m:r>
            <w:rPr>
              <w:rFonts w:ascii="Cambria Math" w:hAnsi="Cambria Math" w:cstheme="majorBidi"/>
            </w:rPr>
            <m:t>=</m:t>
          </m:r>
          <m:f>
            <m:fPr>
              <m:ctrlPr>
                <w:rPr>
                  <w:rFonts w:ascii="Cambria Math" w:hAnsi="Cambria Math" w:cstheme="majorBidi"/>
                </w:rPr>
              </m:ctrlPr>
            </m:fPr>
            <m:num>
              <m:sSub>
                <m:sSubPr>
                  <m:ctrlPr>
                    <w:rPr>
                      <w:rFonts w:ascii="Cambria Math" w:hAnsi="Cambria Math" w:cstheme="majorBidi"/>
                    </w:rPr>
                  </m:ctrlPr>
                </m:sSubPr>
                <m:e>
                  <m:r>
                    <m:rPr>
                      <m:sty m:val="p"/>
                    </m:rPr>
                    <w:rPr>
                      <w:rFonts w:ascii="Cambria Math" w:hAnsi="Cambria Math" w:cstheme="majorBidi"/>
                    </w:rPr>
                    <m:t>Σ</m:t>
                  </m:r>
                </m:e>
                <m:sub>
                  <m:r>
                    <w:rPr>
                      <w:rFonts w:ascii="Cambria Math" w:hAnsi="Cambria Math" w:cstheme="majorBidi"/>
                    </w:rPr>
                    <m:t>j</m:t>
                  </m:r>
                </m:sub>
              </m:sSub>
              <m:sSubSup>
                <m:sSubSupPr>
                  <m:ctrlPr>
                    <w:rPr>
                      <w:rFonts w:ascii="Cambria Math" w:hAnsi="Cambria Math" w:cstheme="majorBidi"/>
                      <w:i/>
                    </w:rPr>
                  </m:ctrlPr>
                </m:sSubSupPr>
                <m:e>
                  <m:r>
                    <w:rPr>
                      <w:rFonts w:ascii="Cambria Math" w:hAnsi="Cambria Math" w:cstheme="majorBidi"/>
                    </w:rPr>
                    <m:t>δ</m:t>
                  </m:r>
                </m:e>
                <m:sub>
                  <m:r>
                    <w:rPr>
                      <w:rFonts w:ascii="Cambria Math" w:hAnsi="Cambria Math" w:cstheme="majorBidi"/>
                    </w:rPr>
                    <m:t>ij</m:t>
                  </m:r>
                </m:sub>
                <m:sup>
                  <m:r>
                    <w:rPr>
                      <w:rFonts w:ascii="Cambria Math" w:hAnsi="Cambria Math" w:cstheme="majorBidi"/>
                    </w:rPr>
                    <m:t>2</m:t>
                  </m:r>
                </m:sup>
              </m:sSubSup>
            </m:num>
            <m:den>
              <m:r>
                <w:rPr>
                  <w:rFonts w:ascii="Cambria Math" w:hAnsi="Cambria Math" w:cstheme="majorBidi"/>
                </w:rPr>
                <m:t>(s-2)</m:t>
              </m:r>
            </m:den>
          </m:f>
        </m:oMath>
      </m:oMathPara>
    </w:p>
    <w:p w14:paraId="2E2780D4" w14:textId="77777777" w:rsidR="009756F2" w:rsidRPr="00A51BC5" w:rsidRDefault="009756F2" w:rsidP="009756F2">
      <w:pPr>
        <w:widowControl w:val="0"/>
        <w:autoSpaceDE w:val="0"/>
        <w:autoSpaceDN w:val="0"/>
        <w:adjustRightInd w:val="0"/>
        <w:spacing w:line="360" w:lineRule="auto"/>
        <w:jc w:val="both"/>
        <w:rPr>
          <w:rFonts w:asciiTheme="majorBidi" w:eastAsiaTheme="minorEastAsia" w:hAnsiTheme="majorBidi" w:cstheme="majorBidi"/>
        </w:rPr>
      </w:pPr>
      <w:r w:rsidRPr="00A51BC5">
        <w:rPr>
          <w:rFonts w:asciiTheme="majorBidi" w:hAnsiTheme="majorBidi" w:cstheme="majorBidi"/>
        </w:rPr>
        <w:t xml:space="preserve">where </w:t>
      </w:r>
      <w:r w:rsidRPr="00A51BC5">
        <w:rPr>
          <w:rFonts w:asciiTheme="majorBidi" w:eastAsiaTheme="minorEastAsia" w:hAnsiTheme="majorBidi" w:cstheme="majorBidi"/>
          <w:i/>
          <w:iCs/>
        </w:rPr>
        <w:t>β</w:t>
      </w:r>
      <w:proofErr w:type="spellStart"/>
      <w:r w:rsidRPr="00A51BC5">
        <w:rPr>
          <w:rFonts w:asciiTheme="majorBidi" w:eastAsiaTheme="minorEastAsia" w:hAnsiTheme="majorBidi" w:cstheme="majorBidi"/>
          <w:i/>
          <w:iCs/>
        </w:rPr>
        <w:t>i</w:t>
      </w:r>
      <w:proofErr w:type="spellEnd"/>
      <w:r w:rsidRPr="00A51BC5">
        <w:rPr>
          <w:rFonts w:asciiTheme="majorBidi" w:eastAsiaTheme="minorEastAsia" w:hAnsiTheme="majorBidi" w:cstheme="majorBidi"/>
          <w:i/>
          <w:iCs/>
        </w:rPr>
        <w:t xml:space="preserve"> </w:t>
      </w:r>
      <w:r w:rsidRPr="00A51BC5">
        <w:rPr>
          <w:rFonts w:asciiTheme="majorBidi" w:eastAsiaTheme="minorEastAsia" w:hAnsiTheme="majorBidi" w:cstheme="majorBidi"/>
        </w:rPr>
        <w:t xml:space="preserve">is the linear regression coefficient for the </w:t>
      </w:r>
      <w:proofErr w:type="spellStart"/>
      <w:r w:rsidRPr="00A51BC5">
        <w:rPr>
          <w:rFonts w:asciiTheme="majorBidi" w:eastAsiaTheme="minorEastAsia" w:hAnsiTheme="majorBidi" w:cstheme="majorBidi"/>
        </w:rPr>
        <w:t>i</w:t>
      </w:r>
      <w:r w:rsidRPr="00A51BC5">
        <w:rPr>
          <w:rFonts w:asciiTheme="majorBidi" w:eastAsiaTheme="minorEastAsia" w:hAnsiTheme="majorBidi" w:cstheme="majorBidi"/>
          <w:vertAlign w:val="superscript"/>
        </w:rPr>
        <w:t>th</w:t>
      </w:r>
      <w:proofErr w:type="spellEnd"/>
      <w:r w:rsidRPr="00A51BC5">
        <w:rPr>
          <w:rFonts w:asciiTheme="majorBidi" w:eastAsiaTheme="minorEastAsia" w:hAnsiTheme="majorBidi" w:cstheme="majorBidi"/>
        </w:rPr>
        <w:t xml:space="preserve"> genotype and </w:t>
      </w:r>
      <m:oMath>
        <m:sSubSup>
          <m:sSubSupPr>
            <m:ctrlPr>
              <w:rPr>
                <w:rFonts w:ascii="Cambria Math" w:hAnsi="Cambria Math" w:cstheme="majorBidi"/>
                <w:i/>
              </w:rPr>
            </m:ctrlPr>
          </m:sSubSupPr>
          <m:e>
            <m:r>
              <w:rPr>
                <w:rFonts w:ascii="Cambria Math" w:hAnsi="Cambria Math" w:cstheme="majorBidi"/>
              </w:rPr>
              <m:t>δ</m:t>
            </m:r>
          </m:e>
          <m:sub>
            <m:r>
              <w:rPr>
                <w:rFonts w:ascii="Cambria Math" w:hAnsi="Cambria Math" w:cstheme="majorBidi"/>
              </w:rPr>
              <m:t>ij</m:t>
            </m:r>
          </m:sub>
          <m:sup>
            <m:r>
              <w:rPr>
                <w:rFonts w:ascii="Cambria Math" w:hAnsi="Cambria Math" w:cstheme="majorBidi"/>
              </w:rPr>
              <m:t>2</m:t>
            </m:r>
          </m:sup>
        </m:sSubSup>
      </m:oMath>
      <w:r w:rsidRPr="00A51BC5">
        <w:rPr>
          <w:rFonts w:asciiTheme="majorBidi" w:eastAsiaTheme="minorEastAsia" w:hAnsiTheme="majorBidi" w:cstheme="majorBidi"/>
        </w:rPr>
        <w:t xml:space="preserve"> is the division from regression from the </w:t>
      </w:r>
      <w:proofErr w:type="spellStart"/>
      <w:r w:rsidRPr="00A51BC5">
        <w:rPr>
          <w:rFonts w:asciiTheme="majorBidi" w:eastAsiaTheme="minorEastAsia" w:hAnsiTheme="majorBidi" w:cstheme="majorBidi"/>
        </w:rPr>
        <w:t>i</w:t>
      </w:r>
      <w:r w:rsidRPr="00A51BC5">
        <w:rPr>
          <w:rFonts w:asciiTheme="majorBidi" w:eastAsiaTheme="minorEastAsia" w:hAnsiTheme="majorBidi" w:cstheme="majorBidi"/>
          <w:vertAlign w:val="superscript"/>
        </w:rPr>
        <w:t>th</w:t>
      </w:r>
      <w:proofErr w:type="spellEnd"/>
      <w:r w:rsidRPr="00A51BC5">
        <w:rPr>
          <w:rFonts w:asciiTheme="majorBidi" w:eastAsiaTheme="minorEastAsia" w:hAnsiTheme="majorBidi" w:cstheme="majorBidi"/>
        </w:rPr>
        <w:t xml:space="preserve"> genotype in the </w:t>
      </w:r>
      <w:proofErr w:type="spellStart"/>
      <w:r w:rsidRPr="00A51BC5">
        <w:rPr>
          <w:rFonts w:asciiTheme="majorBidi" w:eastAsiaTheme="minorEastAsia" w:hAnsiTheme="majorBidi" w:cstheme="majorBidi"/>
        </w:rPr>
        <w:t>j</w:t>
      </w:r>
      <w:r w:rsidRPr="00A51BC5">
        <w:rPr>
          <w:rFonts w:asciiTheme="majorBidi" w:eastAsiaTheme="minorEastAsia" w:hAnsiTheme="majorBidi" w:cstheme="majorBidi"/>
          <w:vertAlign w:val="superscript"/>
        </w:rPr>
        <w:t>th</w:t>
      </w:r>
      <w:proofErr w:type="spellEnd"/>
      <w:r w:rsidRPr="00A51BC5">
        <w:rPr>
          <w:rFonts w:asciiTheme="majorBidi" w:eastAsiaTheme="minorEastAsia" w:hAnsiTheme="majorBidi" w:cstheme="majorBidi"/>
        </w:rPr>
        <w:t xml:space="preserve"> environment.</w:t>
      </w:r>
    </w:p>
    <w:p w14:paraId="3C862380"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eastAsiaTheme="minorEastAsia" w:hAnsiTheme="majorBidi" w:cstheme="majorBidi"/>
          <w:b/>
          <w:bCs/>
        </w:rPr>
        <w:t>Coefficient</w:t>
      </w:r>
      <w:r w:rsidRPr="00A51BC5">
        <w:rPr>
          <w:rFonts w:asciiTheme="majorBidi" w:hAnsiTheme="majorBidi" w:cstheme="majorBidi"/>
          <w:b/>
          <w:bCs/>
        </w:rPr>
        <w:t xml:space="preserve"> of variation:</w:t>
      </w:r>
    </w:p>
    <w:p w14:paraId="010CC137"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In this model, stability could be estimated through the combination of the mean yield and environmental variance and coefficient of variation according to </w:t>
      </w:r>
      <w:r w:rsidRPr="00A51BC5">
        <w:rPr>
          <w:rFonts w:asciiTheme="majorBidi" w:hAnsiTheme="majorBidi" w:cstheme="majorBidi"/>
          <w:color w:val="0432FF"/>
        </w:rPr>
        <w:t xml:space="preserve">Francis and </w:t>
      </w:r>
      <w:proofErr w:type="spellStart"/>
      <w:r w:rsidRPr="00A51BC5">
        <w:rPr>
          <w:rFonts w:asciiTheme="majorBidi" w:hAnsiTheme="majorBidi" w:cstheme="majorBidi"/>
          <w:color w:val="0432FF"/>
        </w:rPr>
        <w:t>Kannenberg</w:t>
      </w:r>
      <w:proofErr w:type="spellEnd"/>
      <w:r w:rsidRPr="00A51BC5">
        <w:rPr>
          <w:rFonts w:asciiTheme="majorBidi" w:hAnsiTheme="majorBidi" w:cstheme="majorBidi"/>
          <w:color w:val="0432FF"/>
        </w:rPr>
        <w:t>, (1978)</w:t>
      </w:r>
      <w:r w:rsidRPr="00A51BC5">
        <w:rPr>
          <w:rFonts w:asciiTheme="majorBidi" w:hAnsiTheme="majorBidi" w:cstheme="majorBidi"/>
        </w:rPr>
        <w:t xml:space="preserve">. A genotype with the lowest variance across different environmental conditions, with a minimum CV, and high yield performance is considered the most desirable. This statistic is calculated as follows: </w:t>
      </w:r>
    </w:p>
    <w:p w14:paraId="615D1B0B" w14:textId="77777777" w:rsidR="009756F2" w:rsidRPr="00A51BC5" w:rsidRDefault="009756F2" w:rsidP="009756F2">
      <w:pPr>
        <w:widowControl w:val="0"/>
        <w:autoSpaceDE w:val="0"/>
        <w:autoSpaceDN w:val="0"/>
        <w:adjustRightInd w:val="0"/>
        <w:spacing w:line="360" w:lineRule="auto"/>
        <w:jc w:val="both"/>
        <w:rPr>
          <w:rFonts w:ascii="VgsrjpAdvPTimes" w:hAnsi="VgsrjpAdvPTimes"/>
        </w:rPr>
      </w:pPr>
      <m:oMath>
        <m:r>
          <w:rPr>
            <w:rFonts w:ascii="Cambria Math" w:hAnsi="Cambria Math"/>
          </w:rPr>
          <m:t>CV%=</m:t>
        </m:r>
        <m:d>
          <m:dPr>
            <m:ctrlPr>
              <w:rPr>
                <w:rFonts w:ascii="Cambria Math" w:hAnsi="Cambria Math"/>
                <w:i/>
              </w:rPr>
            </m:ctrlPr>
          </m:dPr>
          <m:e>
            <m:f>
              <m:fPr>
                <m:ctrlPr>
                  <w:rPr>
                    <w:rFonts w:ascii="Cambria Math" w:hAnsi="Cambria Math"/>
                    <w:i/>
                  </w:rPr>
                </m:ctrlPr>
              </m:fPr>
              <m:num>
                <m:nary>
                  <m:naryPr>
                    <m:chr m:val="∑"/>
                    <m:limLoc m:val="undOvr"/>
                    <m:supHide m:val="1"/>
                    <m:ctrlPr>
                      <w:rPr>
                        <w:rFonts w:ascii="Cambria Math" w:hAnsi="Cambria Math"/>
                        <w:i/>
                      </w:rPr>
                    </m:ctrlPr>
                  </m:naryPr>
                  <m:sub>
                    <m:r>
                      <w:rPr>
                        <w:rFonts w:ascii="Cambria Math" w:hAnsi="Cambria Math"/>
                      </w:rPr>
                      <m:t>j</m:t>
                    </m:r>
                  </m:sub>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ij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Y</m:t>
                                    </m:r>
                                  </m:e>
                                </m:bar>
                              </m:e>
                              <m:sub>
                                <m:r>
                                  <w:rPr>
                                    <w:rFonts w:ascii="Cambria Math" w:hAnsi="Cambria Math"/>
                                  </w:rPr>
                                  <m:t>j.</m:t>
                                </m:r>
                              </m:sub>
                            </m:sSub>
                          </m:e>
                        </m:d>
                      </m:e>
                      <m:sup>
                        <m:r>
                          <w:rPr>
                            <w:rFonts w:ascii="Cambria Math" w:hAnsi="Cambria Math"/>
                          </w:rPr>
                          <m:t>2</m:t>
                        </m:r>
                      </m:sup>
                    </m:sSup>
                  </m:e>
                </m:nary>
              </m:num>
              <m:den>
                <m:r>
                  <w:rPr>
                    <w:rFonts w:ascii="Cambria Math" w:hAnsi="Cambria Math"/>
                  </w:rPr>
                  <m:t>S-1</m:t>
                </m:r>
              </m:den>
            </m:f>
            <m:r>
              <w:rPr>
                <w:rFonts w:ascii="Cambria Math" w:hAnsi="Cambria Math"/>
              </w:rPr>
              <m:t xml:space="preserve">/ </m:t>
            </m:r>
            <m:sSub>
              <m:sSubPr>
                <m:ctrlPr>
                  <w:rPr>
                    <w:rFonts w:ascii="Cambria Math" w:hAnsi="Cambria Math"/>
                    <w:i/>
                  </w:rPr>
                </m:ctrlPr>
              </m:sSubPr>
              <m:e>
                <m:bar>
                  <m:barPr>
                    <m:pos m:val="top"/>
                    <m:ctrlPr>
                      <w:rPr>
                        <w:rFonts w:ascii="Cambria Math" w:hAnsi="Cambria Math"/>
                        <w:i/>
                      </w:rPr>
                    </m:ctrlPr>
                  </m:barPr>
                  <m:e>
                    <m:r>
                      <w:rPr>
                        <w:rFonts w:ascii="Cambria Math" w:hAnsi="Cambria Math"/>
                      </w:rPr>
                      <m:t>Y</m:t>
                    </m:r>
                  </m:e>
                </m:bar>
              </m:e>
              <m:sub>
                <m:r>
                  <w:rPr>
                    <w:rFonts w:ascii="Cambria Math" w:hAnsi="Cambria Math"/>
                  </w:rPr>
                  <m:t>j.</m:t>
                </m:r>
              </m:sub>
            </m:sSub>
          </m:e>
        </m:d>
        <m:r>
          <w:rPr>
            <w:rFonts w:ascii="Cambria Math" w:hAnsi="Cambria Math"/>
          </w:rPr>
          <m:t>x 100</m:t>
        </m:r>
      </m:oMath>
      <w:r w:rsidRPr="00A51BC5">
        <w:rPr>
          <w:rFonts w:ascii="VgsrjpAdvPTimes" w:hAnsi="VgsrjpAdvPTimes"/>
        </w:rPr>
        <w:t xml:space="preserve">, </w:t>
      </w:r>
      <w:r w:rsidRPr="00A51BC5">
        <w:rPr>
          <w:rFonts w:asciiTheme="majorBidi" w:hAnsiTheme="majorBidi" w:cstheme="majorBidi"/>
        </w:rPr>
        <w:t>where; S is the standard deviation and Y is the grand mean of the experiment.</w:t>
      </w:r>
    </w:p>
    <w:p w14:paraId="4BE35A73"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eastAsiaTheme="minorEastAsia" w:hAnsiTheme="majorBidi" w:cstheme="majorBidi"/>
          <w:b/>
          <w:bCs/>
        </w:rPr>
        <w:t>Genotypic superiority measure:</w:t>
      </w:r>
      <w:r w:rsidRPr="00A51BC5">
        <w:rPr>
          <w:rFonts w:asciiTheme="majorBidi" w:hAnsiTheme="majorBidi" w:cstheme="majorBidi"/>
          <w:b/>
          <w:bCs/>
        </w:rPr>
        <w:t xml:space="preserve"> </w:t>
      </w:r>
    </w:p>
    <w:p w14:paraId="6C11D0D5"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The superiority index (Pi) is an evaluation of genotype adaptability across environments, by using the high-yield genotype in every environment as a reference point. Genotypes with the greatest yield variance in contrast to the reference genotype might have the maximum Pi-value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&lt;EndNote&gt;&lt;Cite&gt;&lt;Author&gt;Lin&lt;/Author&gt;&lt;Year&gt;1988&lt;/Year&gt;&lt;RecNum&gt;2180&lt;/RecNum&gt;&lt;DisplayText&gt;(Lin &amp;amp; Binns, 1988)&lt;/DisplayText&gt;&lt;record&gt;&lt;rec-number&gt;2180&lt;/rec-number&gt;&lt;foreign-keys&gt;&lt;key app="EN" db-id="2x9evwr2lvas5eevfp6v5eea2rfv5faevsdz" timestamp="1683804485" guid="0a89ac01-a1d2-4a1f-9142-03f4181a2cdb"&gt;2180&lt;/key&gt;&lt;/foreign-keys&gt;&lt;ref-type name="Journal Article"&gt;17&lt;/ref-type&gt;&lt;contributors&gt;&lt;authors&gt;&lt;author&gt;Lin, C. S.&lt;/author&gt;&lt;author&gt;Binns, M. R.&lt;/author&gt;&lt;/authors&gt;&lt;/contributors&gt;&lt;auth-address&gt;Research Branch, Agriculture Canada, Engineering and Statistical Research Centre, K1A OC6, Ottawa, Canada.&lt;/auth-address&gt;&lt;titles&gt;&lt;title&gt;A method of analyzing cultivar x location x year experiments: a new stability parameter&lt;/title&gt;&lt;secondary-title&gt;Theor Appl Genet&lt;/secondary-title&gt;&lt;/titles&gt;&lt;periodical&gt;&lt;full-title&gt;Theor Appl Genet&lt;/full-title&gt;&lt;/periodical&gt;&lt;pages&gt;425-30&lt;/pages&gt;&lt;volume&gt;76&lt;/volume&gt;&lt;number&gt;3&lt;/number&gt;&lt;edition&gt;1988/09/01&lt;/edition&gt;&lt;keywords&gt;&lt;keyword&gt;Plant Breeding/Biotechnology&lt;/keyword&gt;&lt;keyword&gt;Plant Genetics and Genomics&lt;/keyword&gt;&lt;keyword&gt;Agriculture&lt;/keyword&gt;&lt;keyword&gt;Plant Biochemistry&lt;/keyword&gt;&lt;keyword&gt;Biochemistry, general&lt;/keyword&gt;&lt;keyword&gt;Biotechnology&lt;/keyword&gt;&lt;/keywords&gt;&lt;dates&gt;&lt;year&gt;1988&lt;/year&gt;&lt;pub-dates&gt;&lt;date&gt;Sep&lt;/date&gt;&lt;/pub-dates&gt;&lt;/dates&gt;&lt;publisher&gt;Springer&lt;/publisher&gt;&lt;isbn&gt;0040-5752 (Print)&amp;#xD;0040-5752 (Linking)&lt;/isbn&gt;&lt;accession-num&gt;24232208&lt;/accession-num&gt;&lt;work-type&gt;OriginalPaper&lt;/work-type&gt;&lt;urls&gt;&lt;related-urls&gt;&lt;url&gt;https://www.ncbi.nlm.nih.gov/pubmed/24232208&lt;/url&gt;&lt;/related-urls&gt;&lt;/urls&gt;&lt;electronic-resource-num&gt;10.1007/BF00265344&lt;/electronic-resource-num&gt;&lt;language&gt;En&lt;/languag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(Lin &amp; Binns, 1988)</w:t>
      </w:r>
      <w:r w:rsidRPr="00A51BC5">
        <w:rPr>
          <w:rFonts w:asciiTheme="majorBidi" w:hAnsiTheme="majorBidi" w:cstheme="majorBidi"/>
          <w:color w:val="0432FF"/>
        </w:rPr>
        <w:fldChar w:fldCharType="end"/>
      </w:r>
      <w:r w:rsidRPr="00A51BC5">
        <w:rPr>
          <w:rFonts w:asciiTheme="majorBidi" w:hAnsiTheme="majorBidi" w:cstheme="majorBidi"/>
        </w:rPr>
        <w:t>. A genotype with a low genotypic superiority measure is considered stable. This measure is calculated as follows:</w:t>
      </w:r>
    </w:p>
    <w:p w14:paraId="02855A2B" w14:textId="77777777" w:rsidR="009756F2" w:rsidRPr="00A51BC5" w:rsidRDefault="00000000" w:rsidP="009756F2">
      <w:pPr>
        <w:widowControl w:val="0"/>
        <w:autoSpaceDE w:val="0"/>
        <w:autoSpaceDN w:val="0"/>
        <w:adjustRightInd w:val="0"/>
        <w:spacing w:line="360" w:lineRule="auto"/>
        <w:jc w:val="both"/>
        <w:rPr>
          <w:rFonts w:asciiTheme="majorBidi" w:hAnsiTheme="majorBidi" w:cstheme="majorBidi"/>
        </w:rPr>
      </w:pPr>
      <m:oMath>
        <m:sSub>
          <m:sSubPr>
            <m:ctrlPr>
              <w:rPr>
                <w:rFonts w:ascii="Cambria Math" w:hAnsi="Cambria Math"/>
              </w:rPr>
            </m:ctrlPr>
          </m:sSubPr>
          <m:e>
            <m:r>
              <m:rPr>
                <m:sty m:val="p"/>
              </m:rPr>
              <w:rPr>
                <w:rFonts w:ascii="Cambria Math" w:hAnsi="Cambria Math"/>
              </w:rPr>
              <m:t>P</m:t>
            </m:r>
          </m:e>
          <m:sub>
            <m:r>
              <w:rPr>
                <w:rFonts w:ascii="Cambria Math" w:hAnsi="Cambria Math"/>
              </w:rPr>
              <m:t>i</m:t>
            </m:r>
          </m:sub>
        </m:sSub>
        <m:r>
          <w:rPr>
            <w:rFonts w:ascii="Cambria Math" w:eastAsia="Cambria Math" w:hAnsi="Cambria Math"/>
          </w:rPr>
          <m:t>=</m:t>
        </m:r>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f>
              <m:fPr>
                <m:ctrlPr>
                  <w:rPr>
                    <w:rFonts w:ascii="Cambria Math" w:hAnsi="Cambria Math"/>
                    <w:i/>
                  </w:rPr>
                </m:ctrlPr>
              </m:fPr>
              <m:num>
                <m:sSup>
                  <m:sSupPr>
                    <m:ctrlPr>
                      <w:rPr>
                        <w:rFonts w:ascii="Cambria Math" w:hAnsi="Cambria Math"/>
                        <w:i/>
                      </w:rPr>
                    </m:ctrlPr>
                  </m:sSupPr>
                  <m:e>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j</m:t>
                            </m:r>
                          </m:sub>
                        </m:sSub>
                        <m:r>
                          <w:rPr>
                            <w:rFonts w:ascii="Cambria Math" w:hAnsi="Cambria Math"/>
                          </w:rPr>
                          <m:t>)</m:t>
                        </m:r>
                      </m:e>
                    </m:nary>
                  </m:e>
                  <m:sup>
                    <m:r>
                      <w:rPr>
                        <w:rFonts w:ascii="Cambria Math" w:hAnsi="Cambria Math"/>
                      </w:rPr>
                      <m:t>2</m:t>
                    </m:r>
                  </m:sup>
                </m:sSup>
              </m:num>
              <m:den>
                <m:r>
                  <w:rPr>
                    <w:rFonts w:ascii="Cambria Math" w:hAnsi="Cambria Math"/>
                  </w:rPr>
                  <m:t>2E</m:t>
                </m:r>
              </m:den>
            </m:f>
          </m:e>
        </m:nary>
      </m:oMath>
      <w:r w:rsidR="009756F2" w:rsidRPr="00A51BC5">
        <w:rPr>
          <w:rFonts w:asciiTheme="majorBidi" w:hAnsiTheme="majorBidi" w:cstheme="majorBidi"/>
        </w:rPr>
        <w:t xml:space="preserve">, where </w:t>
      </w:r>
      <w:proofErr w:type="spellStart"/>
      <w:r w:rsidR="009756F2" w:rsidRPr="00A51BC5">
        <w:rPr>
          <w:rFonts w:asciiTheme="majorBidi" w:hAnsiTheme="majorBidi" w:cstheme="majorBidi"/>
          <w:i/>
          <w:iCs/>
        </w:rPr>
        <w:t>X</w:t>
      </w:r>
      <w:r w:rsidR="009756F2" w:rsidRPr="00A51BC5">
        <w:rPr>
          <w:rFonts w:asciiTheme="majorBidi" w:hAnsiTheme="majorBidi" w:cstheme="majorBidi"/>
          <w:i/>
          <w:iCs/>
          <w:vertAlign w:val="subscript"/>
        </w:rPr>
        <w:t>ij</w:t>
      </w:r>
      <w:proofErr w:type="spellEnd"/>
      <w:r w:rsidR="009756F2" w:rsidRPr="00A51BC5">
        <w:rPr>
          <w:rFonts w:asciiTheme="majorBidi" w:hAnsiTheme="majorBidi" w:cstheme="majorBidi"/>
        </w:rPr>
        <w:t xml:space="preserve"> stands for observed grain yield of genotype </w:t>
      </w:r>
      <w:proofErr w:type="spellStart"/>
      <w:r w:rsidR="009756F2" w:rsidRPr="00A51BC5">
        <w:rPr>
          <w:rFonts w:asciiTheme="majorBidi" w:hAnsiTheme="majorBidi" w:cstheme="majorBidi"/>
          <w:i/>
          <w:iCs/>
        </w:rPr>
        <w:t>i</w:t>
      </w:r>
      <w:proofErr w:type="spellEnd"/>
      <w:r w:rsidR="009756F2" w:rsidRPr="00A51BC5">
        <w:rPr>
          <w:rFonts w:asciiTheme="majorBidi" w:hAnsiTheme="majorBidi" w:cstheme="majorBidi"/>
        </w:rPr>
        <w:t xml:space="preserve"> in environment </w:t>
      </w:r>
      <w:r w:rsidR="009756F2" w:rsidRPr="00A51BC5">
        <w:rPr>
          <w:rFonts w:asciiTheme="majorBidi" w:hAnsiTheme="majorBidi" w:cstheme="majorBidi"/>
          <w:i/>
          <w:iCs/>
        </w:rPr>
        <w:t>j</w:t>
      </w:r>
      <w:r w:rsidR="009756F2" w:rsidRPr="00A51BC5">
        <w:rPr>
          <w:rFonts w:asciiTheme="majorBidi" w:hAnsiTheme="majorBidi" w:cstheme="majorBidi"/>
        </w:rPr>
        <w:t xml:space="preserve">, and </w:t>
      </w:r>
      <w:proofErr w:type="spellStart"/>
      <w:r w:rsidR="009756F2" w:rsidRPr="00A51BC5">
        <w:rPr>
          <w:rFonts w:asciiTheme="majorBidi" w:hAnsiTheme="majorBidi" w:cstheme="majorBidi"/>
          <w:i/>
          <w:iCs/>
        </w:rPr>
        <w:t>Mj</w:t>
      </w:r>
      <w:proofErr w:type="spellEnd"/>
      <w:r w:rsidR="009756F2" w:rsidRPr="00A51BC5">
        <w:rPr>
          <w:rFonts w:asciiTheme="majorBidi" w:hAnsiTheme="majorBidi" w:cstheme="majorBidi"/>
        </w:rPr>
        <w:t xml:space="preserve"> stands for maximum response among all genotypes in the </w:t>
      </w:r>
      <w:proofErr w:type="spellStart"/>
      <w:r w:rsidR="009756F2" w:rsidRPr="00A51BC5">
        <w:rPr>
          <w:rFonts w:asciiTheme="majorBidi" w:hAnsiTheme="majorBidi" w:cstheme="majorBidi"/>
          <w:i/>
          <w:iCs/>
        </w:rPr>
        <w:t>j</w:t>
      </w:r>
      <w:r w:rsidR="009756F2" w:rsidRPr="00A51BC5">
        <w:rPr>
          <w:rFonts w:asciiTheme="majorBidi" w:hAnsiTheme="majorBidi" w:cstheme="majorBidi"/>
          <w:i/>
          <w:iCs/>
          <w:vertAlign w:val="subscript"/>
        </w:rPr>
        <w:t>th</w:t>
      </w:r>
      <w:proofErr w:type="spellEnd"/>
      <w:r w:rsidR="009756F2" w:rsidRPr="00A51BC5">
        <w:rPr>
          <w:rFonts w:asciiTheme="majorBidi" w:hAnsiTheme="majorBidi" w:cstheme="majorBidi"/>
        </w:rPr>
        <w:t xml:space="preserve"> location, and </w:t>
      </w:r>
      <w:r w:rsidR="009756F2" w:rsidRPr="00A51BC5">
        <w:rPr>
          <w:rFonts w:asciiTheme="majorBidi" w:hAnsiTheme="majorBidi" w:cstheme="majorBidi"/>
          <w:i/>
          <w:iCs/>
        </w:rPr>
        <w:t>E</w:t>
      </w:r>
      <w:r w:rsidR="009756F2" w:rsidRPr="00A51BC5">
        <w:rPr>
          <w:rFonts w:asciiTheme="majorBidi" w:hAnsiTheme="majorBidi" w:cstheme="majorBidi"/>
        </w:rPr>
        <w:t xml:space="preserve"> is the number of environments</w:t>
      </w:r>
    </w:p>
    <w:p w14:paraId="50E0CE8E"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eastAsiaTheme="minorEastAsia" w:hAnsiTheme="majorBidi" w:cstheme="majorBidi"/>
          <w:b/>
          <w:bCs/>
        </w:rPr>
        <w:t>Ecovalence:</w:t>
      </w:r>
    </w:p>
    <w:p w14:paraId="5B60FA7F" w14:textId="77777777" w:rsidR="009756F2" w:rsidRPr="00A51BC5" w:rsidRDefault="009756F2" w:rsidP="009756F2">
      <w:pPr>
        <w:spacing w:after="120" w:line="360" w:lineRule="auto"/>
        <w:jc w:val="both"/>
        <w:rPr>
          <w:rFonts w:asciiTheme="majorBidi" w:hAnsiTheme="majorBidi" w:cstheme="majorBidi"/>
        </w:rPr>
      </w:pPr>
      <w:proofErr w:type="spellStart"/>
      <w:r w:rsidRPr="00A51BC5">
        <w:rPr>
          <w:rFonts w:asciiTheme="majorBidi" w:hAnsiTheme="majorBidi" w:cstheme="majorBidi"/>
          <w:color w:val="0432FF"/>
        </w:rPr>
        <w:t>Wricke’s</w:t>
      </w:r>
      <w:proofErr w:type="spellEnd"/>
      <w:r w:rsidRPr="00A51BC5">
        <w:rPr>
          <w:rFonts w:asciiTheme="majorBidi" w:hAnsiTheme="majorBidi" w:cstheme="majorBidi"/>
        </w:rPr>
        <w:t xml:space="preserve"> </w:t>
      </w:r>
      <w:proofErr w:type="spellStart"/>
      <w:r w:rsidRPr="00A51BC5">
        <w:rPr>
          <w:rFonts w:asciiTheme="majorBidi" w:hAnsiTheme="majorBidi" w:cstheme="majorBidi"/>
        </w:rPr>
        <w:t>ecovalence</w:t>
      </w:r>
      <w:proofErr w:type="spellEnd"/>
      <w:r w:rsidRPr="00A51BC5">
        <w:rPr>
          <w:rFonts w:asciiTheme="majorBidi" w:hAnsiTheme="majorBidi" w:cstheme="majorBidi"/>
        </w:rPr>
        <w:t xml:space="preserve"> is estimated according to a square and sums up the genotype-environment interaction across the environment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&lt;EndNote&gt;&lt;Cite&gt;&lt;Author&gt;Wricke&lt;/Author&gt;&lt;Year&gt;1962&lt;/Year&gt;&lt;RecNum&gt;2198&lt;/RecNum&gt;&lt;DisplayText&gt;(Wricke, 1962)&lt;/DisplayText&gt;&lt;record&gt;&lt;rec-number&gt;2198&lt;/rec-number&gt;&lt;foreign-keys&gt;&lt;key app="EN" db-id="2x9evwr2lvas5eevfp6v5eea2rfv5faevsdz" timestamp="1684061391" guid="74f75bac-6f37-4450-b38a-c18c69653572"&gt;2198&lt;/key&gt;&lt;/foreign-keys&gt;&lt;ref-type name="Journal Article"&gt;17&lt;/ref-type&gt;&lt;contributors&gt;&lt;authors&gt;&lt;author&gt;Wricke, G&lt;/author&gt;&lt;/authors&gt;&lt;/contributors&gt;&lt;titles&gt;&lt;title&gt;Uber eine Methode zur Erfassung der okologischen Streubreite in Feldverzuchen&lt;/title&gt;&lt;secondary-title&gt;Z. pflanzenzuchtg&lt;/secondary-title&gt;&lt;/titles&gt;&lt;periodical&gt;&lt;full-title&gt;Z. pflanzenzuchtg&lt;/full-title&gt;&lt;/periodical&gt;&lt;pages&gt;92-96&lt;/pages&gt;&lt;volume&gt;47&lt;/volume&gt;&lt;dates&gt;&lt;year&gt;1962&lt;/year&gt;&lt;/dates&gt;&lt;urls&gt;&lt;/urls&gt;&lt;/record&gt;&lt;/Cite&gt;&lt;/EndNote&gt;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(Wricke, 1962)</w:t>
      </w:r>
      <w:r w:rsidRPr="00A51BC5">
        <w:rPr>
          <w:rFonts w:asciiTheme="majorBidi" w:hAnsiTheme="majorBidi" w:cstheme="majorBidi"/>
          <w:color w:val="0432FF"/>
        </w:rPr>
        <w:fldChar w:fldCharType="end"/>
      </w:r>
      <w:r w:rsidRPr="00A51BC5">
        <w:rPr>
          <w:rFonts w:asciiTheme="majorBidi" w:hAnsiTheme="majorBidi" w:cstheme="majorBidi"/>
        </w:rPr>
        <w:t>. A genotype with low ecovalence is considered stable. The greatest stability is when W</w:t>
      </w:r>
      <w:r w:rsidRPr="00A51BC5">
        <w:rPr>
          <w:rFonts w:asciiTheme="majorBidi" w:hAnsiTheme="majorBidi" w:cstheme="majorBidi"/>
          <w:vertAlign w:val="superscript"/>
        </w:rPr>
        <w:t>2</w:t>
      </w:r>
      <w:r w:rsidRPr="00A51BC5">
        <w:rPr>
          <w:rFonts w:asciiTheme="majorBidi" w:hAnsiTheme="majorBidi" w:cstheme="majorBidi"/>
          <w:vertAlign w:val="subscript"/>
        </w:rPr>
        <w:t>i</w:t>
      </w:r>
      <w:r w:rsidRPr="00A51BC5">
        <w:rPr>
          <w:rFonts w:asciiTheme="majorBidi" w:hAnsiTheme="majorBidi" w:cstheme="majorBidi"/>
        </w:rPr>
        <w:t xml:space="preserve"> = 0. </w:t>
      </w:r>
    </w:p>
    <w:p w14:paraId="3276D3F9"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Ecovalence: </w:t>
      </w:r>
    </w:p>
    <w:p w14:paraId="13AEB846" w14:textId="77777777" w:rsidR="009756F2" w:rsidRPr="00A51BC5" w:rsidRDefault="00000000" w:rsidP="009756F2">
      <w:pPr>
        <w:widowControl w:val="0"/>
        <w:autoSpaceDE w:val="0"/>
        <w:autoSpaceDN w:val="0"/>
        <w:adjustRightInd w:val="0"/>
        <w:spacing w:line="360" w:lineRule="auto"/>
        <w:jc w:val="both"/>
        <w:rPr>
          <w:rFonts w:ascii="VgsrjpAdvPTimes" w:hAnsi="VgsrjpAdvPTimes"/>
        </w:rPr>
      </w:pPr>
      <m:oMath>
        <m:sSubSup>
          <m:sSubSupPr>
            <m:ctrlPr>
              <w:rPr>
                <w:rFonts w:ascii="Cambria Math" w:hAnsi="Cambria Math"/>
                <w:i/>
              </w:rPr>
            </m:ctrlPr>
          </m:sSubSupPr>
          <m:e>
            <m:r>
              <w:rPr>
                <w:rFonts w:ascii="Cambria Math" w:hAnsi="Cambria Math"/>
              </w:rPr>
              <m:t>W</m:t>
            </m:r>
          </m:e>
          <m:sub>
            <m:r>
              <w:rPr>
                <w:rFonts w:ascii="Cambria Math" w:hAnsi="Cambria Math"/>
              </w:rPr>
              <m:t>i</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 xml:space="preserve">∑( </m:t>
            </m:r>
            <m:sSub>
              <m:sSubPr>
                <m:ctrlPr>
                  <w:rPr>
                    <w:rFonts w:ascii="Cambria Math" w:hAnsi="Cambria Math"/>
                    <w:i/>
                  </w:rPr>
                </m:ctrlPr>
              </m:sSubPr>
              <m:e>
                <m:r>
                  <w:rPr>
                    <w:rFonts w:ascii="Cambria Math" w:hAnsi="Cambria Math"/>
                  </w:rPr>
                  <m:t>X</m:t>
                </m:r>
              </m:e>
              <m:sub>
                <m:r>
                  <w:rPr>
                    <w:rFonts w:ascii="Cambria Math" w:hAnsi="Cambria Math"/>
                  </w:rPr>
                  <m:t>ij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i.</m:t>
                </m:r>
              </m:sub>
            </m:sSub>
            <m:r>
              <w:rPr>
                <w:rFonts w:ascii="Cambria Math" w:hAnsi="Cambria Math"/>
              </w:rPr>
              <m:t xml:space="preserve"> -</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.j</m:t>
                </m:r>
              </m:sub>
            </m:sSub>
            <m:r>
              <w:rPr>
                <w:rFonts w:ascii="Cambria Math" w:hAnsi="Cambria Math"/>
              </w:rPr>
              <m:t xml:space="preserve"> -</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m:t>
                </m:r>
              </m:sub>
            </m:sSub>
            <m:r>
              <w:rPr>
                <w:rFonts w:ascii="Cambria Math" w:hAnsi="Cambria Math"/>
              </w:rPr>
              <m:t xml:space="preserve"> )</m:t>
            </m:r>
          </m:e>
          <m:sup>
            <m:r>
              <w:rPr>
                <w:rFonts w:ascii="Cambria Math" w:hAnsi="Cambria Math"/>
              </w:rPr>
              <m:t>2</m:t>
            </m:r>
          </m:sup>
        </m:sSup>
      </m:oMath>
      <w:r w:rsidR="009756F2" w:rsidRPr="00A51BC5">
        <w:rPr>
          <w:rFonts w:ascii="VgsrjpAdvPTimes" w:hAnsi="VgsrjpAdvPTimes"/>
        </w:rPr>
        <w:t xml:space="preserve">, </w:t>
      </w:r>
      <w:r w:rsidR="009756F2" w:rsidRPr="00A51BC5">
        <w:rPr>
          <w:rFonts w:asciiTheme="majorBidi" w:hAnsiTheme="majorBidi" w:cstheme="majorBidi"/>
        </w:rPr>
        <w:t xml:space="preserve">where </w:t>
      </w:r>
      <w:proofErr w:type="spellStart"/>
      <w:r w:rsidR="009756F2" w:rsidRPr="00A51BC5">
        <w:rPr>
          <w:rFonts w:asciiTheme="majorBidi" w:hAnsiTheme="majorBidi" w:cstheme="majorBidi"/>
        </w:rPr>
        <w:t>X</w:t>
      </w:r>
      <w:r w:rsidR="009756F2" w:rsidRPr="00A51BC5">
        <w:rPr>
          <w:rFonts w:asciiTheme="majorBidi" w:hAnsiTheme="majorBidi" w:cstheme="majorBidi"/>
          <w:vertAlign w:val="subscript"/>
        </w:rPr>
        <w:t>ij</w:t>
      </w:r>
      <w:proofErr w:type="spellEnd"/>
      <w:r w:rsidR="009756F2" w:rsidRPr="00A51BC5">
        <w:rPr>
          <w:rFonts w:asciiTheme="majorBidi" w:hAnsiTheme="majorBidi" w:cstheme="majorBidi"/>
        </w:rPr>
        <w:t xml:space="preserve"> is the observed yield response (averaged across experiment explicates), </w:t>
      </w:r>
      <m:oMath>
        <m:sSub>
          <m:sSubPr>
            <m:ctrlPr>
              <w:rPr>
                <w:rFonts w:ascii="Cambria Math" w:hAnsi="Cambria Math" w:cstheme="majorBidi"/>
                <w:i/>
              </w:rPr>
            </m:ctrlPr>
          </m:sSubPr>
          <m:e>
            <m:bar>
              <m:barPr>
                <m:pos m:val="top"/>
                <m:ctrlPr>
                  <w:rPr>
                    <w:rFonts w:ascii="Cambria Math" w:hAnsi="Cambria Math" w:cstheme="majorBidi"/>
                    <w:i/>
                  </w:rPr>
                </m:ctrlPr>
              </m:barPr>
              <m:e>
                <m:r>
                  <w:rPr>
                    <w:rFonts w:ascii="Cambria Math" w:hAnsi="Cambria Math" w:cstheme="majorBidi"/>
                  </w:rPr>
                  <m:t>X</m:t>
                </m:r>
              </m:e>
            </m:bar>
          </m:e>
          <m:sub>
            <m:r>
              <w:rPr>
                <w:rFonts w:ascii="Cambria Math" w:hAnsi="Cambria Math" w:cstheme="majorBidi"/>
              </w:rPr>
              <m:t>i.</m:t>
            </m:r>
          </m:sub>
        </m:sSub>
        <m:r>
          <w:rPr>
            <w:rFonts w:ascii="Cambria Math" w:hAnsi="Cambria Math" w:cstheme="majorBidi"/>
          </w:rPr>
          <m:t xml:space="preserve"> </m:t>
        </m:r>
      </m:oMath>
      <w:r w:rsidR="009756F2" w:rsidRPr="00A51BC5">
        <w:rPr>
          <w:rFonts w:asciiTheme="majorBidi" w:hAnsiTheme="majorBidi" w:cstheme="majorBidi"/>
        </w:rPr>
        <w:t xml:space="preserve">and </w:t>
      </w:r>
      <m:oMath>
        <m:sSub>
          <m:sSubPr>
            <m:ctrlPr>
              <w:rPr>
                <w:rFonts w:ascii="Cambria Math" w:hAnsi="Cambria Math" w:cstheme="majorBidi"/>
                <w:i/>
              </w:rPr>
            </m:ctrlPr>
          </m:sSubPr>
          <m:e>
            <m:bar>
              <m:barPr>
                <m:pos m:val="top"/>
                <m:ctrlPr>
                  <w:rPr>
                    <w:rFonts w:ascii="Cambria Math" w:hAnsi="Cambria Math" w:cstheme="majorBidi"/>
                    <w:i/>
                  </w:rPr>
                </m:ctrlPr>
              </m:barPr>
              <m:e>
                <m:r>
                  <w:rPr>
                    <w:rFonts w:ascii="Cambria Math" w:hAnsi="Cambria Math" w:cstheme="majorBidi"/>
                  </w:rPr>
                  <m:t>X</m:t>
                </m:r>
              </m:e>
            </m:bar>
          </m:e>
          <m:sub>
            <m:r>
              <w:rPr>
                <w:rFonts w:ascii="Cambria Math" w:hAnsi="Cambria Math" w:cstheme="majorBidi"/>
              </w:rPr>
              <m:t>.j</m:t>
            </m:r>
          </m:sub>
        </m:sSub>
      </m:oMath>
      <w:r w:rsidR="009756F2" w:rsidRPr="00A51BC5">
        <w:rPr>
          <w:rFonts w:asciiTheme="majorBidi" w:hAnsiTheme="majorBidi" w:cstheme="majorBidi"/>
        </w:rPr>
        <w:t xml:space="preserve"> corresponded to the previous notations, and </w:t>
      </w:r>
      <m:oMath>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m:t>
            </m:r>
          </m:sub>
        </m:sSub>
      </m:oMath>
      <w:r w:rsidR="009756F2" w:rsidRPr="00A51BC5">
        <w:rPr>
          <w:rFonts w:asciiTheme="majorBidi" w:hAnsiTheme="majorBidi" w:cstheme="majorBidi"/>
        </w:rPr>
        <w:t xml:space="preserve"> is the grand mean. </w:t>
      </w:r>
    </w:p>
    <w:p w14:paraId="30E00D7A" w14:textId="77777777" w:rsidR="009756F2" w:rsidRPr="00A51BC5" w:rsidRDefault="009756F2" w:rsidP="009756F2">
      <w:pPr>
        <w:pStyle w:val="NormalWeb"/>
        <w:spacing w:before="120" w:beforeAutospacing="0" w:after="0" w:afterAutospacing="0" w:line="360" w:lineRule="auto"/>
        <w:rPr>
          <w:rFonts w:asciiTheme="majorBidi" w:hAnsiTheme="majorBidi" w:cstheme="majorBidi"/>
        </w:rPr>
      </w:pPr>
      <w:r w:rsidRPr="00A51BC5">
        <w:rPr>
          <w:rFonts w:asciiTheme="majorBidi" w:eastAsiaTheme="minorEastAsia" w:hAnsiTheme="majorBidi" w:cstheme="majorBidi"/>
          <w:b/>
          <w:bCs/>
        </w:rPr>
        <w:t>Environmental</w:t>
      </w:r>
      <w:r w:rsidRPr="00A51BC5">
        <w:rPr>
          <w:rFonts w:asciiTheme="majorBidi" w:hAnsiTheme="majorBidi" w:cstheme="majorBidi"/>
          <w:b/>
          <w:bCs/>
        </w:rPr>
        <w:t xml:space="preserve"> variance:</w:t>
      </w:r>
      <w:r w:rsidRPr="00A51BC5">
        <w:rPr>
          <w:rFonts w:asciiTheme="majorBidi" w:hAnsiTheme="majorBidi" w:cstheme="majorBidi"/>
        </w:rPr>
        <w:t xml:space="preserve"> </w:t>
      </w:r>
    </w:p>
    <w:p w14:paraId="1E71D611"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Environmental variance (</w:t>
      </w:r>
      <m:oMath>
        <m:sSubSup>
          <m:sSubSupPr>
            <m:ctrlPr>
              <w:rPr>
                <w:rFonts w:ascii="Cambria Math" w:hAnsi="Cambria Math"/>
              </w:rPr>
            </m:ctrlPr>
          </m:sSubSupPr>
          <m:e>
            <m:r>
              <w:rPr>
                <w:rFonts w:ascii="Cambria Math" w:hAnsi="Cambria Math"/>
              </w:rPr>
              <m:t>S</m:t>
            </m:r>
          </m:e>
          <m:sub>
            <m:r>
              <w:rPr>
                <w:rFonts w:ascii="Cambria Math" w:hAnsi="Cambria Math"/>
              </w:rPr>
              <m:t>xi</m:t>
            </m:r>
          </m:sub>
          <m:sup>
            <m:r>
              <w:rPr>
                <w:rFonts w:ascii="Cambria Math" w:hAnsi="Cambria Math"/>
              </w:rPr>
              <m:t>2</m:t>
            </m:r>
          </m:sup>
        </m:sSubSup>
        <m:r>
          <w:rPr>
            <w:rFonts w:ascii="Cambria Math" w:hAnsi="Cambria Math"/>
          </w:rPr>
          <m:t>)</m:t>
        </m:r>
      </m:oMath>
      <w:r w:rsidRPr="00A51BC5">
        <w:rPr>
          <w:rFonts w:asciiTheme="majorBidi" w:hAnsiTheme="majorBidi" w:cstheme="majorBidi"/>
        </w:rPr>
        <w:t xml:space="preserve">,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&lt;EndNote&gt;&lt;Cite&gt;&lt;Author&gt;Roemer&lt;/Author&gt;&lt;Year&gt;1917&lt;/Year&gt;&lt;RecNum&gt;2197&lt;/RecNum&gt;&lt;DisplayText&gt;(Roemer, 1917)&lt;/DisplayText&gt;&lt;record&gt;&lt;rec-number&gt;2197&lt;/rec-number&gt;&lt;foreign-keys&gt;&lt;key app="EN" db-id="2x9evwr2lvas5eevfp6v5eea2rfv5faevsdz" timestamp="1684057027" guid="433b83ea-da5f-4547-9b4d-862f4e41c4e5"&gt;2197&lt;/key&gt;&lt;/foreign-keys&gt;&lt;ref-type name="Journal Article"&gt;17&lt;/ref-type&gt;&lt;contributors&gt;&lt;authors&gt;&lt;author&gt;Roemer, J&lt;/author&gt;&lt;/authors&gt;&lt;/contributors&gt;&lt;titles&gt;&lt;title&gt;Sinde die ertagdreichen Sorten ertagissicherer&lt;/title&gt;&lt;secondary-title&gt;Mitt DLG&lt;/secondary-title&gt;&lt;/titles&gt;&lt;periodical&gt;&lt;full-title&gt;Mitt DLG&lt;/full-title&gt;&lt;/periodical&gt;&lt;pages&gt;87-89&lt;/pages&gt;&lt;volume&gt;32&lt;/volume&gt;&lt;number&gt;1&lt;/number&gt;&lt;dates&gt;&lt;year&gt;1917&lt;/year&gt;&lt;/dates&gt;&lt;urls&gt;&lt;/urls&gt;&lt;/record&gt;&lt;/Cite&gt;&lt;/EndNote&gt;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(Roemer, 1917)</w:t>
      </w:r>
      <w:r w:rsidRPr="00A51BC5">
        <w:rPr>
          <w:rFonts w:asciiTheme="majorBidi" w:hAnsiTheme="majorBidi" w:cstheme="majorBidi"/>
          <w:color w:val="0432FF"/>
        </w:rPr>
        <w:fldChar w:fldCharType="end"/>
      </w:r>
      <w:r w:rsidRPr="00A51BC5">
        <w:rPr>
          <w:rFonts w:asciiTheme="majorBidi" w:hAnsiTheme="majorBidi" w:cstheme="majorBidi"/>
          <w:color w:val="0432FF"/>
        </w:rPr>
        <w:t xml:space="preserve"> </w:t>
      </w:r>
      <w:r w:rsidRPr="00A51BC5">
        <w:rPr>
          <w:rFonts w:asciiTheme="majorBidi" w:hAnsiTheme="majorBidi" w:cstheme="majorBidi"/>
        </w:rPr>
        <w:t xml:space="preserve">as described in Becker and Leon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&lt;EndNote&gt;&lt;Cite&gt;&lt;Author&gt;Becker&lt;/Author&gt;&lt;Year&gt;1988&lt;/Year&gt;&lt;RecNum&gt;2196&lt;/RecNum&gt;&lt;DisplayText&gt;(Becker &amp;amp; Leon, 1988)&lt;/DisplayText&gt;&lt;record&gt;&lt;rec-number&gt;2196&lt;/rec-number&gt;&lt;foreign-keys&gt;&lt;key app="EN" db-id="2x9evwr2lvas5eevfp6v5eea2rfv5faevsdz" timestamp="1684053841" guid="164ec331-fbae-4627-84c4-55626f1493ea"&gt;2196&lt;/key&gt;&lt;/foreign-keys&gt;&lt;ref-type name="Journal Article"&gt;17&lt;/ref-type&gt;&lt;contributors&gt;&lt;authors&gt;&lt;author&gt;Becker, H. C.&lt;/author&gt;&lt;author&gt;Leon, J.&lt;/author&gt;&lt;/authors&gt;&lt;/contributors&gt;&lt;auth-address&gt;Univ Kiel,Inst Crop Sci &amp;amp; Plant Breeding,D-2300 Kiel 1,Fed Rep Ger&lt;/auth-address&gt;&lt;titles&gt;&lt;title&gt;Stability Analysis in Plant-Breeding&lt;/title&gt;&lt;secondary-title&gt;Plant Breeding&lt;/secondary-title&gt;&lt;alt-title&gt;Plant Breeding&lt;/alt-title&gt;&lt;/titles&gt;&lt;periodical&gt;&lt;full-title&gt;Plant Breeding&lt;/full-title&gt;&lt;/periodical&gt;&lt;alt-periodical&gt;&lt;full-title&gt;Plant Breeding&lt;/full-title&gt;&lt;/alt-periodical&gt;&lt;pages&gt;1-23&lt;/pages&gt;&lt;volume&gt;101&lt;/volume&gt;&lt;number&gt;1&lt;/number&gt;&lt;dates&gt;&lt;year&gt;1988&lt;/year&gt;&lt;pub-dates&gt;&lt;date&gt;Aug&lt;/date&gt;&lt;/pub-dates&gt;&lt;/dates&gt;&lt;isbn&gt;0179-9541&lt;/isbn&gt;&lt;accession-num&gt;WOS:A1988Q142800001&lt;/accession-num&gt;&lt;urls&gt;&lt;related-urls&gt;&lt;url&gt;&amp;lt;Go to ISI&amp;gt;://WOS:A1988Q142800001&lt;/url&gt;&lt;/related-urls&gt;&lt;/urls&gt;&lt;electronic-resource-num&gt;DOI 10.1111/j.1439-0523.1988.tb00261.x&lt;/electronic-resource-num&gt;&lt;language&gt;English&lt;/language&gt;&lt;/record&gt;&lt;/Cite&gt;&lt;/EndNote&gt;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(Becker &amp; Leon, 1988)</w:t>
      </w:r>
      <w:r w:rsidRPr="00A51BC5">
        <w:rPr>
          <w:rFonts w:asciiTheme="majorBidi" w:hAnsiTheme="majorBidi" w:cstheme="majorBidi"/>
          <w:color w:val="0432FF"/>
        </w:rPr>
        <w:fldChar w:fldCharType="end"/>
      </w:r>
      <w:r w:rsidRPr="00A51BC5">
        <w:rPr>
          <w:rFonts w:asciiTheme="majorBidi" w:hAnsiTheme="majorBidi" w:cstheme="majorBidi"/>
        </w:rPr>
        <w:t xml:space="preserve"> shows the variation of every genotype over the studied environments as phenotype stability. A genotype with low variation in different environments is considered to be high stable. This measure is calculated as follows: </w:t>
      </w:r>
    </w:p>
    <w:p w14:paraId="102E0E5D" w14:textId="77777777" w:rsidR="009756F2" w:rsidRPr="00A51BC5" w:rsidRDefault="00000000" w:rsidP="009756F2">
      <w:pPr>
        <w:widowControl w:val="0"/>
        <w:autoSpaceDE w:val="0"/>
        <w:autoSpaceDN w:val="0"/>
        <w:adjustRightInd w:val="0"/>
        <w:spacing w:line="360" w:lineRule="auto"/>
        <w:jc w:val="both"/>
        <w:rPr>
          <w:rFonts w:asciiTheme="majorBidi" w:hAnsiTheme="majorBidi" w:cstheme="majorBidi"/>
        </w:rPr>
      </w:pPr>
      <m:oMath>
        <m:sSubSup>
          <m:sSubSupPr>
            <m:ctrlPr>
              <w:rPr>
                <w:rFonts w:ascii="Cambria Math" w:hAnsi="Cambria Math"/>
              </w:rPr>
            </m:ctrlPr>
          </m:sSubSupPr>
          <m:e>
            <m:r>
              <w:rPr>
                <w:rFonts w:ascii="Cambria Math" w:hAnsi="Cambria Math"/>
              </w:rPr>
              <m:t>S</m:t>
            </m:r>
          </m:e>
          <m:sub>
            <m:r>
              <w:rPr>
                <w:rFonts w:ascii="Cambria Math" w:hAnsi="Cambria Math"/>
              </w:rPr>
              <m:t>xi</m:t>
            </m:r>
          </m:sub>
          <m:sup>
            <m:r>
              <w:rPr>
                <w:rFonts w:ascii="Cambria Math" w:hAnsi="Cambria Math"/>
              </w:rPr>
              <m:t>2</m:t>
            </m:r>
          </m:sup>
        </m:sSubSup>
        <m:r>
          <w:rPr>
            <w:rFonts w:ascii="Cambria Math" w:eastAsia="Cambria Math" w:hAnsi="Cambria Math"/>
          </w:rPr>
          <m:t>=</m:t>
        </m:r>
        <m:f>
          <m:fPr>
            <m:ctrlPr>
              <w:rPr>
                <w:rFonts w:ascii="Cambria Math" w:hAnsi="Cambria Math"/>
                <w:i/>
              </w:rPr>
            </m:ctrlPr>
          </m:fPr>
          <m:num>
            <m:sSup>
              <m:sSupPr>
                <m:ctrlPr>
                  <w:rPr>
                    <w:rFonts w:ascii="Cambria Math" w:hAnsi="Cambria Math"/>
                    <w:i/>
                  </w:rPr>
                </m:ctrlPr>
              </m:sSupPr>
              <m:e>
                <m:nary>
                  <m:naryPr>
                    <m:chr m:val="∑"/>
                    <m:limLoc m:val="undOvr"/>
                    <m:subHide m:val="1"/>
                    <m:supHide m:val="1"/>
                    <m:ctrlPr>
                      <w:rPr>
                        <w:rFonts w:ascii="Cambria Math" w:hAnsi="Cambria Math"/>
                        <w:i/>
                      </w:rPr>
                    </m:ctrlPr>
                  </m:naryPr>
                  <m:sub/>
                  <m:sup/>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ij</m:t>
                        </m:r>
                      </m:sub>
                    </m:sSub>
                  </m:e>
                </m:nary>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i.</m:t>
                    </m:r>
                  </m:sub>
                </m:sSub>
                <m:r>
                  <w:rPr>
                    <w:rFonts w:ascii="Cambria Math" w:hAnsi="Cambria Math"/>
                  </w:rPr>
                  <m:t>)</m:t>
                </m:r>
              </m:e>
              <m:sup>
                <m:r>
                  <w:rPr>
                    <w:rFonts w:ascii="Cambria Math" w:hAnsi="Cambria Math"/>
                  </w:rPr>
                  <m:t>2</m:t>
                </m:r>
              </m:sup>
            </m:sSup>
          </m:num>
          <m:den>
            <m:r>
              <w:rPr>
                <w:rFonts w:ascii="Cambria Math" w:hAnsi="Cambria Math"/>
              </w:rPr>
              <m:t>E-1</m:t>
            </m:r>
          </m:den>
        </m:f>
      </m:oMath>
      <w:r w:rsidR="009756F2" w:rsidRPr="00A51BC5">
        <w:rPr>
          <w:rFonts w:asciiTheme="majorBidi" w:hAnsiTheme="majorBidi" w:cstheme="majorBidi"/>
        </w:rPr>
        <w:t xml:space="preserve">, </w:t>
      </w:r>
      <w:r w:rsidR="009756F2" w:rsidRPr="00A51BC5">
        <w:rPr>
          <w:rFonts w:ascii="VgsrjpAdvPTimes" w:hAnsi="VgsrjpAdvPTimes"/>
        </w:rPr>
        <w:t xml:space="preserve">where </w:t>
      </w:r>
      <m:oMath>
        <m:sSub>
          <m:sSubPr>
            <m:ctrlPr>
              <w:rPr>
                <w:rFonts w:ascii="Cambria Math" w:hAnsi="Cambria Math"/>
                <w:i/>
              </w:rPr>
            </m:ctrlPr>
          </m:sSubPr>
          <m:e>
            <m:r>
              <w:rPr>
                <w:rFonts w:ascii="Cambria Math" w:hAnsi="Cambria Math"/>
              </w:rPr>
              <m:t>X</m:t>
            </m:r>
          </m:e>
          <m:sub>
            <m:r>
              <w:rPr>
                <w:rFonts w:ascii="Cambria Math" w:hAnsi="Cambria Math"/>
              </w:rPr>
              <m:t>ij</m:t>
            </m:r>
          </m:sub>
        </m:sSub>
      </m:oMath>
      <w:r w:rsidR="009756F2" w:rsidRPr="00A51BC5">
        <w:rPr>
          <w:rFonts w:ascii="VgsrjpAdvPTimes" w:hAnsi="VgsrjpAdvPTimes"/>
        </w:rPr>
        <w:t xml:space="preserve">, </w:t>
      </w:r>
      <m:oMath>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i.</m:t>
            </m:r>
          </m:sub>
        </m:sSub>
      </m:oMath>
      <w:r w:rsidR="009756F2" w:rsidRPr="00A51BC5">
        <w:rPr>
          <w:rFonts w:ascii="HmdwxrAdvPTimesI" w:hAnsi="HmdwxrAdvPTimesI"/>
          <w:position w:val="-4"/>
        </w:rPr>
        <w:t xml:space="preserve"> </w:t>
      </w:r>
      <w:r w:rsidR="009756F2" w:rsidRPr="00A51BC5">
        <w:rPr>
          <w:rFonts w:ascii="VgsrjpAdvPTimes" w:hAnsi="VgsrjpAdvPTimes"/>
        </w:rPr>
        <w:t xml:space="preserve">and E correspond to previous notations. </w:t>
      </w:r>
    </w:p>
    <w:p w14:paraId="51E9C480"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eastAsiaTheme="minorEastAsia" w:hAnsiTheme="majorBidi" w:cstheme="majorBidi"/>
          <w:b/>
          <w:bCs/>
        </w:rPr>
        <w:t>Stability</w:t>
      </w:r>
      <w:r w:rsidRPr="00A51BC5">
        <w:rPr>
          <w:rFonts w:asciiTheme="majorBidi" w:hAnsiTheme="majorBidi" w:cstheme="majorBidi"/>
          <w:b/>
          <w:bCs/>
        </w:rPr>
        <w:t xml:space="preserve"> variance:</w:t>
      </w:r>
    </w:p>
    <w:p w14:paraId="10243D9E"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Stability variance (σ</w:t>
      </w:r>
      <w:r w:rsidRPr="00A51BC5">
        <w:rPr>
          <w:rFonts w:asciiTheme="majorBidi" w:hAnsiTheme="majorBidi" w:cstheme="majorBidi"/>
          <w:vertAlign w:val="subscript"/>
        </w:rPr>
        <w:t>2</w:t>
      </w:r>
      <w:r w:rsidRPr="00A51BC5">
        <w:rPr>
          <w:rFonts w:asciiTheme="majorBidi" w:hAnsiTheme="majorBidi" w:cstheme="majorBidi"/>
          <w:vertAlign w:val="superscript"/>
        </w:rPr>
        <w:t>i</w:t>
      </w:r>
      <w:r w:rsidRPr="00A51BC5">
        <w:rPr>
          <w:rFonts w:asciiTheme="majorBidi" w:hAnsiTheme="majorBidi" w:cstheme="majorBidi"/>
        </w:rPr>
        <w:t xml:space="preserve">) is estimated according to a linear combination of the mean square of the G × E interaction and ecovalence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&lt;EndNote&gt;&lt;Cite&gt;&lt;Author&gt;Shukla&lt;/Author&gt;&lt;Year&gt;1972&lt;/Year&gt;&lt;RecNum&gt;2179&lt;/RecNum&gt;&lt;DisplayText&gt;(Shukla, 1972)&lt;/DisplayText&gt;&lt;record&gt;&lt;rec-number&gt;2179&lt;/rec-number&gt;&lt;foreign-keys&gt;&lt;key app="EN" db-id="2x9evwr2lvas5eevfp6v5eea2rfv5faevsdz" timestamp="1683804177" guid="e136593d-50e2-4774-a408-e9fe692c9138"&gt;2179&lt;/key&gt;&lt;/foreign-keys&gt;&lt;ref-type name="Journal Article"&gt;17&lt;/ref-type&gt;&lt;contributors&gt;&lt;authors&gt;&lt;author&gt;Shukla, G. K.&lt;/author&gt;&lt;/authors&gt;&lt;/contributors&gt;&lt;titles&gt;&lt;title&gt;Some statistical aspects of partitioning genotype-environmental components of variability&lt;/title&gt;&lt;secondary-title&gt;Heredity (Edinb)&lt;/secondary-title&gt;&lt;/titles&gt;&lt;pages&gt;237-45&lt;/pages&gt;&lt;volume&gt;29&lt;/volume&gt;&lt;number&gt;2&lt;/number&gt;&lt;edition&gt;1972/10/01&lt;/edition&gt;&lt;keywords&gt;&lt;keyword&gt;Analysis of Variance&lt;/keyword&gt;&lt;keyword&gt;*Environment&lt;/keyword&gt;&lt;keyword&gt;*Genotype&lt;/keyword&gt;&lt;keyword&gt;Mathematics&lt;/keyword&gt;&lt;keyword&gt;Models, Biological&lt;/keyword&gt;&lt;keyword&gt;Polymorphism, Genetic&lt;/keyword&gt;&lt;/keywords&gt;&lt;dates&gt;&lt;year&gt;1972&lt;/year&gt;&lt;pub-dates&gt;&lt;date&gt;Oct&lt;/date&gt;&lt;/pub-dates&gt;&lt;/dates&gt;&lt;isbn&gt;0018-067X (Print)&amp;#xD;0018-067X (Linking)&lt;/isbn&gt;&lt;accession-num&gt;4507945&lt;/accession-num&gt;&lt;urls&gt;&lt;related-urls&gt;&lt;url&gt;https://www.ncbi.nlm.nih.gov/pubmed/4507945&lt;/url&gt;&lt;/related-urls&gt;&lt;/urls&gt;&lt;electronic-resource-num&gt;10.1038/hdy.1972.87&lt;/electronic-resource-num&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(Shukla, 1972)</w:t>
      </w:r>
      <w:r w:rsidRPr="00A51BC5">
        <w:rPr>
          <w:rFonts w:asciiTheme="majorBidi" w:hAnsiTheme="majorBidi" w:cstheme="majorBidi"/>
          <w:color w:val="0432FF"/>
        </w:rPr>
        <w:fldChar w:fldCharType="end"/>
      </w:r>
      <w:r w:rsidRPr="00A51BC5">
        <w:rPr>
          <w:rFonts w:asciiTheme="majorBidi" w:hAnsiTheme="majorBidi" w:cstheme="majorBidi"/>
        </w:rPr>
        <w:t>. The lower the stability variance, the more stable the genotype.</w:t>
      </w:r>
    </w:p>
    <w:p w14:paraId="595C8514" w14:textId="77777777" w:rsidR="009756F2" w:rsidRPr="00A51BC5" w:rsidRDefault="00000000" w:rsidP="009756F2">
      <w:pPr>
        <w:widowControl w:val="0"/>
        <w:autoSpaceDE w:val="0"/>
        <w:autoSpaceDN w:val="0"/>
        <w:adjustRightInd w:val="0"/>
        <w:spacing w:line="360" w:lineRule="auto"/>
        <w:jc w:val="both"/>
        <w:rPr>
          <w:rFonts w:asciiTheme="majorBidi" w:hAnsiTheme="majorBidi" w:cstheme="majorBidi"/>
        </w:rPr>
      </w:pPr>
      <m:oMath>
        <m:sSubSup>
          <m:sSubSupPr>
            <m:ctrlPr>
              <w:rPr>
                <w:rFonts w:ascii="Cambria Math" w:hAnsi="Cambria Math" w:cstheme="majorBidi"/>
                <w:i/>
                <w:iCs/>
              </w:rPr>
            </m:ctrlPr>
          </m:sSubSupPr>
          <m:e>
            <m:r>
              <w:rPr>
                <w:rFonts w:ascii="Cambria Math" w:hAnsi="Cambria Math" w:cstheme="majorBidi"/>
              </w:rPr>
              <m:t>σ</m:t>
            </m:r>
          </m:e>
          <m:sub>
            <m:r>
              <w:rPr>
                <w:rFonts w:ascii="Cambria Math" w:hAnsi="Cambria Math" w:cstheme="majorBidi"/>
              </w:rPr>
              <m:t>i</m:t>
            </m:r>
          </m:sub>
          <m:sup>
            <m:r>
              <w:rPr>
                <w:rFonts w:ascii="Cambria Math" w:hAnsi="Cambria Math" w:cstheme="majorBidi"/>
              </w:rPr>
              <m:t>2</m:t>
            </m:r>
          </m:sup>
        </m:sSubSup>
        <m:r>
          <w:rPr>
            <w:rFonts w:ascii="Cambria Math" w:hAnsi="Cambria Math" w:cstheme="majorBidi"/>
          </w:rPr>
          <m:t>=</m:t>
        </m:r>
        <m:f>
          <m:fPr>
            <m:ctrlPr>
              <w:rPr>
                <w:rFonts w:ascii="Cambria Math" w:hAnsi="Cambria Math" w:cstheme="majorBidi"/>
                <w:i/>
              </w:rPr>
            </m:ctrlPr>
          </m:fPr>
          <m:num>
            <m:r>
              <w:rPr>
                <w:rFonts w:ascii="Cambria Math" w:hAnsi="Cambria Math" w:cstheme="majorBidi"/>
              </w:rPr>
              <m:t>t</m:t>
            </m:r>
          </m:num>
          <m:den>
            <m:d>
              <m:dPr>
                <m:ctrlPr>
                  <w:rPr>
                    <w:rFonts w:ascii="Cambria Math" w:hAnsi="Cambria Math" w:cstheme="majorBidi"/>
                    <w:i/>
                  </w:rPr>
                </m:ctrlPr>
              </m:dPr>
              <m:e>
                <m:r>
                  <w:rPr>
                    <w:rFonts w:ascii="Cambria Math" w:hAnsi="Cambria Math" w:cstheme="majorBidi"/>
                  </w:rPr>
                  <m:t>s-1</m:t>
                </m:r>
              </m:e>
            </m:d>
            <m:d>
              <m:dPr>
                <m:ctrlPr>
                  <w:rPr>
                    <w:rFonts w:ascii="Cambria Math" w:hAnsi="Cambria Math" w:cstheme="majorBidi"/>
                    <w:i/>
                  </w:rPr>
                </m:ctrlPr>
              </m:dPr>
              <m:e>
                <m:r>
                  <w:rPr>
                    <w:rFonts w:ascii="Cambria Math" w:hAnsi="Cambria Math" w:cstheme="majorBidi"/>
                  </w:rPr>
                  <m:t>t-2</m:t>
                </m:r>
              </m:e>
            </m:d>
            <m:d>
              <m:dPr>
                <m:ctrlPr>
                  <w:rPr>
                    <w:rFonts w:ascii="Cambria Math" w:hAnsi="Cambria Math" w:cstheme="majorBidi"/>
                    <w:i/>
                  </w:rPr>
                </m:ctrlPr>
              </m:dPr>
              <m:e>
                <m:r>
                  <w:rPr>
                    <w:rFonts w:ascii="Cambria Math" w:hAnsi="Cambria Math" w:cstheme="majorBidi"/>
                  </w:rPr>
                  <m:t>E-1</m:t>
                </m:r>
              </m:e>
            </m:d>
          </m:den>
        </m:f>
        <m:nary>
          <m:naryPr>
            <m:chr m:val="∑"/>
            <m:limLoc m:val="undOvr"/>
            <m:supHide m:val="1"/>
            <m:ctrlPr>
              <w:rPr>
                <w:rFonts w:ascii="Cambria Math" w:hAnsi="Cambria Math" w:cstheme="majorBidi"/>
                <w:i/>
              </w:rPr>
            </m:ctrlPr>
          </m:naryPr>
          <m:sub>
            <m:r>
              <w:rPr>
                <w:rFonts w:ascii="Cambria Math" w:hAnsi="Cambria Math" w:cstheme="majorBidi"/>
              </w:rPr>
              <m:t xml:space="preserve">j </m:t>
            </m:r>
          </m:sub>
          <m:sup/>
          <m:e>
            <m:sSup>
              <m:sSupPr>
                <m:ctrlPr>
                  <w:rPr>
                    <w:rFonts w:ascii="Cambria Math" w:hAnsi="Cambria Math" w:cstheme="majorBidi"/>
                    <w:i/>
                  </w:rPr>
                </m:ctrlPr>
              </m:sSupPr>
              <m:e>
                <m:d>
                  <m:dPr>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Y</m:t>
                        </m:r>
                      </m:e>
                      <m:sub>
                        <m:r>
                          <w:rPr>
                            <w:rFonts w:ascii="Cambria Math" w:hAnsi="Cambria Math" w:cstheme="majorBidi"/>
                          </w:rPr>
                          <m:t>ij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i.</m:t>
                        </m:r>
                      </m:sub>
                    </m:sSub>
                    <m:r>
                      <w:rPr>
                        <w:rFonts w:ascii="Cambria Math" w:hAnsi="Cambria Math" w:cstheme="majorBidi"/>
                      </w:rPr>
                      <m:t xml:space="preserve"> -</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.j</m:t>
                        </m:r>
                      </m:sub>
                    </m:sSub>
                    <m:r>
                      <w:rPr>
                        <w:rFonts w:ascii="Cambria Math" w:hAnsi="Cambria Math" w:cstheme="majorBidi"/>
                      </w:rPr>
                      <m:t xml:space="preserve"> -</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Y</m:t>
                            </m:r>
                          </m:e>
                        </m:acc>
                      </m:e>
                      <m:sub>
                        <m:r>
                          <w:rPr>
                            <w:rFonts w:ascii="Cambria Math" w:hAnsi="Cambria Math" w:cstheme="majorBidi"/>
                          </w:rPr>
                          <m:t>..</m:t>
                        </m:r>
                      </m:sub>
                    </m:sSub>
                  </m:e>
                </m:d>
              </m:e>
              <m:sup>
                <m:r>
                  <w:rPr>
                    <w:rFonts w:ascii="Cambria Math" w:hAnsi="Cambria Math" w:cstheme="majorBidi"/>
                  </w:rPr>
                  <m:t>2</m:t>
                </m:r>
              </m:sup>
            </m:sSup>
          </m:e>
        </m:nary>
      </m:oMath>
      <w:r w:rsidR="009756F2" w:rsidRPr="00A51BC5">
        <w:rPr>
          <w:rFonts w:asciiTheme="majorBidi" w:hAnsiTheme="majorBidi" w:cstheme="majorBidi"/>
        </w:rPr>
        <w:t xml:space="preserve">- </w:t>
      </w:r>
      <m:oMath>
        <m:f>
          <m:fPr>
            <m:ctrlPr>
              <w:rPr>
                <w:rFonts w:ascii="Cambria Math" w:hAnsi="Cambria Math" w:cstheme="majorBidi"/>
              </w:rPr>
            </m:ctrlPr>
          </m:fPr>
          <m:num>
            <m:sSub>
              <m:sSubPr>
                <m:ctrlPr>
                  <w:rPr>
                    <w:rFonts w:ascii="Cambria Math" w:hAnsi="Cambria Math" w:cstheme="majorBidi"/>
                  </w:rPr>
                </m:ctrlPr>
              </m:sSubPr>
              <m:e>
                <m:r>
                  <m:rPr>
                    <m:sty m:val="p"/>
                  </m:rPr>
                  <w:rPr>
                    <w:rFonts w:ascii="Cambria Math" w:hAnsi="Cambria Math" w:cstheme="majorBidi"/>
                  </w:rPr>
                  <m:t>Σ</m:t>
                </m:r>
              </m:e>
              <m:sub>
                <m:r>
                  <w:rPr>
                    <w:rFonts w:ascii="Cambria Math" w:hAnsi="Cambria Math" w:cstheme="majorBidi"/>
                  </w:rPr>
                  <m:t>j</m:t>
                </m:r>
              </m:sub>
            </m:sSub>
            <m:sSup>
              <m:sSupPr>
                <m:ctrlPr>
                  <w:rPr>
                    <w:rFonts w:ascii="Cambria Math" w:hAnsi="Cambria Math" w:cstheme="majorBidi"/>
                    <w:i/>
                  </w:rPr>
                </m:ctrlPr>
              </m:sSupPr>
              <m:e>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i.</m:t>
                    </m:r>
                  </m:sub>
                </m:sSub>
                <m:r>
                  <w:rPr>
                    <w:rFonts w:ascii="Cambria Math" w:hAnsi="Cambria Math" w:cstheme="majorBidi"/>
                  </w:rPr>
                  <m:t xml:space="preserve"> -</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.j</m:t>
                    </m:r>
                  </m:sub>
                </m:sSub>
                <m:r>
                  <w:rPr>
                    <w:rFonts w:ascii="Cambria Math" w:hAnsi="Cambria Math" w:cstheme="majorBidi"/>
                  </w:rPr>
                  <m:t xml:space="preserve"> -</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m:t>
                    </m:r>
                  </m:sub>
                </m:sSub>
                <m:r>
                  <w:rPr>
                    <w:rFonts w:ascii="Cambria Math" w:hAnsi="Cambria Math" w:cstheme="majorBidi"/>
                  </w:rPr>
                  <m:t>)</m:t>
                </m:r>
              </m:e>
              <m:sup>
                <m:r>
                  <w:rPr>
                    <w:rFonts w:ascii="Cambria Math" w:hAnsi="Cambria Math" w:cstheme="majorBidi"/>
                  </w:rPr>
                  <m:t>2</m:t>
                </m:r>
              </m:sup>
            </m:sSup>
          </m:num>
          <m:den>
            <m:r>
              <w:rPr>
                <w:rFonts w:ascii="Cambria Math" w:hAnsi="Cambria Math" w:cstheme="majorBidi"/>
              </w:rPr>
              <m:t>t-2</m:t>
            </m:r>
          </m:den>
        </m:f>
      </m:oMath>
    </w:p>
    <w:p w14:paraId="4D6A3053"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 xml:space="preserve">where </w:t>
      </w:r>
      <w:proofErr w:type="spellStart"/>
      <w:r w:rsidRPr="00A51BC5">
        <w:rPr>
          <w:rFonts w:asciiTheme="majorBidi" w:hAnsiTheme="majorBidi" w:cstheme="majorBidi"/>
        </w:rPr>
        <w:t>X</w:t>
      </w:r>
      <w:r w:rsidRPr="00A51BC5">
        <w:rPr>
          <w:rFonts w:asciiTheme="majorBidi" w:hAnsiTheme="majorBidi" w:cstheme="majorBidi"/>
          <w:vertAlign w:val="subscript"/>
        </w:rPr>
        <w:t>ij</w:t>
      </w:r>
      <w:proofErr w:type="spellEnd"/>
      <w:r w:rsidRPr="00A51BC5">
        <w:rPr>
          <w:rFonts w:asciiTheme="majorBidi" w:hAnsiTheme="majorBidi" w:cstheme="majorBidi"/>
        </w:rPr>
        <w:t xml:space="preserve"> is the observed phenotypic mean value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 1,2..., t) in environment </w:t>
      </w:r>
      <w:r w:rsidRPr="00A51BC5">
        <w:rPr>
          <w:rFonts w:asciiTheme="majorBidi" w:hAnsiTheme="majorBidi" w:cstheme="majorBidi"/>
          <w:i/>
          <w:iCs/>
        </w:rPr>
        <w:t>j</w:t>
      </w:r>
      <w:r w:rsidRPr="00A51BC5">
        <w:rPr>
          <w:rFonts w:asciiTheme="majorBidi" w:hAnsiTheme="majorBidi" w:cstheme="majorBidi"/>
        </w:rPr>
        <w:t xml:space="preserve"> (</w:t>
      </w:r>
      <w:r w:rsidRPr="00A51BC5">
        <w:rPr>
          <w:rFonts w:asciiTheme="majorBidi" w:hAnsiTheme="majorBidi" w:cstheme="majorBidi"/>
          <w:i/>
          <w:iCs/>
        </w:rPr>
        <w:t>j</w:t>
      </w:r>
      <w:r w:rsidRPr="00A51BC5">
        <w:rPr>
          <w:rFonts w:asciiTheme="majorBidi" w:hAnsiTheme="majorBidi" w:cstheme="majorBidi"/>
        </w:rPr>
        <w:t xml:space="preserve"> = 1,2..., s), with </w:t>
      </w:r>
      <m:oMath>
        <m:bar>
          <m:barPr>
            <m:pos m:val="top"/>
            <m:ctrlPr>
              <w:rPr>
                <w:rFonts w:ascii="Cambria Math" w:hAnsi="Cambria Math" w:cstheme="majorBidi"/>
                <w:i/>
              </w:rPr>
            </m:ctrlPr>
          </m:barPr>
          <m:e>
            <m:r>
              <w:rPr>
                <w:rFonts w:ascii="Cambria Math" w:hAnsi="Cambria Math" w:cstheme="majorBidi"/>
              </w:rPr>
              <m:t>X</m:t>
            </m:r>
          </m:e>
        </m:bar>
      </m:oMath>
      <w:r w:rsidRPr="00A51BC5">
        <w:rPr>
          <w:rFonts w:asciiTheme="majorBidi" w:hAnsiTheme="majorBidi" w:cstheme="majorBidi"/>
        </w:rPr>
        <w:t xml:space="preserve"> and </w:t>
      </w:r>
      <m:oMath>
        <m:bar>
          <m:barPr>
            <m:pos m:val="top"/>
            <m:ctrlPr>
              <w:rPr>
                <w:rFonts w:ascii="Cambria Math" w:hAnsi="Cambria Math" w:cstheme="majorBidi"/>
                <w:i/>
              </w:rPr>
            </m:ctrlPr>
          </m:barPr>
          <m:e>
            <m:r>
              <w:rPr>
                <w:rFonts w:ascii="Cambria Math" w:hAnsi="Cambria Math" w:cstheme="majorBidi"/>
              </w:rPr>
              <m:t>X</m:t>
            </m:r>
          </m:e>
        </m:bar>
      </m:oMath>
      <w:r w:rsidRPr="00A51BC5">
        <w:rPr>
          <w:rFonts w:asciiTheme="majorBidi" w:hAnsiTheme="majorBidi" w:cstheme="majorBidi"/>
        </w:rPr>
        <w:t xml:space="preserve"> denoting marginal means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and environment </w:t>
      </w:r>
      <w:r w:rsidRPr="00A51BC5">
        <w:rPr>
          <w:rFonts w:asciiTheme="majorBidi" w:hAnsiTheme="majorBidi" w:cstheme="majorBidi"/>
          <w:i/>
          <w:iCs/>
        </w:rPr>
        <w:t>j</w:t>
      </w:r>
      <w:r w:rsidRPr="00A51BC5">
        <w:rPr>
          <w:rFonts w:asciiTheme="majorBidi" w:hAnsiTheme="majorBidi" w:cstheme="majorBidi"/>
        </w:rPr>
        <w:t xml:space="preserve">, respectively. </w:t>
      </w:r>
      <m:oMath>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m:t>
            </m:r>
          </m:sub>
        </m:sSub>
      </m:oMath>
      <w:r w:rsidRPr="00A51BC5">
        <w:rPr>
          <w:rFonts w:asciiTheme="majorBidi" w:hAnsiTheme="majorBidi" w:cstheme="majorBidi"/>
        </w:rPr>
        <w:t xml:space="preserve"> denotes the overall mean. </w:t>
      </w:r>
    </w:p>
    <w:p w14:paraId="7DCCB4BE"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hAnsiTheme="majorBidi" w:cstheme="majorBidi"/>
          <w:b/>
          <w:bCs/>
        </w:rPr>
        <w:t>Tai’s stability statistics:</w:t>
      </w:r>
    </w:p>
    <w:p w14:paraId="313EE000"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Two parameters of stability; Tai's alpha (α) and lambda (λ), are mean-variance factors for a pairwise G × E interaction proposed by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&lt;EndNote&gt;&lt;Cite&gt;&lt;Author&gt;Tai&lt;/Author&gt;&lt;Year&gt;1971&lt;/Year&gt;&lt;RecNum&gt;301&lt;/RecNum&gt;&lt;DisplayText&gt;(Tai, 1971)&lt;/DisplayText&gt;&lt;record&gt;&lt;rec-number&gt;301&lt;/rec-number&gt;&lt;foreign-keys&gt;&lt;key app="EN" db-id="2x9evwr2lvas5eevfp6v5eea2rfv5faevsdz" timestamp="1617619555" guid="2806cb0b-937f-4737-8125-d3e6ad5ca341"&gt;301&lt;/key&gt;&lt;/foreign-keys&gt;&lt;ref-type name="Journal Article"&gt;17&lt;/ref-type&gt;&lt;contributors&gt;&lt;authors&gt;&lt;author&gt;Tai, G. C. C.&lt;/author&gt;&lt;/authors&gt;&lt;/contributors&gt;&lt;titles&gt;&lt;title&gt;Genotypic Stability Analysis and Its Application to Potato Regional Trials&lt;/title&gt;&lt;secondary-title&gt;Crop Science&lt;/secondary-title&gt;&lt;alt-title&gt;Crop Sci&lt;/alt-title&gt;&lt;/titles&gt;&lt;periodical&gt;&lt;full-title&gt;Crop Science&lt;/full-title&gt;&lt;/periodical&gt;&lt;pages&gt;184-190&lt;/pages&gt;&lt;volume&gt;11&lt;/volume&gt;&lt;number&gt;2&lt;/number&gt;&lt;dates&gt;&lt;year&gt;1971&lt;/year&gt;&lt;/dates&gt;&lt;isbn&gt;0011-183x&lt;/isbn&gt;&lt;accession-num&gt;WOS:A1971J140000006&lt;/accession-num&gt;&lt;urls&gt;&lt;related-urls&gt;&lt;url&gt;https://acsess.onlinelibrary.wiley.com/doi/abs/10.2135/cropsci1971.0011183X001100020006x&lt;/url&gt;&lt;/related-urls&gt;&lt;/urls&gt;&lt;electronic-resource-num&gt;DOI 10.2135/cropsci1971.0011183X001100020006x&lt;/electronic-resource-num&gt;&lt;language&gt;English&lt;/language&gt;&lt;/record&gt;&lt;/Cite&gt;&lt;/EndNote&gt;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(Tai, 1971)</w:t>
      </w:r>
      <w:r w:rsidRPr="00A51BC5">
        <w:rPr>
          <w:rFonts w:asciiTheme="majorBidi" w:hAnsiTheme="majorBidi" w:cstheme="majorBidi"/>
          <w:color w:val="0432FF"/>
        </w:rPr>
        <w:fldChar w:fldCharType="end"/>
      </w:r>
      <w:r w:rsidRPr="00A51BC5">
        <w:rPr>
          <w:rFonts w:asciiTheme="majorBidi" w:hAnsiTheme="majorBidi" w:cstheme="majorBidi"/>
        </w:rPr>
        <w:t xml:space="preserve">. The normal division of the GEIs into a sum of squares of the deviation from the regression and regression sum of squares is practicable when the effects of the environment can be estimated without error. The linear response to environmental effects could be estimated with statistic </w:t>
      </w:r>
      <w:r w:rsidRPr="00A51BC5">
        <w:rPr>
          <w:rFonts w:asciiTheme="majorBidi" w:hAnsiTheme="majorBidi" w:cstheme="majorBidi"/>
          <w:i/>
          <w:iCs/>
        </w:rPr>
        <w:t>α</w:t>
      </w:r>
      <w:proofErr w:type="spellStart"/>
      <w:r w:rsidRPr="00A51BC5">
        <w:rPr>
          <w:rFonts w:asciiTheme="majorBidi" w:hAnsiTheme="majorBidi" w:cstheme="majorBidi"/>
          <w:i/>
          <w:iCs/>
          <w:vertAlign w:val="subscript"/>
        </w:rPr>
        <w:t>i</w:t>
      </w:r>
      <w:proofErr w:type="spellEnd"/>
      <w:r w:rsidRPr="00A51BC5">
        <w:rPr>
          <w:rFonts w:asciiTheme="majorBidi" w:hAnsiTheme="majorBidi" w:cstheme="majorBidi"/>
        </w:rPr>
        <w:t xml:space="preserve">, while the deviation from the linear response could be estimated with statistic </w:t>
      </w:r>
      <w:proofErr w:type="spellStart"/>
      <w:r w:rsidRPr="00A51BC5">
        <w:rPr>
          <w:rFonts w:asciiTheme="majorBidi" w:hAnsiTheme="majorBidi" w:cstheme="majorBidi"/>
        </w:rPr>
        <w:t>λ</w:t>
      </w:r>
      <w:r w:rsidRPr="00A51BC5">
        <w:rPr>
          <w:rFonts w:asciiTheme="majorBidi" w:hAnsiTheme="majorBidi" w:cstheme="majorBidi"/>
          <w:vertAlign w:val="subscript"/>
        </w:rPr>
        <w:t>i</w:t>
      </w:r>
      <w:proofErr w:type="spellEnd"/>
      <w:r w:rsidRPr="00A51BC5">
        <w:rPr>
          <w:rFonts w:asciiTheme="majorBidi" w:hAnsiTheme="majorBidi" w:cstheme="majorBidi"/>
        </w:rPr>
        <w:t xml:space="preserve">. A stable genotype would have an </w:t>
      </w:r>
      <w:r w:rsidRPr="00A51BC5">
        <w:rPr>
          <w:rFonts w:asciiTheme="majorBidi" w:hAnsiTheme="majorBidi" w:cstheme="majorBidi"/>
          <w:i/>
          <w:iCs/>
        </w:rPr>
        <w:t>α</w:t>
      </w:r>
      <w:proofErr w:type="spellStart"/>
      <w:r w:rsidRPr="00A51BC5">
        <w:rPr>
          <w:rFonts w:asciiTheme="majorBidi" w:hAnsiTheme="majorBidi" w:cstheme="majorBidi"/>
          <w:i/>
          <w:iCs/>
          <w:vertAlign w:val="subscript"/>
        </w:rPr>
        <w:t>i</w:t>
      </w:r>
      <w:proofErr w:type="spellEnd"/>
      <w:r w:rsidRPr="00A51BC5">
        <w:rPr>
          <w:rFonts w:asciiTheme="majorBidi" w:hAnsiTheme="majorBidi" w:cstheme="majorBidi"/>
        </w:rPr>
        <w:t xml:space="preserve"> = -1 and </w:t>
      </w:r>
      <w:proofErr w:type="spellStart"/>
      <w:r w:rsidRPr="00A51BC5">
        <w:rPr>
          <w:rFonts w:asciiTheme="majorBidi" w:hAnsiTheme="majorBidi" w:cstheme="majorBidi"/>
        </w:rPr>
        <w:t>λ</w:t>
      </w:r>
      <w:r w:rsidRPr="00A51BC5">
        <w:rPr>
          <w:rFonts w:asciiTheme="majorBidi" w:hAnsiTheme="majorBidi" w:cstheme="majorBidi"/>
          <w:vertAlign w:val="subscript"/>
        </w:rPr>
        <w:t>i</w:t>
      </w:r>
      <w:proofErr w:type="spellEnd"/>
      <w:r w:rsidRPr="00A51BC5">
        <w:rPr>
          <w:rFonts w:asciiTheme="majorBidi" w:hAnsiTheme="majorBidi" w:cstheme="majorBidi"/>
        </w:rPr>
        <w:t xml:space="preserve"> = 1. Conversely, a genotype with average stability has </w:t>
      </w:r>
      <w:r w:rsidRPr="00A51BC5">
        <w:rPr>
          <w:rFonts w:asciiTheme="majorBidi" w:hAnsiTheme="majorBidi" w:cstheme="majorBidi"/>
          <w:i/>
          <w:iCs/>
        </w:rPr>
        <w:t>α</w:t>
      </w:r>
      <w:proofErr w:type="spellStart"/>
      <w:r w:rsidRPr="00A51BC5">
        <w:rPr>
          <w:rFonts w:asciiTheme="majorBidi" w:hAnsiTheme="majorBidi" w:cstheme="majorBidi"/>
          <w:i/>
          <w:iCs/>
          <w:vertAlign w:val="subscript"/>
        </w:rPr>
        <w:t>i</w:t>
      </w:r>
      <w:proofErr w:type="spellEnd"/>
      <w:r w:rsidRPr="00A51BC5">
        <w:rPr>
          <w:rFonts w:asciiTheme="majorBidi" w:hAnsiTheme="majorBidi" w:cstheme="majorBidi"/>
          <w:vertAlign w:val="subscript"/>
        </w:rPr>
        <w:t xml:space="preserve"> </w:t>
      </w:r>
      <w:r w:rsidRPr="00A51BC5">
        <w:rPr>
          <w:rFonts w:asciiTheme="majorBidi" w:hAnsiTheme="majorBidi" w:cstheme="majorBidi"/>
        </w:rPr>
        <w:t xml:space="preserve">= 0 and </w:t>
      </w:r>
      <w:proofErr w:type="spellStart"/>
      <w:r w:rsidRPr="00A51BC5">
        <w:rPr>
          <w:rFonts w:asciiTheme="majorBidi" w:hAnsiTheme="majorBidi" w:cstheme="majorBidi"/>
          <w:i/>
          <w:iCs/>
        </w:rPr>
        <w:t>λ</w:t>
      </w:r>
      <w:r w:rsidRPr="00A51BC5">
        <w:rPr>
          <w:rFonts w:asciiTheme="majorBidi" w:hAnsiTheme="majorBidi" w:cstheme="majorBidi"/>
          <w:i/>
          <w:iCs/>
          <w:vertAlign w:val="subscript"/>
        </w:rPr>
        <w:t>i</w:t>
      </w:r>
      <w:proofErr w:type="spellEnd"/>
      <w:r w:rsidRPr="00A51BC5">
        <w:rPr>
          <w:rFonts w:asciiTheme="majorBidi" w:hAnsiTheme="majorBidi" w:cstheme="majorBidi"/>
        </w:rPr>
        <w:t xml:space="preserve"> =1, and the value (α &gt; 0, λ = 1) refers to the below average stability.</w:t>
      </w:r>
    </w:p>
    <w:p w14:paraId="542426F5"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hAnsiTheme="majorBidi" w:cstheme="majorBidi"/>
          <w:b/>
          <w:bCs/>
        </w:rPr>
        <w:t>A pair-wise genotype-environment interaction:</w:t>
      </w:r>
    </w:p>
    <w:p w14:paraId="09F75F5F" w14:textId="77777777" w:rsidR="009756F2" w:rsidRPr="00A51BC5" w:rsidRDefault="009756F2" w:rsidP="009756F2">
      <w:pPr>
        <w:spacing w:after="120" w:line="360" w:lineRule="auto"/>
        <w:jc w:val="both"/>
        <w:rPr>
          <w:rFonts w:asciiTheme="majorBidi" w:hAnsiTheme="majorBidi" w:cstheme="majorBidi"/>
        </w:rPr>
      </w:pPr>
      <w:proofErr w:type="spellStart"/>
      <w:r w:rsidRPr="00A51BC5">
        <w:rPr>
          <w:rFonts w:asciiTheme="majorBidi" w:hAnsiTheme="majorBidi" w:cstheme="majorBidi"/>
        </w:rPr>
        <w:lastRenderedPageBreak/>
        <w:t>Plaisted</w:t>
      </w:r>
      <w:proofErr w:type="spellEnd"/>
      <w:r w:rsidRPr="00A51BC5">
        <w:rPr>
          <w:rFonts w:asciiTheme="majorBidi" w:hAnsiTheme="majorBidi" w:cstheme="majorBidi"/>
        </w:rPr>
        <w:t xml:space="preserve"> and Peterson</w:t>
      </w:r>
      <w:r w:rsidRPr="00A51BC5">
        <w:rPr>
          <w:rFonts w:asciiTheme="majorBidi" w:hAnsiTheme="majorBidi" w:cstheme="majorBidi"/>
          <w:color w:val="0432FF"/>
        </w:rPr>
        <w:t xml:space="preserve">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&lt;EndNote&gt;&lt;Cite&gt;&lt;Author&gt;Plaisted&lt;/Author&gt;&lt;Year&gt;1959&lt;/Year&gt;&lt;RecNum&gt;2184&lt;/RecNum&gt;&lt;DisplayText&gt;(Plaisted &amp;amp; Peterson, 1959)&lt;/DisplayText&gt;&lt;record&gt;&lt;rec-number&gt;2184&lt;/rec-number&gt;&lt;foreign-keys&gt;&lt;key app="EN" db-id="2x9evwr2lvas5eevfp6v5eea2rfv5faevsdz" timestamp="1683895294" guid="8c4f67bc-da21-4092-a6f3-7764888834f5"&gt;2184&lt;/key&gt;&lt;/foreign-keys&gt;&lt;ref-type name="Journal Article"&gt;17&lt;/ref-type&gt;&lt;contributors&gt;&lt;authors&gt;&lt;author&gt;Plaisted, R. L.&lt;/author&gt;&lt;author&gt;Peterson, L. C.&lt;/author&gt;&lt;/authors&gt;&lt;/contributors&gt;&lt;titles&gt;&lt;title&gt;A technique for evaluating the ability of selections to yield consistently in different locations or seasons&lt;/title&gt;&lt;secondary-title&gt;American Potato Journal&lt;/secondary-title&gt;&lt;/titles&gt;&lt;periodical&gt;&lt;full-title&gt;American Potato Journal&lt;/full-title&gt;&lt;/periodical&gt;&lt;pages&gt;381-385&lt;/pages&gt;&lt;volume&gt;36&lt;/volume&gt;&lt;number&gt;11&lt;/number&gt;&lt;section&gt;381&lt;/section&gt;&lt;keywords&gt;&lt;keyword&gt;Plant Sciences&lt;/keyword&gt;&lt;keyword&gt;Agriculture&lt;/keyword&gt;&lt;keyword&gt;Plant Genetics and Genomics&lt;/keyword&gt;&lt;keyword&gt;Plant Breeding/Biotechnology&lt;/keyword&gt;&lt;keyword&gt;Plant Pathology&lt;/keyword&gt;&lt;/keywords&gt;&lt;dates&gt;&lt;year&gt;1959&lt;/year&gt;&lt;/dates&gt;&lt;publisher&gt;Springer&lt;/publisher&gt;&lt;isbn&gt;0003-0589&amp;#xD;1874-9380&lt;/isbn&gt;&lt;work-type&gt;OriginalPaper&lt;/work-type&gt;&lt;urls&gt;&lt;related-urls&gt;&lt;url&gt;https://link.springer.com/article/10.1007/BF02852735&lt;/url&gt;&lt;/related-urls&gt;&lt;/urls&gt;&lt;electronic-resource-num&gt;10.1007/bf02852735&lt;/electronic-resource-num&gt;&lt;language&gt;En&lt;/languag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(Plaisted &amp; Peterson, 1959)</w:t>
      </w:r>
      <w:r w:rsidRPr="00A51BC5">
        <w:rPr>
          <w:rFonts w:asciiTheme="majorBidi" w:hAnsiTheme="majorBidi" w:cstheme="majorBidi"/>
          <w:color w:val="0432FF"/>
        </w:rPr>
        <w:fldChar w:fldCharType="end"/>
      </w:r>
      <w:r w:rsidRPr="00A51BC5">
        <w:rPr>
          <w:rFonts w:asciiTheme="majorBidi" w:hAnsiTheme="majorBidi" w:cstheme="majorBidi"/>
          <w:color w:val="0432FF"/>
        </w:rPr>
        <w:t>,</w:t>
      </w:r>
      <w:r w:rsidRPr="00A51BC5">
        <w:rPr>
          <w:rFonts w:asciiTheme="majorBidi" w:hAnsiTheme="majorBidi" w:cstheme="majorBidi"/>
        </w:rPr>
        <w:t xml:space="preserve"> suggested the variance component of G × E interactions among every possible pair of genotypes. An estimate of stability is determined by averaging all combinations with the same genotype. Therefore, the lower the P59 value the more stable the genotype.</w:t>
      </w:r>
    </w:p>
    <w:p w14:paraId="7212753C"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hAnsiTheme="majorBidi" w:cstheme="majorBidi"/>
          <w:b/>
          <w:bCs/>
        </w:rPr>
        <w:t>Genotypic stability:</w:t>
      </w:r>
    </w:p>
    <w:p w14:paraId="492861B4"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The genotypic stability (D</w:t>
      </w:r>
      <w:r w:rsidRPr="00A51BC5">
        <w:rPr>
          <w:rFonts w:asciiTheme="majorBidi" w:hAnsiTheme="majorBidi" w:cstheme="majorBidi"/>
          <w:vertAlign w:val="subscript"/>
        </w:rPr>
        <w:t>i</w:t>
      </w:r>
      <w:r w:rsidRPr="00A51BC5">
        <w:rPr>
          <w:rFonts w:asciiTheme="majorBidi" w:hAnsiTheme="majorBidi" w:cstheme="majorBidi"/>
          <w:vertAlign w:val="superscript"/>
        </w:rPr>
        <w:t>2</w:t>
      </w:r>
      <w:r w:rsidRPr="00A51BC5">
        <w:rPr>
          <w:rFonts w:asciiTheme="majorBidi" w:hAnsiTheme="majorBidi" w:cstheme="majorBidi"/>
        </w:rPr>
        <w:t xml:space="preserve">)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&lt;EndNote&gt;&lt;Cite&gt;&lt;Author&gt;Hanson&lt;/Author&gt;&lt;Year&gt;1970&lt;/Year&gt;&lt;RecNum&gt;2186&lt;/RecNum&gt;&lt;DisplayText&gt;(Hanson, 1970)&lt;/DisplayText&gt;&lt;record&gt;&lt;rec-number&gt;2186&lt;/rec-number&gt;&lt;foreign-keys&gt;&lt;key app="EN" db-id="2x9evwr2lvas5eevfp6v5eea2rfv5faevsdz" timestamp="1683895644" guid="d77a43a3-602d-40ff-9cce-21f37c01f5ac"&gt;2186&lt;/key&gt;&lt;/foreign-keys&gt;&lt;ref-type name="Journal Article"&gt;17&lt;/ref-type&gt;&lt;contributors&gt;&lt;authors&gt;&lt;author&gt;Hanson, W. D.&lt;/author&gt;&lt;/authors&gt;&lt;/contributors&gt;&lt;titles&gt;&lt;title&gt;Genotypic stability&lt;/title&gt;&lt;secondary-title&gt;Theoretical and Applied Genetics&lt;/secondary-title&gt;&lt;/titles&gt;&lt;periodical&gt;&lt;full-title&gt;Theoretical and Applied Genetics&lt;/full-title&gt;&lt;/periodical&gt;&lt;pages&gt;226-231&lt;/pages&gt;&lt;volume&gt;40&lt;/volume&gt;&lt;number&gt;5&lt;/number&gt;&lt;dates&gt;&lt;year&gt;1970&lt;/year&gt;&lt;pub-dates&gt;&lt;date&gt;1970/01/01&lt;/date&gt;&lt;/pub-dates&gt;&lt;/dates&gt;&lt;isbn&gt;1432-2242&lt;/isbn&gt;&lt;urls&gt;&lt;related-urls&gt;&lt;url&gt;https://doi.org/10.1007/BF00285245&lt;/url&gt;&lt;/related-urls&gt;&lt;/urls&gt;&lt;electronic-resource-num&gt;10.1007/BF00285245&lt;/electronic-resource-num&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(Hanson, 1970)</w:t>
      </w:r>
      <w:r w:rsidRPr="00A51BC5">
        <w:rPr>
          <w:rFonts w:asciiTheme="majorBidi" w:hAnsiTheme="majorBidi" w:cstheme="majorBidi"/>
          <w:color w:val="0432FF"/>
        </w:rPr>
        <w:fldChar w:fldCharType="end"/>
      </w:r>
      <w:r w:rsidRPr="00A51BC5">
        <w:rPr>
          <w:rFonts w:asciiTheme="majorBidi" w:hAnsiTheme="majorBidi" w:cstheme="majorBidi"/>
          <w:color w:val="0432FF"/>
        </w:rPr>
        <w:t xml:space="preserve">, </w:t>
      </w:r>
      <w:r w:rsidRPr="00A51BC5">
        <w:rPr>
          <w:rFonts w:asciiTheme="majorBidi" w:hAnsiTheme="majorBidi" w:cstheme="majorBidi"/>
        </w:rPr>
        <w:t xml:space="preserve">is estimated according to a linear regression purpose like </w:t>
      </w:r>
      <w:proofErr w:type="spellStart"/>
      <w:r w:rsidRPr="00A51BC5">
        <w:rPr>
          <w:rFonts w:asciiTheme="majorBidi" w:hAnsiTheme="majorBidi" w:cstheme="majorBidi"/>
        </w:rPr>
        <w:t>Wricke’s</w:t>
      </w:r>
      <w:proofErr w:type="spellEnd"/>
      <w:r w:rsidRPr="00A51BC5">
        <w:rPr>
          <w:rFonts w:asciiTheme="majorBidi" w:hAnsiTheme="majorBidi" w:cstheme="majorBidi"/>
        </w:rPr>
        <w:t xml:space="preserve"> </w:t>
      </w:r>
      <w:proofErr w:type="spellStart"/>
      <w:r w:rsidRPr="00A51BC5">
        <w:rPr>
          <w:rFonts w:asciiTheme="majorBidi" w:hAnsiTheme="majorBidi" w:cstheme="majorBidi"/>
        </w:rPr>
        <w:t>ecovalence</w:t>
      </w:r>
      <w:proofErr w:type="spellEnd"/>
      <w:r w:rsidRPr="00A51BC5">
        <w:rPr>
          <w:rFonts w:asciiTheme="majorBidi" w:hAnsiTheme="majorBidi" w:cstheme="majorBidi"/>
        </w:rPr>
        <w:t xml:space="preserve"> stability coefficient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&lt;EndNote&gt;&lt;Cite&gt;&lt;Author&gt;Wricke&lt;/Author&gt;&lt;Year&gt;1962&lt;/Year&gt;&lt;RecNum&gt;2198&lt;/RecNum&gt;&lt;DisplayText&gt;(Wricke, 1962)&lt;/DisplayText&gt;&lt;record&gt;&lt;rec-number&gt;2198&lt;/rec-number&gt;&lt;foreign-keys&gt;&lt;key app="EN" db-id="2x9evwr2lvas5eevfp6v5eea2rfv5faevsdz" timestamp="1684061391" guid="74f75bac-6f37-4450-b38a-c18c69653572"&gt;2198&lt;/key&gt;&lt;/foreign-keys&gt;&lt;ref-type name="Journal Article"&gt;17&lt;/ref-type&gt;&lt;contributors&gt;&lt;authors&gt;&lt;author&gt;Wricke, G&lt;/author&gt;&lt;/authors&gt;&lt;/contributors&gt;&lt;titles&gt;&lt;title&gt;Uber eine Methode zur Erfassung der okologischen Streubreite in Feldverzuchen&lt;/title&gt;&lt;secondary-title&gt;Z. pflanzenzuchtg&lt;/secondary-title&gt;&lt;/titles&gt;&lt;periodical&gt;&lt;full-title&gt;Z. pflanzenzuchtg&lt;/full-title&gt;&lt;/periodical&gt;&lt;pages&gt;92-96&lt;/pages&gt;&lt;volume&gt;47&lt;/volume&gt;&lt;dates&gt;&lt;year&gt;1962&lt;/year&gt;&lt;/dates&gt;&lt;urls&gt;&lt;/urls&gt;&lt;/record&gt;&lt;/Cite&gt;&lt;/EndNote&gt;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(Wricke, 1962)</w:t>
      </w:r>
      <w:r w:rsidRPr="00A51BC5">
        <w:rPr>
          <w:rFonts w:asciiTheme="majorBidi" w:hAnsiTheme="majorBidi" w:cstheme="majorBidi"/>
          <w:color w:val="0432FF"/>
        </w:rPr>
        <w:fldChar w:fldCharType="end"/>
      </w:r>
      <w:r w:rsidRPr="00A51BC5">
        <w:rPr>
          <w:rFonts w:asciiTheme="majorBidi" w:hAnsiTheme="majorBidi" w:cstheme="majorBidi"/>
        </w:rPr>
        <w:t xml:space="preserve"> with considering the regression. Consequently, the lower the genotypic stability the more stable the genotype.</w:t>
      </w:r>
    </w:p>
    <w:p w14:paraId="2D39073D" w14:textId="77777777" w:rsidR="009756F2" w:rsidRPr="00A51BC5" w:rsidRDefault="00000000" w:rsidP="009756F2">
      <w:pPr>
        <w:widowControl w:val="0"/>
        <w:autoSpaceDE w:val="0"/>
        <w:autoSpaceDN w:val="0"/>
        <w:adjustRightInd w:val="0"/>
        <w:spacing w:line="360" w:lineRule="auto"/>
        <w:jc w:val="both"/>
        <w:rPr>
          <w:rFonts w:ascii="VgsrjpAdvPTimes" w:hAnsi="VgsrjpAdvPTimes"/>
        </w:rPr>
      </w:pPr>
      <m:oMathPara>
        <m:oMathParaPr>
          <m:jc m:val="left"/>
        </m:oMathParaPr>
        <m:oMath>
          <m:sSubSup>
            <m:sSubSupPr>
              <m:ctrlPr>
                <w:rPr>
                  <w:rFonts w:ascii="Cambria Math" w:hAnsi="Cambria Math"/>
                  <w:i/>
                </w:rPr>
              </m:ctrlPr>
            </m:sSubSupPr>
            <m:e>
              <m:r>
                <w:rPr>
                  <w:rFonts w:ascii="Cambria Math" w:hAnsi="Cambria Math"/>
                </w:rPr>
                <m:t>D</m:t>
              </m:r>
            </m:e>
            <m:sub>
              <m:r>
                <w:rPr>
                  <w:rFonts w:ascii="Cambria Math" w:hAnsi="Cambria Math"/>
                </w:rPr>
                <m:t>i</m:t>
              </m:r>
            </m:sub>
            <m:sup>
              <m:r>
                <w:rPr>
                  <w:rFonts w:ascii="Cambria Math" w:hAnsi="Cambria Math"/>
                </w:rPr>
                <m:t>2</m:t>
              </m:r>
            </m:sup>
          </m:sSub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m:t>
                  </m:r>
                </m:e>
                <m:sub>
                  <m:r>
                    <w:rPr>
                      <w:rFonts w:ascii="Cambria Math" w:hAnsi="Cambria Math"/>
                    </w:rPr>
                    <m:t>j</m:t>
                  </m:r>
                </m:sub>
              </m:sSub>
              <m:r>
                <w:rPr>
                  <w:rFonts w:ascii="Cambria Math" w:hAnsi="Cambria Math"/>
                </w:rPr>
                <m:t xml:space="preserve">( </m:t>
              </m:r>
              <m:sSub>
                <m:sSubPr>
                  <m:ctrlPr>
                    <w:rPr>
                      <w:rFonts w:ascii="Cambria Math" w:hAnsi="Cambria Math"/>
                      <w:i/>
                    </w:rPr>
                  </m:ctrlPr>
                </m:sSubPr>
                <m:e>
                  <m:r>
                    <w:rPr>
                      <w:rFonts w:ascii="Cambria Math" w:hAnsi="Cambria Math"/>
                    </w:rPr>
                    <m:t>X</m:t>
                  </m:r>
                </m:e>
                <m:sub>
                  <m:r>
                    <w:rPr>
                      <w:rFonts w:ascii="Cambria Math" w:hAnsi="Cambria Math"/>
                    </w:rPr>
                    <m:t>ij</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min</m:t>
                  </m:r>
                </m:sub>
              </m:sSub>
              <m:r>
                <w:rPr>
                  <w:rFonts w:ascii="Cambria Math" w:hAnsi="Cambria Math"/>
                </w:rPr>
                <m:t xml:space="preserve"> </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min</m:t>
                  </m:r>
                </m:sub>
              </m:sSub>
              <m:r>
                <w:rPr>
                  <w:rFonts w:ascii="Cambria Math" w:hAnsi="Cambria Math"/>
                </w:rPr>
                <m:t>-</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m:t>
                  </m:r>
                </m:sub>
              </m:sSub>
              <m:r>
                <w:rPr>
                  <w:rFonts w:ascii="Cambria Math" w:hAnsi="Cambria Math"/>
                </w:rPr>
                <m:t>)</m:t>
              </m:r>
            </m:e>
            <m:sup>
              <m:r>
                <w:rPr>
                  <w:rFonts w:ascii="Cambria Math" w:hAnsi="Cambria Math"/>
                </w:rPr>
                <m:t>2</m:t>
              </m:r>
            </m:sup>
          </m:sSup>
        </m:oMath>
      </m:oMathPara>
    </w:p>
    <w:p w14:paraId="7FD7889F"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 xml:space="preserve">where </w:t>
      </w:r>
      <w:proofErr w:type="spellStart"/>
      <w:r w:rsidRPr="00A51BC5">
        <w:rPr>
          <w:rFonts w:asciiTheme="majorBidi" w:hAnsiTheme="majorBidi" w:cstheme="majorBidi"/>
        </w:rPr>
        <w:t>X</w:t>
      </w:r>
      <w:r w:rsidRPr="00A51BC5">
        <w:rPr>
          <w:rFonts w:asciiTheme="majorBidi" w:hAnsiTheme="majorBidi" w:cstheme="majorBidi"/>
          <w:vertAlign w:val="subscript"/>
        </w:rPr>
        <w:t>ij</w:t>
      </w:r>
      <w:proofErr w:type="spellEnd"/>
      <w:r w:rsidRPr="00A51BC5">
        <w:rPr>
          <w:rFonts w:asciiTheme="majorBidi" w:hAnsiTheme="majorBidi" w:cstheme="majorBidi"/>
        </w:rPr>
        <w:t xml:space="preserve"> is the observed phenotypic mean value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 1, ..., G) in environment </w:t>
      </w:r>
      <w:r w:rsidRPr="00A51BC5">
        <w:rPr>
          <w:rFonts w:asciiTheme="majorBidi" w:hAnsiTheme="majorBidi" w:cstheme="majorBidi"/>
          <w:i/>
          <w:iCs/>
        </w:rPr>
        <w:t>j</w:t>
      </w:r>
      <w:r w:rsidRPr="00A51BC5">
        <w:rPr>
          <w:rFonts w:asciiTheme="majorBidi" w:hAnsiTheme="majorBidi" w:cstheme="majorBidi"/>
        </w:rPr>
        <w:t xml:space="preserve"> (</w:t>
      </w:r>
      <w:r w:rsidRPr="00A51BC5">
        <w:rPr>
          <w:rFonts w:asciiTheme="majorBidi" w:hAnsiTheme="majorBidi" w:cstheme="majorBidi"/>
          <w:i/>
          <w:iCs/>
        </w:rPr>
        <w:t xml:space="preserve">j </w:t>
      </w:r>
      <w:r w:rsidRPr="00A51BC5">
        <w:rPr>
          <w:rFonts w:asciiTheme="majorBidi" w:hAnsiTheme="majorBidi" w:cstheme="majorBidi"/>
        </w:rPr>
        <w:t xml:space="preserve">= </w:t>
      </w:r>
      <w:proofErr w:type="gramStart"/>
      <w:r w:rsidRPr="00A51BC5">
        <w:rPr>
          <w:rFonts w:asciiTheme="majorBidi" w:hAnsiTheme="majorBidi" w:cstheme="majorBidi"/>
        </w:rPr>
        <w:t>1,…</w:t>
      </w:r>
      <w:proofErr w:type="gramEnd"/>
      <w:r w:rsidRPr="00A51BC5">
        <w:rPr>
          <w:rFonts w:asciiTheme="majorBidi" w:hAnsiTheme="majorBidi" w:cstheme="majorBidi"/>
        </w:rPr>
        <w:t xml:space="preserve">, E), with </w:t>
      </w:r>
      <m:oMath>
        <m:bar>
          <m:barPr>
            <m:pos m:val="top"/>
            <m:ctrlPr>
              <w:rPr>
                <w:rFonts w:ascii="Cambria Math" w:hAnsi="Cambria Math" w:cstheme="majorBidi"/>
                <w:i/>
              </w:rPr>
            </m:ctrlPr>
          </m:barPr>
          <m:e>
            <m:r>
              <w:rPr>
                <w:rFonts w:ascii="Cambria Math" w:hAnsi="Cambria Math" w:cstheme="majorBidi"/>
              </w:rPr>
              <m:t>X</m:t>
            </m:r>
          </m:e>
        </m:bar>
      </m:oMath>
      <w:r w:rsidRPr="00A51BC5">
        <w:rPr>
          <w:rFonts w:asciiTheme="majorBidi" w:hAnsiTheme="majorBidi" w:cstheme="majorBidi"/>
        </w:rPr>
        <w:t xml:space="preserve"> and </w:t>
      </w:r>
      <m:oMath>
        <m:bar>
          <m:barPr>
            <m:pos m:val="top"/>
            <m:ctrlPr>
              <w:rPr>
                <w:rFonts w:ascii="Cambria Math" w:hAnsi="Cambria Math" w:cstheme="majorBidi"/>
                <w:i/>
              </w:rPr>
            </m:ctrlPr>
          </m:barPr>
          <m:e>
            <m:r>
              <w:rPr>
                <w:rFonts w:ascii="Cambria Math" w:hAnsi="Cambria Math" w:cstheme="majorBidi"/>
              </w:rPr>
              <m:t>X</m:t>
            </m:r>
          </m:e>
        </m:bar>
      </m:oMath>
      <w:r w:rsidRPr="00A51BC5">
        <w:rPr>
          <w:rFonts w:asciiTheme="majorBidi" w:hAnsiTheme="majorBidi" w:cstheme="majorBidi"/>
        </w:rPr>
        <w:t xml:space="preserve"> denoting marginal means of genotype </w:t>
      </w:r>
      <w:proofErr w:type="spellStart"/>
      <w:r w:rsidRPr="00A51BC5">
        <w:rPr>
          <w:rFonts w:asciiTheme="majorBidi" w:hAnsiTheme="majorBidi" w:cstheme="majorBidi"/>
          <w:i/>
          <w:iCs/>
        </w:rPr>
        <w:t>i</w:t>
      </w:r>
      <w:proofErr w:type="spellEnd"/>
      <w:r w:rsidRPr="00A51BC5">
        <w:rPr>
          <w:rFonts w:asciiTheme="majorBidi" w:hAnsiTheme="majorBidi" w:cstheme="majorBidi"/>
        </w:rPr>
        <w:t xml:space="preserve"> and environment </w:t>
      </w:r>
      <w:r w:rsidRPr="00A51BC5">
        <w:rPr>
          <w:rFonts w:asciiTheme="majorBidi" w:hAnsiTheme="majorBidi" w:cstheme="majorBidi"/>
          <w:i/>
          <w:iCs/>
        </w:rPr>
        <w:t>j</w:t>
      </w:r>
      <w:r w:rsidRPr="00A51BC5">
        <w:rPr>
          <w:rFonts w:asciiTheme="majorBidi" w:hAnsiTheme="majorBidi" w:cstheme="majorBidi"/>
        </w:rPr>
        <w:t xml:space="preserve">, respectively. </w:t>
      </w:r>
      <m:oMath>
        <m:bar>
          <m:barPr>
            <m:pos m:val="top"/>
            <m:ctrlPr>
              <w:rPr>
                <w:rFonts w:ascii="Cambria Math" w:hAnsi="Cambria Math" w:cstheme="majorBidi"/>
                <w:i/>
              </w:rPr>
            </m:ctrlPr>
          </m:barPr>
          <m:e>
            <m:r>
              <w:rPr>
                <w:rFonts w:ascii="Cambria Math" w:hAnsi="Cambria Math" w:cstheme="majorBidi"/>
              </w:rPr>
              <m:t>X</m:t>
            </m:r>
          </m:e>
        </m:bar>
        <m:r>
          <w:rPr>
            <w:rFonts w:ascii="Cambria Math" w:hAnsi="Cambria Math" w:cstheme="majorBidi"/>
          </w:rPr>
          <m:t>..</m:t>
        </m:r>
      </m:oMath>
      <w:r w:rsidRPr="00A51BC5">
        <w:rPr>
          <w:rFonts w:asciiTheme="majorBidi" w:hAnsiTheme="majorBidi" w:cstheme="majorBidi"/>
        </w:rPr>
        <w:t xml:space="preserve"> denote the overall mean of X. </w:t>
      </w:r>
      <w:proofErr w:type="spellStart"/>
      <w:r w:rsidRPr="00A51BC5">
        <w:rPr>
          <w:rFonts w:asciiTheme="majorBidi" w:hAnsiTheme="majorBidi" w:cstheme="majorBidi"/>
        </w:rPr>
        <w:t>b</w:t>
      </w:r>
      <w:r w:rsidRPr="00A51BC5">
        <w:rPr>
          <w:rFonts w:asciiTheme="majorBidi" w:hAnsiTheme="majorBidi" w:cstheme="majorBidi"/>
          <w:vertAlign w:val="subscript"/>
        </w:rPr>
        <w:t>min</w:t>
      </w:r>
      <w:proofErr w:type="spellEnd"/>
      <w:r w:rsidRPr="00A51BC5">
        <w:rPr>
          <w:rFonts w:asciiTheme="majorBidi" w:hAnsiTheme="majorBidi" w:cstheme="majorBidi"/>
        </w:rPr>
        <w:t xml:space="preserve"> is the minimum value of the regression coefficient over all environments. </w:t>
      </w:r>
    </w:p>
    <w:p w14:paraId="0AA13752"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eastAsiaTheme="minorEastAsia" w:hAnsiTheme="majorBidi" w:cstheme="majorBidi"/>
          <w:b/>
          <w:bCs/>
        </w:rPr>
        <w:t>Stability</w:t>
      </w:r>
      <w:r w:rsidRPr="00A51BC5">
        <w:rPr>
          <w:rFonts w:asciiTheme="majorBidi" w:hAnsiTheme="majorBidi" w:cstheme="majorBidi"/>
          <w:b/>
          <w:bCs/>
        </w:rPr>
        <w:t xml:space="preserve"> factor: </w:t>
      </w:r>
    </w:p>
    <w:p w14:paraId="65D40C7E" w14:textId="77777777" w:rsidR="009756F2" w:rsidRPr="00A51BC5" w:rsidRDefault="009756F2" w:rsidP="009756F2">
      <w:pPr>
        <w:widowControl w:val="0"/>
        <w:autoSpaceDE w:val="0"/>
        <w:autoSpaceDN w:val="0"/>
        <w:adjustRightInd w:val="0"/>
        <w:spacing w:line="360" w:lineRule="auto"/>
        <w:jc w:val="both"/>
      </w:pPr>
      <w:r w:rsidRPr="00A51BC5">
        <w:t xml:space="preserve">The stability factor (SF) proposed by Lewis </w:t>
      </w:r>
      <w:r w:rsidRPr="00A51BC5">
        <w:rPr>
          <w:color w:val="0432FF"/>
        </w:rPr>
        <w:fldChar w:fldCharType="begin"/>
      </w:r>
      <w:r w:rsidRPr="00A51BC5">
        <w:rPr>
          <w:color w:val="0432FF"/>
        </w:rPr>
        <w:instrText xml:space="preserve"> ADDIN EN.CITE &lt;EndNote&gt;&lt;Cite&gt;&lt;Author&gt;Lewis&lt;/Author&gt;&lt;Year&gt;1954&lt;/Year&gt;&lt;RecNum&gt;2187&lt;/RecNum&gt;&lt;DisplayText&gt;(Lewis, 1954)&lt;/DisplayText&gt;&lt;record&gt;&lt;rec-number&gt;2187&lt;/rec-number&gt;&lt;foreign-keys&gt;&lt;key app="EN" db-id="2x9evwr2lvas5eevfp6v5eea2rfv5faevsdz" timestamp="1683895758" guid="07f107be-3583-48a2-9fcd-2c7062f1d9da"&gt;2187&lt;/key&gt;&lt;/foreign-keys&gt;&lt;ref-type name="Journal Article"&gt;17&lt;/ref-type&gt;&lt;contributors&gt;&lt;authors&gt;&lt;author&gt;Lewis, D.&lt;/author&gt;&lt;/authors&gt;&lt;/contributors&gt;&lt;titles&gt;&lt;title&gt;Gene-Environment Interaction - a Relationship between Dominance, Heterosis, Phenotypic Stability and Variability&lt;/title&gt;&lt;secondary-title&gt;Heredity&lt;/secondary-title&gt;&lt;alt-title&gt;Heredity&lt;/alt-title&gt;&lt;/titles&gt;&lt;periodical&gt;&lt;full-title&gt;Heredity&lt;/full-title&gt;&lt;/periodical&gt;&lt;alt-periodical&gt;&lt;full-title&gt;Heredity&lt;/full-title&gt;&lt;/alt-periodical&gt;&lt;pages&gt;333-356&lt;/pages&gt;&lt;volume&gt;8&lt;/volume&gt;&lt;number&gt;3&lt;/number&gt;&lt;section&gt;333&lt;/section&gt;&lt;keywords&gt;&lt;keyword&gt;Biomedicine, general&lt;/keyword&gt;&lt;keyword&gt;Human Genetics&lt;/keyword&gt;&lt;keyword&gt;Evolutionary Biology&lt;/keyword&gt;&lt;keyword&gt;Ecology&lt;/keyword&gt;&lt;keyword&gt;Cytogenetics&lt;/keyword&gt;&lt;keyword&gt;Plant Genetics and Genomics&lt;/keyword&gt;&lt;/keywords&gt;&lt;dates&gt;&lt;year&gt;1954&lt;/year&gt;&lt;/dates&gt;&lt;publisher&gt;Nature Publishing Group&lt;/publisher&gt;&lt;isbn&gt;0018-067x&lt;/isbn&gt;&lt;accession-num&gt;WOS:A1954YC17900003&lt;/accession-num&gt;&lt;work-type&gt;OriginalPaper&lt;/work-type&gt;&lt;urls&gt;&lt;related-urls&gt;&lt;url&gt;&amp;lt;Go to ISI&amp;gt;://WOS:A1954YC17900003&lt;/url&gt;&lt;/related-urls&gt;&lt;/urls&gt;&lt;electronic-resource-num&gt;DOI 10.1038/hdy.1954.37&lt;/electronic-resource-num&gt;&lt;language&gt;English&lt;/language&gt;&lt;/record&gt;&lt;/Cite&gt;&lt;/EndNote&gt;</w:instrText>
      </w:r>
      <w:r w:rsidRPr="00A51BC5">
        <w:rPr>
          <w:color w:val="0432FF"/>
        </w:rPr>
        <w:fldChar w:fldCharType="separate"/>
      </w:r>
      <w:r w:rsidRPr="00A51BC5">
        <w:rPr>
          <w:noProof/>
          <w:color w:val="0432FF"/>
        </w:rPr>
        <w:t>(Lewis, 1954)</w:t>
      </w:r>
      <w:r w:rsidRPr="00A51BC5">
        <w:rPr>
          <w:color w:val="0432FF"/>
        </w:rPr>
        <w:fldChar w:fldCharType="end"/>
      </w:r>
      <w:r w:rsidRPr="00A51BC5">
        <w:rPr>
          <w:color w:val="0432FF"/>
        </w:rPr>
        <w:t>,</w:t>
      </w:r>
      <w:r w:rsidRPr="00A51BC5">
        <w:t xml:space="preserve"> is the simplest measure for classifying a genotype with low variation in yield performance.</w:t>
      </w:r>
    </w:p>
    <w:p w14:paraId="12F03776"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m:oMathPara>
        <m:oMathParaPr>
          <m:jc m:val="left"/>
        </m:oMathParaPr>
        <m:oMath>
          <m:r>
            <w:rPr>
              <w:rFonts w:ascii="Cambria Math" w:hAnsi="Cambria Math" w:cstheme="majorBidi"/>
            </w:rPr>
            <m:t>SF=</m:t>
          </m:r>
          <m:f>
            <m:fPr>
              <m:type m:val="skw"/>
              <m:ctrlPr>
                <w:rPr>
                  <w:rFonts w:ascii="Cambria Math" w:hAnsi="Cambria Math" w:cstheme="majorBidi"/>
                  <w:i/>
                </w:rPr>
              </m:ctrlPr>
            </m:fPr>
            <m:num>
              <m:sSub>
                <m:sSubPr>
                  <m:ctrlPr>
                    <w:rPr>
                      <w:rFonts w:ascii="Cambria Math" w:hAnsi="Cambria Math" w:cstheme="majorBidi"/>
                      <w:i/>
                    </w:rPr>
                  </m:ctrlPr>
                </m:sSubPr>
                <m:e>
                  <m:bar>
                    <m:barPr>
                      <m:pos m:val="top"/>
                      <m:ctrlPr>
                        <w:rPr>
                          <w:rFonts w:ascii="Cambria Math" w:hAnsi="Cambria Math" w:cstheme="majorBidi"/>
                          <w:i/>
                        </w:rPr>
                      </m:ctrlPr>
                    </m:barPr>
                    <m:e>
                      <m:r>
                        <w:rPr>
                          <w:rFonts w:ascii="Cambria Math" w:hAnsi="Cambria Math" w:cstheme="majorBidi"/>
                        </w:rPr>
                        <m:t>X</m:t>
                      </m:r>
                    </m:e>
                  </m:bar>
                </m:e>
                <m:sub>
                  <m:r>
                    <w:rPr>
                      <w:rFonts w:ascii="Cambria Math" w:hAnsi="Cambria Math" w:cstheme="majorBidi"/>
                    </w:rPr>
                    <m:t>HE</m:t>
                  </m:r>
                </m:sub>
              </m:sSub>
            </m:num>
            <m:den>
              <m:sSub>
                <m:sSubPr>
                  <m:ctrlPr>
                    <w:rPr>
                      <w:rFonts w:ascii="Cambria Math" w:hAnsi="Cambria Math" w:cstheme="majorBidi"/>
                      <w:i/>
                    </w:rPr>
                  </m:ctrlPr>
                </m:sSubPr>
                <m:e>
                  <m:bar>
                    <m:barPr>
                      <m:pos m:val="top"/>
                      <m:ctrlPr>
                        <w:rPr>
                          <w:rFonts w:ascii="Cambria Math" w:hAnsi="Cambria Math" w:cstheme="majorBidi"/>
                          <w:i/>
                        </w:rPr>
                      </m:ctrlPr>
                    </m:barPr>
                    <m:e>
                      <m:r>
                        <w:rPr>
                          <w:rFonts w:ascii="Cambria Math" w:hAnsi="Cambria Math" w:cstheme="majorBidi"/>
                        </w:rPr>
                        <m:t>X</m:t>
                      </m:r>
                    </m:e>
                  </m:bar>
                </m:e>
                <m:sub>
                  <m:r>
                    <w:rPr>
                      <w:rFonts w:ascii="Cambria Math" w:hAnsi="Cambria Math" w:cstheme="majorBidi"/>
                    </w:rPr>
                    <m:t>LE</m:t>
                  </m:r>
                </m:sub>
              </m:sSub>
            </m:den>
          </m:f>
        </m:oMath>
      </m:oMathPara>
    </w:p>
    <w:p w14:paraId="248C5CBF"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 xml:space="preserve">where </w:t>
      </w:r>
      <m:oMath>
        <m:sSub>
          <m:sSubPr>
            <m:ctrlPr>
              <w:rPr>
                <w:rFonts w:ascii="Cambria Math" w:hAnsi="Cambria Math" w:cstheme="majorBidi"/>
                <w:i/>
              </w:rPr>
            </m:ctrlPr>
          </m:sSubPr>
          <m:e>
            <m:bar>
              <m:barPr>
                <m:pos m:val="top"/>
                <m:ctrlPr>
                  <w:rPr>
                    <w:rFonts w:ascii="Cambria Math" w:hAnsi="Cambria Math" w:cstheme="majorBidi"/>
                    <w:i/>
                  </w:rPr>
                </m:ctrlPr>
              </m:barPr>
              <m:e>
                <m:r>
                  <w:rPr>
                    <w:rFonts w:ascii="Cambria Math" w:hAnsi="Cambria Math" w:cstheme="majorBidi"/>
                  </w:rPr>
                  <m:t>X</m:t>
                </m:r>
              </m:e>
            </m:bar>
          </m:e>
          <m:sub>
            <m:r>
              <w:rPr>
                <w:rFonts w:ascii="Cambria Math" w:hAnsi="Cambria Math" w:cstheme="majorBidi"/>
              </w:rPr>
              <m:t>HE</m:t>
            </m:r>
          </m:sub>
        </m:sSub>
      </m:oMath>
      <w:r w:rsidRPr="00A51BC5">
        <w:rPr>
          <w:rFonts w:asciiTheme="majorBidi" w:hAnsiTheme="majorBidi" w:cstheme="majorBidi"/>
        </w:rPr>
        <w:t xml:space="preserve"> and </w:t>
      </w:r>
      <m:oMath>
        <m:sSub>
          <m:sSubPr>
            <m:ctrlPr>
              <w:rPr>
                <w:rFonts w:ascii="Cambria Math" w:hAnsi="Cambria Math" w:cstheme="majorBidi"/>
                <w:i/>
              </w:rPr>
            </m:ctrlPr>
          </m:sSubPr>
          <m:e>
            <m:bar>
              <m:barPr>
                <m:pos m:val="top"/>
                <m:ctrlPr>
                  <w:rPr>
                    <w:rFonts w:ascii="Cambria Math" w:hAnsi="Cambria Math" w:cstheme="majorBidi"/>
                    <w:i/>
                  </w:rPr>
                </m:ctrlPr>
              </m:barPr>
              <m:e>
                <m:r>
                  <w:rPr>
                    <w:rFonts w:ascii="Cambria Math" w:hAnsi="Cambria Math" w:cstheme="majorBidi"/>
                  </w:rPr>
                  <m:t>X</m:t>
                </m:r>
              </m:e>
            </m:bar>
          </m:e>
          <m:sub>
            <m:r>
              <w:rPr>
                <w:rFonts w:ascii="Cambria Math" w:hAnsi="Cambria Math" w:cstheme="majorBidi"/>
              </w:rPr>
              <m:t>LE</m:t>
            </m:r>
          </m:sub>
        </m:sSub>
      </m:oMath>
      <w:r w:rsidRPr="00A51BC5">
        <w:rPr>
          <w:rFonts w:asciiTheme="majorBidi" w:hAnsiTheme="majorBidi" w:cstheme="majorBidi"/>
        </w:rPr>
        <w:t xml:space="preserve"> are the mean of the genotype in the highest- and- lowest-yielding environment, respectively. A phenotype with the minimum affected via the environment is when SF = 1. Thus, the more SF deviates from the unit the less stable the phenotype.</w:t>
      </w:r>
    </w:p>
    <w:p w14:paraId="37CECBAD" w14:textId="77777777" w:rsidR="009756F2" w:rsidRPr="00A51BC5" w:rsidRDefault="009756F2" w:rsidP="009756F2">
      <w:pPr>
        <w:pStyle w:val="ListParagraph"/>
        <w:numPr>
          <w:ilvl w:val="0"/>
          <w:numId w:val="8"/>
        </w:numPr>
        <w:tabs>
          <w:tab w:val="left" w:pos="993"/>
        </w:tabs>
        <w:spacing w:before="120" w:line="360" w:lineRule="auto"/>
        <w:ind w:left="426"/>
        <w:jc w:val="both"/>
        <w:rPr>
          <w:rFonts w:asciiTheme="majorBidi" w:hAnsiTheme="majorBidi" w:cstheme="majorBidi"/>
          <w:b/>
          <w:bCs/>
        </w:rPr>
      </w:pPr>
      <w:r w:rsidRPr="00A51BC5">
        <w:rPr>
          <w:rFonts w:asciiTheme="majorBidi" w:hAnsiTheme="majorBidi" w:cstheme="majorBidi"/>
          <w:b/>
          <w:bCs/>
        </w:rPr>
        <w:t>Multivariate measurements</w:t>
      </w:r>
    </w:p>
    <w:p w14:paraId="13687FD8"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The multivariate stability parameter measure includes four rank-based nonparametric stability methods </w:t>
      </w:r>
    </w:p>
    <w:p w14:paraId="2AFD4CB3" w14:textId="77777777" w:rsidR="009756F2" w:rsidRPr="00A51BC5" w:rsidRDefault="009756F2" w:rsidP="009756F2">
      <w:pPr>
        <w:pStyle w:val="NormalWeb"/>
        <w:spacing w:before="120" w:beforeAutospacing="0" w:after="0" w:afterAutospacing="0" w:line="360" w:lineRule="auto"/>
        <w:rPr>
          <w:rFonts w:asciiTheme="majorBidi" w:hAnsiTheme="majorBidi" w:cstheme="majorBidi"/>
        </w:rPr>
      </w:pPr>
      <w:r w:rsidRPr="00A51BC5">
        <w:rPr>
          <w:rFonts w:asciiTheme="majorBidi" w:hAnsiTheme="majorBidi" w:cstheme="majorBidi"/>
          <w:b/>
          <w:bCs/>
        </w:rPr>
        <w:t xml:space="preserve">Variance of rank </w:t>
      </w:r>
    </w:p>
    <w:p w14:paraId="52743097" w14:textId="77777777" w:rsidR="009756F2" w:rsidRPr="00A51BC5" w:rsidRDefault="009756F2" w:rsidP="009756F2">
      <w:pPr>
        <w:spacing w:after="120" w:line="360" w:lineRule="auto"/>
        <w:jc w:val="both"/>
        <w:rPr>
          <w:rFonts w:asciiTheme="majorBidi" w:hAnsiTheme="majorBidi" w:cstheme="majorBidi"/>
          <w:color w:val="0432FF"/>
        </w:rPr>
      </w:pPr>
      <w:r w:rsidRPr="00A51BC5">
        <w:rPr>
          <w:rFonts w:asciiTheme="majorBidi" w:hAnsiTheme="majorBidi" w:cstheme="majorBidi"/>
          <w:noProof/>
        </w:rPr>
        <w:t>Nassar and Huhn</w:t>
      </w:r>
      <w:r w:rsidRPr="00A51BC5">
        <w:rPr>
          <w:rFonts w:asciiTheme="majorBidi" w:hAnsiTheme="majorBidi" w:cstheme="majorBidi"/>
        </w:rPr>
        <w:t>’s nonparametric stability comprising</w:t>
      </w:r>
      <w:r w:rsidRPr="00A51BC5">
        <w:rPr>
          <w:rFonts w:asciiTheme="majorBidi" w:hAnsiTheme="majorBidi" w:cstheme="majorBidi"/>
          <w:noProof/>
        </w:rPr>
        <w:t xml:space="preserve">, the </w:t>
      </w:r>
      <w:r w:rsidRPr="00A51BC5">
        <w:rPr>
          <w:rFonts w:asciiTheme="majorBidi" w:hAnsiTheme="majorBidi" w:cstheme="majorBidi"/>
        </w:rPr>
        <w:t>mean of the absolute rank variances of a genotype across environments SI</w:t>
      </w:r>
      <w:r w:rsidRPr="00A51BC5">
        <w:rPr>
          <w:rFonts w:asciiTheme="majorBidi" w:hAnsiTheme="majorBidi" w:cstheme="majorBidi"/>
          <w:vertAlign w:val="superscript"/>
        </w:rPr>
        <w:t>(1)</w:t>
      </w:r>
      <w:r w:rsidRPr="00A51BC5">
        <w:rPr>
          <w:rFonts w:asciiTheme="majorBidi" w:hAnsiTheme="majorBidi" w:cstheme="majorBidi"/>
        </w:rPr>
        <w:t>, (2) variance between the ranks across the environments SI</w:t>
      </w:r>
      <w:r w:rsidRPr="00A51BC5">
        <w:rPr>
          <w:rFonts w:asciiTheme="majorBidi" w:hAnsiTheme="majorBidi" w:cstheme="majorBidi"/>
          <w:vertAlign w:val="superscript"/>
        </w:rPr>
        <w:t>(2)</w:t>
      </w:r>
      <w:r w:rsidRPr="00A51BC5">
        <w:rPr>
          <w:rFonts w:asciiTheme="majorBidi" w:hAnsiTheme="majorBidi" w:cstheme="majorBidi"/>
        </w:rPr>
        <w:t>, (3) the sum of absolute deviations for all genotype relative to the mean of ranks SI</w:t>
      </w:r>
      <w:r w:rsidRPr="00A51BC5">
        <w:rPr>
          <w:rFonts w:asciiTheme="majorBidi" w:hAnsiTheme="majorBidi" w:cstheme="majorBidi"/>
          <w:vertAlign w:val="superscript"/>
        </w:rPr>
        <w:t>(3)</w:t>
      </w:r>
      <w:r w:rsidRPr="00A51BC5">
        <w:rPr>
          <w:rFonts w:asciiTheme="majorBidi" w:hAnsiTheme="majorBidi" w:cstheme="majorBidi"/>
        </w:rPr>
        <w:t xml:space="preserve"> and (4) rank </w:t>
      </w:r>
      <w:r w:rsidRPr="00A51BC5">
        <w:rPr>
          <w:rFonts w:asciiTheme="majorBidi" w:hAnsiTheme="majorBidi" w:cstheme="majorBidi"/>
        </w:rPr>
        <w:lastRenderedPageBreak/>
        <w:t>sum of squares for all genotype relative to the mean of ranks SI</w:t>
      </w:r>
      <w:r w:rsidRPr="00A51BC5">
        <w:rPr>
          <w:rFonts w:asciiTheme="majorBidi" w:hAnsiTheme="majorBidi" w:cstheme="majorBidi"/>
          <w:vertAlign w:val="superscript"/>
        </w:rPr>
        <w:t xml:space="preserve">(6)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&lt;EndNote&gt;&lt;Cite&gt;&lt;Author&gt;Nassar&lt;/Author&gt;&lt;Year&gt;1987&lt;/Year&gt;&lt;RecNum&gt;2181&lt;/RecNum&gt;&lt;DisplayText&gt;(Nassar &amp;amp; Huhn, 1987)&lt;/DisplayText&gt;&lt;record&gt;&lt;rec-number&gt;2181&lt;/rec-number&gt;&lt;foreign-keys&gt;&lt;key app="EN" db-id="2x9evwr2lvas5eevfp6v5eea2rfv5faevsdz" timestamp="1683804923" guid="ffcdda59-4d76-414c-811b-a74f0262d124"&gt;2181&lt;/key&gt;&lt;/foreign-keys&gt;&lt;ref-type name="Journal Article"&gt;17&lt;/ref-type&gt;&lt;contributors&gt;&lt;authors&gt;&lt;author&gt;Nassar, R.&lt;/author&gt;&lt;author&gt;Huhn, M.&lt;/author&gt;&lt;/authors&gt;&lt;/contributors&gt;&lt;auth-address&gt;Univ Kiel,Inst Pflanzenbau &amp;amp; Pflanzenzuchtung,D-2300 Kiel 1,Fed Rep Ger&lt;/auth-address&gt;&lt;titles&gt;&lt;title&gt;Studies on Estimation of Phenotypic Stability - Tests of Significance for Nonparametric Measures of Phenotypic Stability&lt;/title&gt;&lt;secondary-title&gt;Biometrics&lt;/secondary-title&gt;&lt;alt-title&gt;Biometrics&lt;/alt-title&gt;&lt;/titles&gt;&lt;periodical&gt;&lt;full-title&gt;Biometrics&lt;/full-title&gt;&lt;/periodical&gt;&lt;alt-periodical&gt;&lt;full-title&gt;Biometrics&lt;/full-title&gt;&lt;/alt-periodical&gt;&lt;pages&gt;45-53&lt;/pages&gt;&lt;volume&gt;43&lt;/volume&gt;&lt;number&gt;1&lt;/number&gt;&lt;dates&gt;&lt;year&gt;1987&lt;/year&gt;&lt;pub-dates&gt;&lt;date&gt;Mar&lt;/date&gt;&lt;/pub-dates&gt;&lt;/dates&gt;&lt;publisher&gt;[Wiley, International Biometric Society]&lt;/publisher&gt;&lt;isbn&gt;0006-341x&lt;/isbn&gt;&lt;accession-num&gt;WOS:A1987G749100005&lt;/accession-num&gt;&lt;urls&gt;&lt;related-urls&gt;&lt;url&gt;&amp;lt;Go to ISI&amp;gt;://WOS:A1987G749100005&lt;/url&gt;&lt;/related-urls&gt;&lt;/urls&gt;&lt;custom1&gt;Full publication date: Mar., 1987&lt;/custom1&gt;&lt;electronic-resource-num&gt;Doi 10.2307/2531947&lt;/electronic-resource-num&gt;&lt;remote-database-name&gt;JSTOR&lt;/remote-database-name&gt;&lt;language&gt;English&lt;/language&gt;&lt;access-date&gt;2023/05/11/&lt;/access-date&gt;&lt;/record&gt;&lt;/Cite&gt;&lt;/EndNote&gt;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(Nassar &amp; Huhn, 1987)</w:t>
      </w:r>
      <w:r w:rsidRPr="00A51BC5">
        <w:rPr>
          <w:rFonts w:asciiTheme="majorBidi" w:hAnsiTheme="majorBidi" w:cstheme="majorBidi"/>
          <w:color w:val="0432FF"/>
        </w:rPr>
        <w:fldChar w:fldCharType="end"/>
      </w:r>
      <w:r w:rsidRPr="00A51BC5">
        <w:rPr>
          <w:rFonts w:asciiTheme="majorBidi" w:hAnsiTheme="majorBidi" w:cstheme="majorBidi"/>
          <w:color w:val="0432FF"/>
        </w:rPr>
        <w:t xml:space="preserve">. </w:t>
      </w:r>
      <w:r w:rsidRPr="00A51BC5">
        <w:rPr>
          <w:rFonts w:asciiTheme="majorBidi" w:hAnsiTheme="majorBidi" w:cstheme="majorBidi"/>
        </w:rPr>
        <w:t xml:space="preserve">A genotype with a low variation of the ranks is considered stable. </w:t>
      </w:r>
    </w:p>
    <w:p w14:paraId="4E78E839" w14:textId="77777777" w:rsidR="009756F2" w:rsidRPr="00A51BC5" w:rsidRDefault="00000000" w:rsidP="009756F2">
      <w:pPr>
        <w:widowControl w:val="0"/>
        <w:autoSpaceDE w:val="0"/>
        <w:autoSpaceDN w:val="0"/>
        <w:adjustRightInd w:val="0"/>
        <w:jc w:val="both"/>
        <w:rPr>
          <w:rFonts w:asciiTheme="minorBidi" w:hAnsiTheme="minorBidi"/>
        </w:rPr>
      </w:pPr>
      <m:oMathPara>
        <m:oMathParaPr>
          <m:jc m:val="left"/>
        </m:oMathParaPr>
        <m:oMath>
          <m:sSubSup>
            <m:sSubSupPr>
              <m:ctrlPr>
                <w:rPr>
                  <w:rFonts w:ascii="Cambria Math" w:hAnsi="Cambria Math"/>
                </w:rPr>
              </m:ctrlPr>
            </m:sSubSupPr>
            <m:e>
              <m:r>
                <w:rPr>
                  <w:rFonts w:ascii="Cambria Math" w:hAnsi="Cambria Math"/>
                </w:rPr>
                <m:t>S</m:t>
              </m:r>
            </m:e>
            <m:sub>
              <m:r>
                <w:rPr>
                  <w:rFonts w:ascii="Cambria Math" w:hAnsi="Cambria Math"/>
                </w:rPr>
                <m:t>i</m:t>
              </m:r>
            </m:sub>
            <m:sup>
              <m:d>
                <m:dPr>
                  <m:ctrlPr>
                    <w:rPr>
                      <w:rFonts w:ascii="Cambria Math" w:hAnsi="Cambria Math"/>
                      <w:i/>
                    </w:rPr>
                  </m:ctrlPr>
                </m:dPr>
                <m:e>
                  <m:r>
                    <w:rPr>
                      <w:rFonts w:ascii="Cambria Math" w:hAnsi="Cambria Math"/>
                    </w:rPr>
                    <m:t>1</m:t>
                  </m:r>
                </m:e>
              </m:d>
            </m:sup>
          </m:sSubSup>
          <m:r>
            <w:rPr>
              <w:rFonts w:ascii="Cambria Math" w:eastAsia="Cambria Math" w:hAnsi="Cambria Math"/>
            </w:rPr>
            <m:t>=2</m:t>
          </m:r>
          <m:nary>
            <m:naryPr>
              <m:chr m:val="∑"/>
              <m:grow m:val="1"/>
              <m:ctrlPr>
                <w:rPr>
                  <w:rFonts w:ascii="Cambria Math" w:hAnsi="Cambria Math"/>
                </w:rPr>
              </m:ctrlPr>
            </m:naryPr>
            <m:sub>
              <m:r>
                <w:rPr>
                  <w:rFonts w:ascii="Cambria Math" w:eastAsia="Cambria Math" w:hAnsi="Cambria Math"/>
                </w:rPr>
                <m:t>j</m:t>
              </m:r>
            </m:sub>
            <m:sup>
              <m:r>
                <w:rPr>
                  <w:rFonts w:ascii="Cambria Math" w:eastAsia="Cambria Math" w:hAnsi="Cambria Math"/>
                </w:rPr>
                <m:t>n-1</m:t>
              </m:r>
            </m:sup>
            <m:e>
              <m:f>
                <m:fPr>
                  <m:ctrlPr>
                    <w:rPr>
                      <w:rFonts w:ascii="Cambria Math" w:hAnsi="Cambria Math"/>
                      <w:i/>
                    </w:rPr>
                  </m:ctrlPr>
                </m:fPr>
                <m:num>
                  <m:nary>
                    <m:naryPr>
                      <m:chr m:val="∑"/>
                      <m:limLoc m:val="subSup"/>
                      <m:ctrlPr>
                        <w:rPr>
                          <w:rFonts w:ascii="Cambria Math" w:hAnsi="Cambria Math"/>
                          <w:i/>
                        </w:rPr>
                      </m:ctrlPr>
                    </m:naryPr>
                    <m:sub>
                      <m:sSup>
                        <m:sSupPr>
                          <m:ctrlPr>
                            <w:rPr>
                              <w:rFonts w:ascii="Cambria Math" w:hAnsi="Cambria Math"/>
                              <w:i/>
                            </w:rPr>
                          </m:ctrlPr>
                        </m:sSupPr>
                        <m:e>
                          <m:r>
                            <w:rPr>
                              <w:rFonts w:ascii="Cambria Math" w:hAnsi="Cambria Math"/>
                            </w:rPr>
                            <m:t>j</m:t>
                          </m:r>
                        </m:e>
                        <m:sup>
                          <m:r>
                            <w:rPr>
                              <w:rFonts w:ascii="Cambria Math" w:hAnsi="Cambria Math"/>
                            </w:rPr>
                            <m:t>'</m:t>
                          </m:r>
                        </m:sup>
                      </m:sSup>
                      <m:r>
                        <w:rPr>
                          <w:rFonts w:ascii="Cambria Math" w:hAnsi="Cambria Math"/>
                        </w:rPr>
                        <m:t>=j+1</m:t>
                      </m:r>
                    </m:sub>
                    <m:sup>
                      <m:r>
                        <w:rPr>
                          <w:rFonts w:ascii="Cambria Math" w:hAnsi="Cambria Math"/>
                        </w:rPr>
                        <m:t>n</m:t>
                      </m:r>
                    </m:sup>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ij-</m:t>
                              </m:r>
                              <m:sSub>
                                <m:sSubPr>
                                  <m:ctrlPr>
                                    <w:rPr>
                                      <w:rFonts w:ascii="Cambria Math" w:hAnsi="Cambria Math"/>
                                      <w:i/>
                                    </w:rPr>
                                  </m:ctrlPr>
                                </m:sSubPr>
                                <m:e>
                                  <m:r>
                                    <w:rPr>
                                      <w:rFonts w:ascii="Cambria Math" w:hAnsi="Cambria Math"/>
                                    </w:rPr>
                                    <m:t>r</m:t>
                                  </m:r>
                                </m:e>
                                <m:sub>
                                  <m:r>
                                    <w:rPr>
                                      <w:rFonts w:ascii="Cambria Math" w:hAnsi="Cambria Math"/>
                                    </w:rPr>
                                    <m:t>i</m:t>
                                  </m:r>
                                </m:sub>
                              </m:sSub>
                              <m:sSup>
                                <m:sSupPr>
                                  <m:ctrlPr>
                                    <w:rPr>
                                      <w:rFonts w:ascii="Cambria Math" w:hAnsi="Cambria Math"/>
                                      <w:i/>
                                    </w:rPr>
                                  </m:ctrlPr>
                                </m:sSupPr>
                                <m:e>
                                  <m:r>
                                    <w:rPr>
                                      <w:rFonts w:ascii="Cambria Math" w:hAnsi="Cambria Math"/>
                                    </w:rPr>
                                    <m:t>j</m:t>
                                  </m:r>
                                </m:e>
                                <m:sup>
                                  <m:r>
                                    <w:rPr>
                                      <w:rFonts w:ascii="Cambria Math" w:hAnsi="Cambria Math"/>
                                    </w:rPr>
                                    <m:t>'</m:t>
                                  </m:r>
                                </m:sup>
                              </m:sSup>
                            </m:sub>
                          </m:sSub>
                        </m:e>
                      </m:d>
                    </m:e>
                  </m:nary>
                </m:num>
                <m:den>
                  <m:d>
                    <m:dPr>
                      <m:begChr m:val="["/>
                      <m:endChr m:val="]"/>
                      <m:ctrlPr>
                        <w:rPr>
                          <w:rFonts w:ascii="Cambria Math" w:hAnsi="Cambria Math"/>
                          <w:i/>
                        </w:rPr>
                      </m:ctrlPr>
                    </m:dPr>
                    <m:e>
                      <m:r>
                        <w:rPr>
                          <w:rFonts w:ascii="Cambria Math" w:hAnsi="Cambria Math"/>
                        </w:rPr>
                        <m:t xml:space="preserve">N </m:t>
                      </m:r>
                      <m:d>
                        <m:dPr>
                          <m:ctrlPr>
                            <w:rPr>
                              <w:rFonts w:ascii="Cambria Math" w:hAnsi="Cambria Math"/>
                              <w:i/>
                            </w:rPr>
                          </m:ctrlPr>
                        </m:dPr>
                        <m:e>
                          <m:r>
                            <w:rPr>
                              <w:rFonts w:ascii="Cambria Math" w:hAnsi="Cambria Math"/>
                            </w:rPr>
                            <m:t>N-1</m:t>
                          </m:r>
                        </m:e>
                      </m:d>
                    </m:e>
                  </m:d>
                </m:den>
              </m:f>
            </m:e>
          </m:nary>
          <m:r>
            <w:rPr>
              <w:rFonts w:ascii="Cambria Math" w:hAnsi="Cambria Math"/>
            </w:rPr>
            <m:t xml:space="preserve">, </m:t>
          </m:r>
          <m:sSubSup>
            <m:sSubSupPr>
              <m:ctrlPr>
                <w:rPr>
                  <w:rFonts w:ascii="Cambria Math" w:hAnsi="Cambria Math"/>
                </w:rPr>
              </m:ctrlPr>
            </m:sSubSupPr>
            <m:e>
              <m:r>
                <w:rPr>
                  <w:rFonts w:ascii="Cambria Math" w:hAnsi="Cambria Math"/>
                </w:rPr>
                <m:t>S</m:t>
              </m:r>
            </m:e>
            <m:sub>
              <m:r>
                <w:rPr>
                  <w:rFonts w:ascii="Cambria Math" w:hAnsi="Cambria Math"/>
                </w:rPr>
                <m:t>i</m:t>
              </m:r>
            </m:sub>
            <m:sup>
              <m:r>
                <w:rPr>
                  <w:rFonts w:ascii="Cambria Math" w:hAnsi="Cambria Math"/>
                </w:rPr>
                <m:t>(2)</m:t>
              </m:r>
            </m:sup>
          </m:sSubSup>
          <m:r>
            <w:rPr>
              <w:rFonts w:ascii="Cambria Math" w:eastAsia="Cambria Math" w:hAnsi="Cambria Math"/>
            </w:rPr>
            <m:t>=</m:t>
          </m:r>
          <m:f>
            <m:fPr>
              <m:ctrlPr>
                <w:rPr>
                  <w:rFonts w:ascii="Cambria Math" w:eastAsia="Cambria Math" w:hAnsi="Cambria Math"/>
                </w:rPr>
              </m:ctrlPr>
            </m:fPr>
            <m:num>
              <m:nary>
                <m:naryPr>
                  <m:chr m:val="∑"/>
                  <m:limLoc m:val="undOvr"/>
                  <m:ctrlPr>
                    <w:rPr>
                      <w:rFonts w:ascii="Cambria Math" w:eastAsia="Cambria Math" w:hAnsi="Cambria Math"/>
                    </w:rPr>
                  </m:ctrlPr>
                </m:naryPr>
                <m:sub>
                  <m:r>
                    <w:rPr>
                      <w:rFonts w:ascii="Cambria Math" w:eastAsia="Cambria Math" w:hAnsi="Cambria Math"/>
                    </w:rPr>
                    <m:t>j=1</m:t>
                  </m:r>
                </m:sub>
                <m:sup>
                  <m:r>
                    <w:rPr>
                      <w:rFonts w:ascii="Cambria Math" w:eastAsia="Cambria Math" w:hAnsi="Cambria Math"/>
                    </w:rPr>
                    <m:t>n</m:t>
                  </m:r>
                </m:sup>
                <m:e>
                  <m:sSub>
                    <m:sSubPr>
                      <m:ctrlPr>
                        <w:rPr>
                          <w:rFonts w:ascii="Cambria Math" w:eastAsia="Cambria Math" w:hAnsi="Cambria Math"/>
                        </w:rPr>
                      </m:ctrlPr>
                    </m:sSubPr>
                    <m:e>
                      <m:r>
                        <w:rPr>
                          <w:rFonts w:ascii="Cambria Math" w:eastAsia="Cambria Math" w:hAnsi="Cambria Math"/>
                        </w:rPr>
                        <m:t xml:space="preserve"> (r</m:t>
                      </m:r>
                    </m:e>
                    <m:sub>
                      <m:r>
                        <w:rPr>
                          <w:rFonts w:ascii="Cambria Math" w:eastAsia="Cambria Math" w:hAnsi="Cambria Math"/>
                        </w:rPr>
                        <m:t xml:space="preserve">ij- </m:t>
                      </m:r>
                    </m:sub>
                  </m:sSub>
                  <m:acc>
                    <m:accPr>
                      <m:chr m:val="̅"/>
                      <m:ctrlPr>
                        <w:rPr>
                          <w:rFonts w:ascii="Cambria Math" w:eastAsia="Cambria Math" w:hAnsi="Cambria Math"/>
                        </w:rPr>
                      </m:ctrlPr>
                    </m:accPr>
                    <m:e>
                      <m:sSub>
                        <m:sSubPr>
                          <m:ctrlPr>
                            <w:rPr>
                              <w:rFonts w:ascii="Cambria Math" w:eastAsia="Cambria Math" w:hAnsi="Cambria Math"/>
                            </w:rPr>
                          </m:ctrlPr>
                        </m:sSubPr>
                        <m:e>
                          <m:r>
                            <w:rPr>
                              <w:rFonts w:ascii="Cambria Math" w:eastAsia="Cambria Math" w:hAnsi="Cambria Math"/>
                            </w:rPr>
                            <m:t>r</m:t>
                          </m:r>
                        </m:e>
                        <m:sub>
                          <m:r>
                            <w:rPr>
                              <w:rFonts w:ascii="Cambria Math" w:eastAsia="Cambria Math" w:hAnsi="Cambria Math"/>
                            </w:rPr>
                            <m:t>i.</m:t>
                          </m:r>
                        </m:sub>
                      </m:sSub>
                    </m:e>
                  </m:acc>
                  <m:r>
                    <w:rPr>
                      <w:rFonts w:ascii="Cambria Math" w:eastAsia="Cambria Math" w:hAnsi="Cambria Math"/>
                    </w:rPr>
                    <m:t>)</m:t>
                  </m:r>
                </m:e>
              </m:nary>
            </m:num>
            <m:den>
              <m:r>
                <m:rPr>
                  <m:sty m:val="p"/>
                </m:rPr>
                <w:rPr>
                  <w:rFonts w:ascii="Cambria Math" w:eastAsia="Cambria Math" w:hAnsi="Cambria Math"/>
                </w:rPr>
                <m:t>(N-1)</m:t>
              </m:r>
            </m:den>
          </m:f>
          <m:r>
            <w:rPr>
              <w:rFonts w:ascii="Cambria Math" w:eastAsia="Cambria Math" w:hAnsi="Cambria Math"/>
            </w:rPr>
            <m:t xml:space="preserve">, </m:t>
          </m:r>
          <m:sSubSup>
            <m:sSubSupPr>
              <m:ctrlPr>
                <w:rPr>
                  <w:rFonts w:ascii="Cambria Math" w:hAnsi="Cambria Math"/>
                </w:rPr>
              </m:ctrlPr>
            </m:sSubSupPr>
            <m:e>
              <m:r>
                <w:rPr>
                  <w:rFonts w:ascii="Cambria Math" w:hAnsi="Cambria Math"/>
                </w:rPr>
                <m:t>S</m:t>
              </m:r>
            </m:e>
            <m:sub>
              <m:r>
                <w:rPr>
                  <w:rFonts w:ascii="Cambria Math" w:hAnsi="Cambria Math"/>
                </w:rPr>
                <m:t>i</m:t>
              </m:r>
            </m:sub>
            <m:sup>
              <m:r>
                <w:rPr>
                  <w:rFonts w:ascii="Cambria Math" w:hAnsi="Cambria Math"/>
                </w:rPr>
                <m:t>(3)</m:t>
              </m:r>
            </m:sup>
          </m:sSubSup>
          <m:r>
            <w:rPr>
              <w:rFonts w:ascii="Cambria Math" w:eastAsia="Cambria Math" w:hAnsi="Cambria Math"/>
            </w:rPr>
            <m:t>=</m:t>
          </m:r>
          <m:f>
            <m:fPr>
              <m:ctrlPr>
                <w:rPr>
                  <w:rFonts w:ascii="Cambria Math" w:eastAsia="Cambria Math" w:hAnsi="Cambria Math"/>
                </w:rPr>
              </m:ctrlPr>
            </m:fPr>
            <m:num>
              <m:nary>
                <m:naryPr>
                  <m:chr m:val="∑"/>
                  <m:limLoc m:val="undOvr"/>
                  <m:ctrlPr>
                    <w:rPr>
                      <w:rFonts w:ascii="Cambria Math" w:eastAsia="Cambria Math" w:hAnsi="Cambria Math"/>
                    </w:rPr>
                  </m:ctrlPr>
                </m:naryPr>
                <m:sub>
                  <m:r>
                    <w:rPr>
                      <w:rFonts w:ascii="Cambria Math" w:eastAsia="Cambria Math" w:hAnsi="Cambria Math"/>
                    </w:rPr>
                    <m:t>j=1</m:t>
                  </m:r>
                </m:sub>
                <m:sup>
                  <m:r>
                    <w:rPr>
                      <w:rFonts w:ascii="Cambria Math" w:eastAsia="Cambria Math" w:hAnsi="Cambria Math"/>
                    </w:rPr>
                    <m:t>n</m:t>
                  </m:r>
                </m:sup>
                <m:e>
                  <m:sSub>
                    <m:sSubPr>
                      <m:ctrlPr>
                        <w:rPr>
                          <w:rFonts w:ascii="Cambria Math" w:eastAsia="Cambria Math" w:hAnsi="Cambria Math"/>
                        </w:rPr>
                      </m:ctrlPr>
                    </m:sSubPr>
                    <m:e>
                      <m:r>
                        <w:rPr>
                          <w:rFonts w:ascii="Cambria Math" w:eastAsia="Cambria Math" w:hAnsi="Cambria Math"/>
                        </w:rPr>
                        <m:t xml:space="preserve"> (r</m:t>
                      </m:r>
                    </m:e>
                    <m:sub>
                      <m:r>
                        <w:rPr>
                          <w:rFonts w:ascii="Cambria Math" w:eastAsia="Cambria Math" w:hAnsi="Cambria Math"/>
                        </w:rPr>
                        <m:t xml:space="preserve">ij- </m:t>
                      </m:r>
                    </m:sub>
                  </m:sSub>
                  <m:acc>
                    <m:accPr>
                      <m:chr m:val="̅"/>
                      <m:ctrlPr>
                        <w:rPr>
                          <w:rFonts w:ascii="Cambria Math" w:eastAsia="Cambria Math" w:hAnsi="Cambria Math"/>
                        </w:rPr>
                      </m:ctrlPr>
                    </m:accPr>
                    <m:e>
                      <m:sSub>
                        <m:sSubPr>
                          <m:ctrlPr>
                            <w:rPr>
                              <w:rFonts w:ascii="Cambria Math" w:eastAsia="Cambria Math" w:hAnsi="Cambria Math"/>
                            </w:rPr>
                          </m:ctrlPr>
                        </m:sSubPr>
                        <m:e>
                          <m:r>
                            <w:rPr>
                              <w:rFonts w:ascii="Cambria Math" w:eastAsia="Cambria Math" w:hAnsi="Cambria Math"/>
                            </w:rPr>
                            <m:t>r</m:t>
                          </m:r>
                        </m:e>
                        <m:sub>
                          <m:r>
                            <w:rPr>
                              <w:rFonts w:ascii="Cambria Math" w:eastAsia="Cambria Math" w:hAnsi="Cambria Math"/>
                            </w:rPr>
                            <m:t>i.</m:t>
                          </m:r>
                        </m:sub>
                      </m:sSub>
                    </m:e>
                  </m:acc>
                </m:e>
              </m:nary>
              <m:r>
                <w:rPr>
                  <w:rFonts w:ascii="Cambria Math" w:eastAsia="Cambria Math" w:hAnsi="Cambria Math"/>
                </w:rPr>
                <m:t>)</m:t>
              </m:r>
            </m:num>
            <m:den>
              <m:acc>
                <m:accPr>
                  <m:chr m:val="̅"/>
                  <m:ctrlPr>
                    <w:rPr>
                      <w:rFonts w:ascii="Cambria Math" w:eastAsia="Cambria Math" w:hAnsi="Cambria Math"/>
                    </w:rPr>
                  </m:ctrlPr>
                </m:accPr>
                <m:e>
                  <m:sSub>
                    <m:sSubPr>
                      <m:ctrlPr>
                        <w:rPr>
                          <w:rFonts w:ascii="Cambria Math" w:eastAsia="Cambria Math" w:hAnsi="Cambria Math"/>
                        </w:rPr>
                      </m:ctrlPr>
                    </m:sSubPr>
                    <m:e>
                      <m:r>
                        <w:rPr>
                          <w:rFonts w:ascii="Cambria Math" w:eastAsia="Cambria Math" w:hAnsi="Cambria Math"/>
                        </w:rPr>
                        <m:t>r</m:t>
                      </m:r>
                    </m:e>
                    <m:sub>
                      <m:r>
                        <w:rPr>
                          <w:rFonts w:ascii="Cambria Math" w:eastAsia="Cambria Math" w:hAnsi="Cambria Math"/>
                        </w:rPr>
                        <m:t>i.</m:t>
                      </m:r>
                    </m:sub>
                  </m:sSub>
                </m:e>
              </m:acc>
            </m:den>
          </m:f>
          <m:r>
            <w:rPr>
              <w:rFonts w:ascii="Cambria Math" w:eastAsia="Cambria Math" w:hAnsi="Cambria Math"/>
            </w:rPr>
            <m:t xml:space="preserve">, and  </m:t>
          </m:r>
          <m:sSubSup>
            <m:sSubSupPr>
              <m:ctrlPr>
                <w:rPr>
                  <w:rFonts w:ascii="Cambria Math" w:hAnsi="Cambria Math"/>
                </w:rPr>
              </m:ctrlPr>
            </m:sSubSupPr>
            <m:e>
              <m:r>
                <w:rPr>
                  <w:rFonts w:ascii="Cambria Math" w:hAnsi="Cambria Math"/>
                </w:rPr>
                <m:t>S</m:t>
              </m:r>
            </m:e>
            <m:sub>
              <m:r>
                <w:rPr>
                  <w:rFonts w:ascii="Cambria Math" w:hAnsi="Cambria Math"/>
                </w:rPr>
                <m:t>i</m:t>
              </m:r>
            </m:sub>
            <m:sup>
              <m:r>
                <w:rPr>
                  <w:rFonts w:ascii="Cambria Math" w:hAnsi="Cambria Math"/>
                </w:rPr>
                <m:t>(6)</m:t>
              </m:r>
            </m:sup>
          </m:sSubSup>
          <m:r>
            <w:rPr>
              <w:rFonts w:ascii="Cambria Math" w:hAnsi="Cambria Math"/>
            </w:rPr>
            <m:t>=</m:t>
          </m:r>
          <m:f>
            <m:fPr>
              <m:ctrlPr>
                <w:rPr>
                  <w:rFonts w:ascii="Cambria Math" w:hAnsi="Cambria Math"/>
                </w:rPr>
              </m:ctrlPr>
            </m:fPr>
            <m:num>
              <m:nary>
                <m:naryPr>
                  <m:chr m:val="∑"/>
                  <m:limLoc m:val="undOvr"/>
                  <m:ctrlPr>
                    <w:rPr>
                      <w:rFonts w:ascii="Cambria Math" w:hAnsi="Cambria Math"/>
                    </w:rPr>
                  </m:ctrlPr>
                </m:naryPr>
                <m:sub>
                  <m:r>
                    <w:rPr>
                      <w:rFonts w:ascii="Cambria Math" w:hAnsi="Cambria Math"/>
                    </w:rPr>
                    <m:t>j=1</m:t>
                  </m:r>
                </m:sub>
                <m:sup>
                  <m:r>
                    <w:rPr>
                      <w:rFonts w:ascii="Cambria Math" w:hAnsi="Cambria Math"/>
                    </w:rPr>
                    <m:t>n</m:t>
                  </m:r>
                </m:sup>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ij-</m:t>
                          </m:r>
                          <m:sSub>
                            <m:sSubPr>
                              <m:ctrlPr>
                                <w:rPr>
                                  <w:rFonts w:ascii="Cambria Math" w:hAnsi="Cambria Math"/>
                                  <w:i/>
                                </w:rPr>
                              </m:ctrlPr>
                            </m:sSubPr>
                            <m:e>
                              <m:r>
                                <w:rPr>
                                  <w:rFonts w:ascii="Cambria Math" w:hAnsi="Cambria Math"/>
                                </w:rPr>
                                <m:t>r</m:t>
                              </m:r>
                            </m:e>
                            <m:sub>
                              <m:r>
                                <w:rPr>
                                  <w:rFonts w:ascii="Cambria Math" w:hAnsi="Cambria Math"/>
                                </w:rPr>
                                <m:t>i.</m:t>
                              </m:r>
                            </m:sub>
                          </m:sSub>
                        </m:sub>
                      </m:sSub>
                    </m:e>
                  </m:d>
                </m:e>
              </m:nary>
            </m:num>
            <m:den>
              <m:acc>
                <m:accPr>
                  <m:chr m:val="̅"/>
                  <m:ctrlPr>
                    <w:rPr>
                      <w:rFonts w:ascii="Cambria Math" w:hAnsi="Cambria Math"/>
                    </w:rPr>
                  </m:ctrlPr>
                </m:accPr>
                <m:e>
                  <m:sSub>
                    <m:sSubPr>
                      <m:ctrlPr>
                        <w:rPr>
                          <w:rFonts w:ascii="Cambria Math" w:hAnsi="Cambria Math"/>
                        </w:rPr>
                      </m:ctrlPr>
                    </m:sSubPr>
                    <m:e>
                      <m:r>
                        <w:rPr>
                          <w:rFonts w:ascii="Cambria Math" w:hAnsi="Cambria Math"/>
                        </w:rPr>
                        <m:t>r</m:t>
                      </m:r>
                    </m:e>
                    <m:sub>
                      <m:r>
                        <w:rPr>
                          <w:rFonts w:ascii="Cambria Math" w:hAnsi="Cambria Math"/>
                        </w:rPr>
                        <m:t>i.</m:t>
                      </m:r>
                    </m:sub>
                  </m:sSub>
                </m:e>
              </m:acc>
            </m:den>
          </m:f>
        </m:oMath>
      </m:oMathPara>
    </w:p>
    <w:p w14:paraId="0F71A49B" w14:textId="77777777" w:rsidR="009756F2" w:rsidRPr="00A51BC5" w:rsidRDefault="009756F2" w:rsidP="009756F2">
      <w:pPr>
        <w:spacing w:after="200" w:line="360" w:lineRule="auto"/>
        <w:rPr>
          <w:rFonts w:asciiTheme="majorBidi" w:hAnsiTheme="majorBidi" w:cstheme="majorBidi"/>
        </w:rPr>
      </w:pPr>
      <w:r w:rsidRPr="00A51BC5">
        <w:rPr>
          <w:rFonts w:asciiTheme="majorBidi" w:hAnsiTheme="majorBidi" w:cstheme="majorBidi"/>
        </w:rPr>
        <w:t xml:space="preserve">where </w:t>
      </w:r>
      <w:proofErr w:type="spellStart"/>
      <w:r w:rsidRPr="00A51BC5">
        <w:rPr>
          <w:rFonts w:asciiTheme="majorBidi" w:hAnsiTheme="majorBidi" w:cstheme="majorBidi"/>
        </w:rPr>
        <w:t>r</w:t>
      </w:r>
      <w:r w:rsidRPr="00A51BC5">
        <w:rPr>
          <w:rFonts w:asciiTheme="majorBidi" w:hAnsiTheme="majorBidi" w:cstheme="majorBidi"/>
          <w:vertAlign w:val="subscript"/>
        </w:rPr>
        <w:t>ij</w:t>
      </w:r>
      <w:proofErr w:type="spellEnd"/>
      <w:r w:rsidRPr="00A51BC5">
        <w:rPr>
          <w:rFonts w:asciiTheme="majorBidi" w:hAnsiTheme="majorBidi" w:cstheme="majorBidi"/>
        </w:rPr>
        <w:t xml:space="preserve"> is the range of the </w:t>
      </w:r>
      <w:proofErr w:type="spellStart"/>
      <w:r w:rsidRPr="00A51BC5">
        <w:rPr>
          <w:rFonts w:asciiTheme="majorBidi" w:hAnsiTheme="majorBidi" w:cstheme="majorBidi"/>
        </w:rPr>
        <w:t>i</w:t>
      </w:r>
      <w:r w:rsidRPr="00A51BC5">
        <w:rPr>
          <w:rFonts w:asciiTheme="majorBidi" w:hAnsiTheme="majorBidi" w:cstheme="majorBidi"/>
          <w:vertAlign w:val="superscript"/>
        </w:rPr>
        <w:t>th</w:t>
      </w:r>
      <w:proofErr w:type="spellEnd"/>
      <w:r w:rsidRPr="00A51BC5">
        <w:rPr>
          <w:rFonts w:asciiTheme="majorBidi" w:hAnsiTheme="majorBidi" w:cstheme="majorBidi"/>
        </w:rPr>
        <w:t xml:space="preserve"> genotype in the </w:t>
      </w:r>
      <w:proofErr w:type="spellStart"/>
      <w:r w:rsidRPr="00A51BC5">
        <w:rPr>
          <w:rFonts w:asciiTheme="majorBidi" w:hAnsiTheme="majorBidi" w:cstheme="majorBidi"/>
        </w:rPr>
        <w:t>j</w:t>
      </w:r>
      <w:r w:rsidRPr="00A51BC5">
        <w:rPr>
          <w:rFonts w:asciiTheme="majorBidi" w:hAnsiTheme="majorBidi" w:cstheme="majorBidi"/>
          <w:vertAlign w:val="superscript"/>
        </w:rPr>
        <w:t>th</w:t>
      </w:r>
      <w:proofErr w:type="spellEnd"/>
      <w:r w:rsidRPr="00A51BC5">
        <w:rPr>
          <w:rFonts w:asciiTheme="majorBidi" w:hAnsiTheme="majorBidi" w:cstheme="majorBidi"/>
        </w:rPr>
        <w:t xml:space="preserve"> environment and</w:t>
      </w:r>
      <m:oMath>
        <m:r>
          <w:rPr>
            <w:rFonts w:ascii="Cambria Math" w:hAnsi="Cambria Math" w:cstheme="majorBidi"/>
          </w:rPr>
          <m:t xml:space="preserve"> </m:t>
        </m:r>
        <m:acc>
          <m:accPr>
            <m:chr m:val="̅"/>
            <m:ctrlPr>
              <w:rPr>
                <w:rFonts w:ascii="Cambria Math" w:hAnsi="Cambria Math" w:cstheme="majorBidi"/>
                <w:i/>
              </w:rPr>
            </m:ctrlPr>
          </m:accPr>
          <m:e>
            <m:sSub>
              <m:sSubPr>
                <m:ctrlPr>
                  <w:rPr>
                    <w:rFonts w:ascii="Cambria Math" w:hAnsi="Cambria Math" w:cstheme="majorBidi"/>
                    <w:i/>
                  </w:rPr>
                </m:ctrlPr>
              </m:sSubPr>
              <m:e>
                <m:r>
                  <w:rPr>
                    <w:rFonts w:ascii="Cambria Math" w:hAnsi="Cambria Math" w:cstheme="majorBidi"/>
                  </w:rPr>
                  <m:t>r</m:t>
                </m:r>
              </m:e>
              <m:sub>
                <m:r>
                  <w:rPr>
                    <w:rFonts w:ascii="Cambria Math" w:hAnsi="Cambria Math" w:cstheme="majorBidi"/>
                  </w:rPr>
                  <m:t>i.</m:t>
                </m:r>
              </m:sub>
            </m:sSub>
          </m:e>
        </m:acc>
      </m:oMath>
      <w:r w:rsidRPr="00A51BC5">
        <w:rPr>
          <w:rFonts w:asciiTheme="majorBidi" w:hAnsiTheme="majorBidi" w:cstheme="majorBidi"/>
        </w:rPr>
        <w:t xml:space="preserve">: as the mean rank across all environments for the </w:t>
      </w:r>
      <w:proofErr w:type="spellStart"/>
      <w:r w:rsidRPr="00A51BC5">
        <w:rPr>
          <w:rFonts w:asciiTheme="majorBidi" w:hAnsiTheme="majorBidi" w:cstheme="majorBidi"/>
          <w:i/>
          <w:iCs/>
        </w:rPr>
        <w:t>i</w:t>
      </w:r>
      <w:r w:rsidRPr="00A51BC5">
        <w:rPr>
          <w:rFonts w:asciiTheme="majorBidi" w:hAnsiTheme="majorBidi" w:cstheme="majorBidi"/>
          <w:i/>
          <w:iCs/>
          <w:vertAlign w:val="subscript"/>
        </w:rPr>
        <w:t>th</w:t>
      </w:r>
      <w:proofErr w:type="spellEnd"/>
      <w:r w:rsidRPr="00A51BC5">
        <w:rPr>
          <w:rFonts w:asciiTheme="majorBidi" w:hAnsiTheme="majorBidi" w:cstheme="majorBidi"/>
        </w:rPr>
        <w:t xml:space="preserve"> genotype.</w:t>
      </w:r>
    </w:p>
    <w:p w14:paraId="15C4963E" w14:textId="77777777" w:rsidR="009756F2" w:rsidRPr="00A51BC5" w:rsidRDefault="009756F2" w:rsidP="009756F2">
      <w:pPr>
        <w:spacing w:after="120" w:line="360" w:lineRule="auto"/>
        <w:jc w:val="both"/>
        <w:rPr>
          <w:rFonts w:asciiTheme="majorBidi" w:hAnsiTheme="majorBidi" w:cstheme="majorBidi"/>
        </w:rPr>
      </w:pPr>
      <w:proofErr w:type="spellStart"/>
      <w:r w:rsidRPr="00A51BC5">
        <w:rPr>
          <w:rFonts w:asciiTheme="majorBidi" w:hAnsiTheme="majorBidi" w:cstheme="majorBidi"/>
        </w:rPr>
        <w:t>Thennarasu's</w:t>
      </w:r>
      <w:proofErr w:type="spellEnd"/>
      <w:r w:rsidRPr="00A51BC5">
        <w:rPr>
          <w:rFonts w:asciiTheme="majorBidi" w:hAnsiTheme="majorBidi" w:cstheme="majorBidi"/>
        </w:rPr>
        <w:t xml:space="preserve"> nonparametric stability analysis considers adjusted ranks of genotypes within each test environment. Four stability based on ranks of adjusted means of the genotypes in each environment measures of nonparametric statistics, NP</w:t>
      </w:r>
      <w:r w:rsidRPr="00A51BC5">
        <w:rPr>
          <w:rFonts w:asciiTheme="majorBidi" w:hAnsiTheme="majorBidi" w:cstheme="majorBidi"/>
          <w:vertAlign w:val="subscript"/>
        </w:rPr>
        <w:t>I</w:t>
      </w:r>
      <w:r w:rsidRPr="00A51BC5">
        <w:rPr>
          <w:rFonts w:asciiTheme="majorBidi" w:hAnsiTheme="majorBidi" w:cstheme="majorBidi"/>
          <w:vertAlign w:val="superscript"/>
        </w:rPr>
        <w:t>(1)</w:t>
      </w:r>
      <w:r w:rsidRPr="00A51BC5">
        <w:rPr>
          <w:rFonts w:asciiTheme="majorBidi" w:hAnsiTheme="majorBidi" w:cstheme="majorBidi"/>
        </w:rPr>
        <w:t>, NP</w:t>
      </w:r>
      <w:r w:rsidRPr="00A51BC5">
        <w:rPr>
          <w:rFonts w:asciiTheme="majorBidi" w:hAnsiTheme="majorBidi" w:cstheme="majorBidi"/>
          <w:vertAlign w:val="subscript"/>
        </w:rPr>
        <w:t>I</w:t>
      </w:r>
      <w:r w:rsidRPr="00A51BC5">
        <w:rPr>
          <w:rFonts w:asciiTheme="majorBidi" w:hAnsiTheme="majorBidi" w:cstheme="majorBidi"/>
          <w:vertAlign w:val="superscript"/>
        </w:rPr>
        <w:t>(2)</w:t>
      </w:r>
      <w:r w:rsidRPr="00A51BC5">
        <w:rPr>
          <w:rFonts w:asciiTheme="majorBidi" w:hAnsiTheme="majorBidi" w:cstheme="majorBidi"/>
        </w:rPr>
        <w:t>, NP</w:t>
      </w:r>
      <w:r w:rsidRPr="00A51BC5">
        <w:rPr>
          <w:rFonts w:asciiTheme="majorBidi" w:hAnsiTheme="majorBidi" w:cstheme="majorBidi"/>
          <w:vertAlign w:val="subscript"/>
        </w:rPr>
        <w:t>I</w:t>
      </w:r>
      <w:r w:rsidRPr="00A51BC5">
        <w:rPr>
          <w:rFonts w:asciiTheme="majorBidi" w:hAnsiTheme="majorBidi" w:cstheme="majorBidi"/>
          <w:vertAlign w:val="superscript"/>
        </w:rPr>
        <w:t>(3)</w:t>
      </w:r>
      <w:r w:rsidRPr="00A51BC5">
        <w:rPr>
          <w:rFonts w:asciiTheme="majorBidi" w:hAnsiTheme="majorBidi" w:cstheme="majorBidi"/>
        </w:rPr>
        <w:t xml:space="preserve"> and NP</w:t>
      </w:r>
      <w:r w:rsidRPr="00A51BC5">
        <w:rPr>
          <w:rFonts w:asciiTheme="majorBidi" w:hAnsiTheme="majorBidi" w:cstheme="majorBidi"/>
          <w:vertAlign w:val="subscript"/>
        </w:rPr>
        <w:t>I</w:t>
      </w:r>
      <w:r w:rsidRPr="00A51BC5">
        <w:rPr>
          <w:rFonts w:asciiTheme="majorBidi" w:hAnsiTheme="majorBidi" w:cstheme="majorBidi"/>
          <w:vertAlign w:val="superscript"/>
        </w:rPr>
        <w:t>(4)</w:t>
      </w:r>
      <w:r w:rsidRPr="00A51BC5">
        <w:rPr>
          <w:rFonts w:asciiTheme="majorBidi" w:hAnsiTheme="majorBidi" w:cstheme="majorBidi"/>
        </w:rPr>
        <w:t xml:space="preserve">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&lt;EndNote&gt;&lt;Cite&gt;&lt;Author&gt;Tiiennarasu&lt;/Author&gt;&lt;Year&gt;1995&lt;/Year&gt;&lt;RecNum&gt;2182&lt;/RecNum&gt;&lt;DisplayText&gt;(Tiiennarasu, 1995)&lt;/DisplayText&gt;&lt;record&gt;&lt;rec-number&gt;2182&lt;/rec-number&gt;&lt;foreign-keys&gt;&lt;key app="EN" db-id="2x9evwr2lvas5eevfp6v5eea2rfv5faevsdz" timestamp="1683805308" guid="09947570-f9d9-408d-89eb-aa8e933dca1a"&gt;2182&lt;/key&gt;&lt;/foreign-keys&gt;&lt;ref-type name="Conference Proceedings"&gt;10&lt;/ref-type&gt;&lt;contributors&gt;&lt;authors&gt;&lt;author&gt;Tiiennarasu, K.&lt;/author&gt;&lt;/authors&gt;&lt;/contributors&gt;&lt;titles&gt;&lt;title&gt;On Certain Non-Parametric Procedures For Studying Genotype - Environmentinteractions. And Yield Stability&lt;/title&gt;&lt;/titles&gt;&lt;dates&gt;&lt;year&gt;1995&lt;/year&gt;&lt;/dates&gt;&lt;urls&gt;&lt;/urls&gt;&lt;/record&gt;&lt;/Cite&gt;&lt;/EndNote&gt;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(Tiiennarasu, 1995)</w:t>
      </w:r>
      <w:r w:rsidRPr="00A51BC5">
        <w:rPr>
          <w:rFonts w:asciiTheme="majorBidi" w:hAnsiTheme="majorBidi" w:cstheme="majorBidi"/>
          <w:color w:val="0432FF"/>
        </w:rPr>
        <w:fldChar w:fldCharType="end"/>
      </w:r>
      <w:r w:rsidRPr="00A51BC5">
        <w:rPr>
          <w:rFonts w:asciiTheme="majorBidi" w:hAnsiTheme="majorBidi" w:cstheme="majorBidi"/>
          <w:color w:val="0432FF"/>
        </w:rPr>
        <w:t xml:space="preserve"> </w:t>
      </w:r>
      <w:r w:rsidRPr="00A51BC5">
        <w:rPr>
          <w:rFonts w:asciiTheme="majorBidi" w:hAnsiTheme="majorBidi" w:cstheme="majorBidi"/>
        </w:rPr>
        <w:t>and defined stable genotypes as those whose position in relation to the others remained unaltered in the set of environments assessed. The formulae to compute these are given below:</w:t>
      </w:r>
    </w:p>
    <w:p w14:paraId="31C48A63" w14:textId="77777777" w:rsidR="009756F2" w:rsidRPr="00A51BC5" w:rsidRDefault="00000000" w:rsidP="009756F2">
      <w:pPr>
        <w:jc w:val="both"/>
        <w:rPr>
          <w:rFonts w:asciiTheme="minorBidi" w:hAnsiTheme="minorBidi"/>
        </w:rPr>
      </w:pPr>
      <m:oMathPara>
        <m:oMathParaPr>
          <m:jc m:val="left"/>
        </m:oMathParaPr>
        <m:oMath>
          <m:sSub>
            <m:sSubPr>
              <m:ctrlPr>
                <w:rPr>
                  <w:rFonts w:ascii="Cambria Math" w:hAnsi="Cambria Math"/>
                  <w:i/>
                </w:rPr>
              </m:ctrlPr>
            </m:sSubPr>
            <m:e>
              <m:r>
                <w:rPr>
                  <w:rFonts w:ascii="Cambria Math" w:hAnsi="Cambria Math"/>
                </w:rPr>
                <m:t>NP</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 xml:space="preserve"> </m:t>
          </m:r>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ij-</m:t>
                      </m:r>
                    </m:sub>
                    <m:sup>
                      <m:r>
                        <w:rPr>
                          <w:rFonts w:ascii="Cambria Math" w:hAnsi="Cambria Math"/>
                        </w:rPr>
                        <m:t>*</m:t>
                      </m:r>
                    </m:sup>
                  </m:sSubSup>
                  <m:r>
                    <w:rPr>
                      <w:rFonts w:ascii="Cambria Math" w:hAnsi="Cambria Math"/>
                    </w:rPr>
                    <m:t xml:space="preserve"> </m:t>
                  </m:r>
                  <m:sSubSup>
                    <m:sSubSupPr>
                      <m:ctrlPr>
                        <w:rPr>
                          <w:rFonts w:ascii="Cambria Math" w:hAnsi="Cambria Math"/>
                          <w:i/>
                        </w:rPr>
                      </m:ctrlPr>
                    </m:sSubSupPr>
                    <m:e>
                      <m:r>
                        <w:rPr>
                          <w:rFonts w:ascii="Cambria Math" w:hAnsi="Cambria Math"/>
                        </w:rPr>
                        <m:t>M</m:t>
                      </m:r>
                    </m:e>
                    <m:sub>
                      <m:r>
                        <w:rPr>
                          <w:rFonts w:ascii="Cambria Math" w:hAnsi="Cambria Math"/>
                        </w:rPr>
                        <m:t>di</m:t>
                      </m:r>
                    </m:sub>
                    <m:sup>
                      <m:r>
                        <w:rPr>
                          <w:rFonts w:ascii="Cambria Math" w:hAnsi="Cambria Math"/>
                        </w:rPr>
                        <m:t>*</m:t>
                      </m:r>
                    </m:sup>
                  </m:sSubSup>
                </m:e>
              </m:d>
              <m:r>
                <w:rPr>
                  <w:rFonts w:ascii="Cambria Math" w:hAnsi="Cambria Math"/>
                </w:rPr>
                <m:t xml:space="preserve">,  </m:t>
              </m:r>
            </m:e>
          </m:nary>
          <m:sSub>
            <m:sSubPr>
              <m:ctrlPr>
                <w:rPr>
                  <w:rFonts w:ascii="Cambria Math" w:hAnsi="Cambria Math"/>
                  <w:i/>
                </w:rPr>
              </m:ctrlPr>
            </m:sSubPr>
            <m:e>
              <m:r>
                <w:rPr>
                  <w:rFonts w:ascii="Cambria Math" w:hAnsi="Cambria Math"/>
                </w:rPr>
                <m:t xml:space="preserve">  NP</m:t>
              </m:r>
            </m:e>
            <m:sub>
              <m:r>
                <w:rPr>
                  <w:rFonts w:ascii="Cambria Math" w:hAnsi="Cambria Math"/>
                </w:rPr>
                <m:t>2</m:t>
              </m:r>
            </m:sub>
          </m:sSub>
          <m:r>
            <w:rPr>
              <w:rFonts w:ascii="Cambria Math" w:hAnsi="Cambria Math"/>
            </w:rPr>
            <m:t>=</m:t>
          </m:r>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 xml:space="preserve"> </m:t>
              </m:r>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f>
                    <m:fPr>
                      <m:ctrlPr>
                        <w:rPr>
                          <w:rFonts w:ascii="Cambria Math" w:hAnsi="Cambria Math"/>
                          <w:i/>
                        </w:rPr>
                      </m:ctrlPr>
                    </m:fPr>
                    <m:num>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ij-</m:t>
                              </m:r>
                            </m:sub>
                            <m:sup>
                              <m:r>
                                <w:rPr>
                                  <w:rFonts w:ascii="Cambria Math" w:hAnsi="Cambria Math"/>
                                </w:rPr>
                                <m:t>*</m:t>
                              </m:r>
                            </m:sup>
                          </m:sSubSup>
                          <m:r>
                            <w:rPr>
                              <w:rFonts w:ascii="Cambria Math" w:hAnsi="Cambria Math"/>
                            </w:rPr>
                            <m:t xml:space="preserve"> </m:t>
                          </m:r>
                          <m:sSubSup>
                            <m:sSubSupPr>
                              <m:ctrlPr>
                                <w:rPr>
                                  <w:rFonts w:ascii="Cambria Math" w:hAnsi="Cambria Math"/>
                                  <w:i/>
                                </w:rPr>
                              </m:ctrlPr>
                            </m:sSubSupPr>
                            <m:e>
                              <m:r>
                                <w:rPr>
                                  <w:rFonts w:ascii="Cambria Math" w:hAnsi="Cambria Math"/>
                                </w:rPr>
                                <m:t>M</m:t>
                              </m:r>
                            </m:e>
                            <m:sub>
                              <m:r>
                                <w:rPr>
                                  <w:rFonts w:ascii="Cambria Math" w:hAnsi="Cambria Math"/>
                                </w:rPr>
                                <m:t>di</m:t>
                              </m:r>
                            </m:sub>
                            <m:sup>
                              <m:r>
                                <w:rPr>
                                  <w:rFonts w:ascii="Cambria Math" w:hAnsi="Cambria Math"/>
                                </w:rPr>
                                <m:t>*</m:t>
                              </m:r>
                            </m:sup>
                          </m:sSubSup>
                        </m:e>
                      </m:d>
                    </m:num>
                    <m:den>
                      <m:sSub>
                        <m:sSubPr>
                          <m:ctrlPr>
                            <w:rPr>
                              <w:rFonts w:ascii="Cambria Math" w:hAnsi="Cambria Math"/>
                              <w:i/>
                            </w:rPr>
                          </m:ctrlPr>
                        </m:sSubPr>
                        <m:e>
                          <m:r>
                            <w:rPr>
                              <w:rFonts w:ascii="Cambria Math" w:hAnsi="Cambria Math"/>
                            </w:rPr>
                            <m:t>M</m:t>
                          </m:r>
                        </m:e>
                        <m:sub>
                          <m:r>
                            <w:rPr>
                              <w:rFonts w:ascii="Cambria Math" w:hAnsi="Cambria Math"/>
                            </w:rPr>
                            <m:t>di</m:t>
                          </m:r>
                        </m:sub>
                      </m:sSub>
                    </m:den>
                  </m:f>
                </m:e>
              </m:nary>
            </m:e>
          </m:d>
          <m:r>
            <w:rPr>
              <w:rFonts w:ascii="Cambria Math" w:hAnsi="Cambria Math"/>
            </w:rPr>
            <m:t xml:space="preserve">, </m:t>
          </m:r>
        </m:oMath>
      </m:oMathPara>
    </w:p>
    <w:p w14:paraId="5BFDC4D7" w14:textId="77777777" w:rsidR="009756F2" w:rsidRPr="00A51BC5" w:rsidRDefault="00000000" w:rsidP="009756F2">
      <w:pPr>
        <w:spacing w:line="360" w:lineRule="auto"/>
        <w:jc w:val="both"/>
        <w:rPr>
          <w:rFonts w:asciiTheme="minorBidi" w:hAnsiTheme="minorBidi"/>
        </w:rPr>
      </w:pPr>
      <m:oMath>
        <m:sSub>
          <m:sSubPr>
            <m:ctrlPr>
              <w:rPr>
                <w:rFonts w:ascii="Cambria Math" w:hAnsi="Cambria Math"/>
                <w:i/>
              </w:rPr>
            </m:ctrlPr>
          </m:sSubPr>
          <m:e>
            <m:r>
              <w:rPr>
                <w:rFonts w:ascii="Cambria Math" w:hAnsi="Cambria Math"/>
              </w:rPr>
              <m:t>NP</m:t>
            </m:r>
          </m:e>
          <m:sub>
            <m:r>
              <w:rPr>
                <w:rFonts w:ascii="Cambria Math" w:hAnsi="Cambria Math"/>
              </w:rPr>
              <m:t xml:space="preserve">3 </m:t>
            </m:r>
          </m:sub>
        </m:sSub>
        <m:r>
          <w:rPr>
            <w:rFonts w:ascii="Cambria Math" w:hAnsi="Cambria Math"/>
          </w:rPr>
          <m:t>=</m:t>
        </m:r>
        <m:f>
          <m:fPr>
            <m:ctrlPr>
              <w:rPr>
                <w:rFonts w:ascii="Cambria Math" w:hAnsi="Cambria Math"/>
                <w:i/>
              </w:rPr>
            </m:ctrlPr>
          </m:fPr>
          <m:num>
            <m:rad>
              <m:radPr>
                <m:degHide m:val="1"/>
                <m:ctrlPr>
                  <w:rPr>
                    <w:rFonts w:ascii="Cambria Math" w:hAnsi="Cambria Math"/>
                    <w:i/>
                  </w:rPr>
                </m:ctrlPr>
              </m:radPr>
              <m:deg/>
              <m:e>
                <m:nary>
                  <m:naryPr>
                    <m:chr m:val="∑"/>
                    <m:limLoc m:val="undOvr"/>
                    <m:subHide m:val="1"/>
                    <m:supHide m:val="1"/>
                    <m:ctrlPr>
                      <w:rPr>
                        <w:rFonts w:ascii="Cambria Math" w:hAnsi="Cambria Math"/>
                        <w:i/>
                      </w:rPr>
                    </m:ctrlPr>
                  </m:naryPr>
                  <m:sub/>
                  <m:sup/>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ij</m:t>
                                    </m:r>
                                  </m:sub>
                                  <m:sup>
                                    <m:r>
                                      <w:rPr>
                                        <w:rFonts w:ascii="Cambria Math" w:hAnsi="Cambria Math"/>
                                      </w:rPr>
                                      <m:t>*</m:t>
                                    </m:r>
                                  </m:sup>
                                </m:sSubSup>
                                <m:r>
                                  <w:rPr>
                                    <w:rFonts w:ascii="Cambria Math" w:hAnsi="Cambria Math"/>
                                  </w:rPr>
                                  <m:t>-</m:t>
                                </m:r>
                                <m:sSubSup>
                                  <m:sSubSupPr>
                                    <m:ctrlPr>
                                      <w:rPr>
                                        <w:rFonts w:ascii="Cambria Math" w:hAnsi="Cambria Math"/>
                                        <w:i/>
                                      </w:rPr>
                                    </m:ctrlPr>
                                  </m:sSubSupPr>
                                  <m:e>
                                    <m:acc>
                                      <m:accPr>
                                        <m:chr m:val="̅"/>
                                        <m:ctrlPr>
                                          <w:rPr>
                                            <w:rFonts w:ascii="Cambria Math" w:hAnsi="Cambria Math"/>
                                            <w:i/>
                                          </w:rPr>
                                        </m:ctrlPr>
                                      </m:accPr>
                                      <m:e>
                                        <m:r>
                                          <w:rPr>
                                            <w:rFonts w:ascii="Cambria Math" w:hAnsi="Cambria Math"/>
                                          </w:rPr>
                                          <m:t>r</m:t>
                                        </m:r>
                                      </m:e>
                                    </m:acc>
                                  </m:e>
                                  <m:sub>
                                    <m:r>
                                      <w:rPr>
                                        <w:rFonts w:ascii="Cambria Math" w:hAnsi="Cambria Math"/>
                                      </w:rPr>
                                      <m:t xml:space="preserve">i.  </m:t>
                                    </m:r>
                                  </m:sub>
                                  <m:sup>
                                    <m:r>
                                      <w:rPr>
                                        <w:rFonts w:ascii="Cambria Math" w:hAnsi="Cambria Math"/>
                                      </w:rPr>
                                      <m:t>*</m:t>
                                    </m:r>
                                  </m:sup>
                                </m:sSubSup>
                              </m:e>
                            </m:d>
                          </m:e>
                          <m:sup>
                            <m:r>
                              <w:rPr>
                                <w:rFonts w:ascii="Cambria Math" w:hAnsi="Cambria Math"/>
                              </w:rPr>
                              <m:t>2</m:t>
                            </m:r>
                          </m:sup>
                        </m:sSup>
                      </m:num>
                      <m:den>
                        <m:r>
                          <w:rPr>
                            <w:rFonts w:ascii="Cambria Math" w:hAnsi="Cambria Math"/>
                          </w:rPr>
                          <m:t>N</m:t>
                        </m:r>
                      </m:den>
                    </m:f>
                  </m:e>
                </m:nary>
              </m:e>
            </m:rad>
          </m:num>
          <m:den>
            <m:sSub>
              <m:sSubPr>
                <m:ctrlPr>
                  <w:rPr>
                    <w:rFonts w:ascii="Cambria Math" w:hAnsi="Cambria Math"/>
                    <w:i/>
                  </w:rPr>
                </m:ctrlPr>
              </m:sSubPr>
              <m:e>
                <m:acc>
                  <m:accPr>
                    <m:chr m:val="̅"/>
                    <m:ctrlPr>
                      <w:rPr>
                        <w:rFonts w:ascii="Cambria Math" w:hAnsi="Cambria Math"/>
                        <w:i/>
                      </w:rPr>
                    </m:ctrlPr>
                  </m:accPr>
                  <m:e>
                    <m:r>
                      <w:rPr>
                        <w:rFonts w:ascii="Cambria Math" w:hAnsi="Cambria Math"/>
                      </w:rPr>
                      <m:t>r</m:t>
                    </m:r>
                  </m:e>
                </m:acc>
              </m:e>
              <m:sub>
                <m:r>
                  <w:rPr>
                    <w:rFonts w:ascii="Cambria Math" w:hAnsi="Cambria Math"/>
                  </w:rPr>
                  <m:t>i.</m:t>
                </m:r>
              </m:sub>
            </m:sSub>
          </m:den>
        </m:f>
        <m:r>
          <w:rPr>
            <w:rFonts w:ascii="Cambria Math" w:hAnsi="Cambria Math"/>
          </w:rPr>
          <m:t xml:space="preserve">and  </m:t>
        </m:r>
        <m:sSub>
          <m:sSubPr>
            <m:ctrlPr>
              <w:rPr>
                <w:rFonts w:ascii="Cambria Math" w:hAnsi="Cambria Math"/>
                <w:i/>
              </w:rPr>
            </m:ctrlPr>
          </m:sSubPr>
          <m:e>
            <m:r>
              <w:rPr>
                <w:rFonts w:ascii="Cambria Math" w:hAnsi="Cambria Math"/>
              </w:rPr>
              <m:t>NP</m:t>
            </m:r>
          </m:e>
          <m:sub>
            <m:r>
              <w:rPr>
                <w:rFonts w:ascii="Cambria Math" w:hAnsi="Cambria Math"/>
              </w:rPr>
              <m:t xml:space="preserve">4 </m:t>
            </m:r>
          </m:sub>
        </m:sSub>
        <m:r>
          <w:rPr>
            <w:rFonts w:ascii="Cambria Math" w:hAnsi="Cambria Math"/>
          </w:rPr>
          <m:t xml:space="preserve">= </m:t>
        </m:r>
        <m:f>
          <m:fPr>
            <m:type m:val="skw"/>
            <m:ctrlPr>
              <w:rPr>
                <w:rFonts w:ascii="Cambria Math" w:hAnsi="Cambria Math"/>
                <w:i/>
              </w:rPr>
            </m:ctrlPr>
          </m:fPr>
          <m:num>
            <m:r>
              <w:rPr>
                <w:rFonts w:ascii="Cambria Math" w:hAnsi="Cambria Math"/>
              </w:rPr>
              <m:t>2</m:t>
            </m:r>
          </m:num>
          <m:den>
            <m:r>
              <w:rPr>
                <w:rFonts w:ascii="Cambria Math" w:hAnsi="Cambria Math"/>
              </w:rPr>
              <m:t>N(N-1)</m:t>
            </m:r>
            <m:d>
              <m:dPr>
                <m:begChr m:val="["/>
                <m:endChr m:val="]"/>
                <m:ctrlPr>
                  <w:rPr>
                    <w:rFonts w:ascii="Cambria Math" w:hAnsi="Cambria Math"/>
                    <w:i/>
                  </w:rPr>
                </m:ctrlPr>
              </m:dPr>
              <m:e>
                <m:nary>
                  <m:naryPr>
                    <m:chr m:val="∑"/>
                    <m:limLoc m:val="undOvr"/>
                    <m:ctrlPr>
                      <w:rPr>
                        <w:rFonts w:ascii="Cambria Math" w:hAnsi="Cambria Math"/>
                        <w:i/>
                      </w:rPr>
                    </m:ctrlPr>
                  </m:naryPr>
                  <m:sub>
                    <m:r>
                      <w:rPr>
                        <w:rFonts w:ascii="Cambria Math" w:hAnsi="Cambria Math"/>
                      </w:rPr>
                      <m:t>j-1</m:t>
                    </m:r>
                  </m:sub>
                  <m:sup>
                    <m:r>
                      <w:rPr>
                        <w:rFonts w:ascii="Cambria Math" w:hAnsi="Cambria Math"/>
                      </w:rPr>
                      <m:t>n-1</m:t>
                    </m:r>
                  </m:sup>
                  <m:e>
                    <m:nary>
                      <m:naryPr>
                        <m:chr m:val="∑"/>
                        <m:limLoc m:val="undOvr"/>
                        <m:ctrlPr>
                          <w:rPr>
                            <w:rFonts w:ascii="Cambria Math" w:hAnsi="Cambria Math"/>
                            <w:i/>
                          </w:rPr>
                        </m:ctrlPr>
                      </m:naryPr>
                      <m:sub>
                        <m:sSup>
                          <m:sSupPr>
                            <m:ctrlPr>
                              <w:rPr>
                                <w:rFonts w:ascii="Cambria Math" w:hAnsi="Cambria Math"/>
                                <w:i/>
                              </w:rPr>
                            </m:ctrlPr>
                          </m:sSupPr>
                          <m:e>
                            <m:r>
                              <w:rPr>
                                <w:rFonts w:ascii="Cambria Math" w:hAnsi="Cambria Math"/>
                              </w:rPr>
                              <m:t>j</m:t>
                            </m:r>
                          </m:e>
                          <m:sup>
                            <m:r>
                              <w:rPr>
                                <w:rFonts w:ascii="Cambria Math" w:hAnsi="Cambria Math"/>
                              </w:rPr>
                              <m:t>'</m:t>
                            </m:r>
                          </m:sup>
                        </m:sSup>
                        <m:r>
                          <w:rPr>
                            <w:rFonts w:ascii="Cambria Math" w:hAnsi="Cambria Math"/>
                          </w:rPr>
                          <m:t>-j+1</m:t>
                        </m:r>
                      </m:sub>
                      <m:sup>
                        <m:r>
                          <w:rPr>
                            <w:rFonts w:ascii="Cambria Math" w:hAnsi="Cambria Math"/>
                          </w:rPr>
                          <m:t>n</m:t>
                        </m:r>
                      </m:sup>
                      <m:e>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ij</m:t>
                                </m:r>
                              </m:sub>
                              <m:sup>
                                <m:r>
                                  <w:rPr>
                                    <w:rFonts w:ascii="Cambria Math" w:hAnsi="Cambria Math"/>
                                  </w:rPr>
                                  <m:t>*</m:t>
                                </m:r>
                              </m:sup>
                            </m:sSubSup>
                            <m:r>
                              <w:rPr>
                                <w:rFonts w:ascii="Cambria Math" w:hAnsi="Cambria Math"/>
                              </w:rPr>
                              <m:t xml:space="preserve">- </m:t>
                            </m:r>
                            <m:sSubSup>
                              <m:sSubSupPr>
                                <m:ctrlPr>
                                  <w:rPr>
                                    <w:rFonts w:ascii="Cambria Math" w:hAnsi="Cambria Math"/>
                                    <w:i/>
                                  </w:rPr>
                                </m:ctrlPr>
                              </m:sSubSupPr>
                              <m:e>
                                <m:r>
                                  <w:rPr>
                                    <w:rFonts w:ascii="Cambria Math" w:hAnsi="Cambria Math"/>
                                  </w:rPr>
                                  <m:t>r</m:t>
                                </m:r>
                              </m:e>
                              <m:sub>
                                <m:r>
                                  <w:rPr>
                                    <w:rFonts w:ascii="Cambria Math" w:hAnsi="Cambria Math"/>
                                  </w:rPr>
                                  <m:t>ij'</m:t>
                                </m:r>
                              </m:sub>
                              <m:sup>
                                <m:r>
                                  <w:rPr>
                                    <w:rFonts w:ascii="Cambria Math" w:hAnsi="Cambria Math"/>
                                  </w:rPr>
                                  <m:t>*</m:t>
                                </m:r>
                              </m:sup>
                            </m:sSubSup>
                          </m:e>
                        </m:d>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r</m:t>
                                </m:r>
                              </m:e>
                            </m:acc>
                          </m:e>
                          <m:sub>
                            <m:r>
                              <w:rPr>
                                <w:rFonts w:ascii="Cambria Math" w:hAnsi="Cambria Math"/>
                              </w:rPr>
                              <m:t>i.</m:t>
                            </m:r>
                          </m:sub>
                        </m:sSub>
                      </m:e>
                    </m:nary>
                  </m:e>
                </m:nary>
              </m:e>
            </m:d>
          </m:den>
        </m:f>
      </m:oMath>
      <w:r w:rsidR="009756F2" w:rsidRPr="00A51BC5">
        <w:rPr>
          <w:rFonts w:asciiTheme="minorBidi" w:hAnsiTheme="minorBidi"/>
        </w:rPr>
        <w:t xml:space="preserve"> </w:t>
      </w:r>
    </w:p>
    <w:p w14:paraId="317553E2"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In the formulae, </w:t>
      </w:r>
      <m:oMath>
        <m:sSubSup>
          <m:sSubSupPr>
            <m:ctrlPr>
              <w:rPr>
                <w:rFonts w:ascii="Cambria Math" w:hAnsi="Cambria Math" w:cstheme="majorBidi"/>
                <w:i/>
              </w:rPr>
            </m:ctrlPr>
          </m:sSubSupPr>
          <m:e>
            <m:r>
              <w:rPr>
                <w:rFonts w:ascii="Cambria Math" w:hAnsi="Cambria Math" w:cstheme="majorBidi"/>
              </w:rPr>
              <m:t>r</m:t>
            </m:r>
          </m:e>
          <m:sub>
            <m:r>
              <w:rPr>
                <w:rFonts w:ascii="Cambria Math" w:hAnsi="Cambria Math" w:cstheme="majorBidi"/>
              </w:rPr>
              <m:t>ij</m:t>
            </m:r>
          </m:sub>
          <m:sup>
            <m:r>
              <w:rPr>
                <w:rFonts w:ascii="Cambria Math" w:hAnsi="Cambria Math" w:cstheme="majorBidi"/>
              </w:rPr>
              <m:t>*</m:t>
            </m:r>
          </m:sup>
        </m:sSubSup>
      </m:oMath>
      <w:r w:rsidRPr="00A51BC5">
        <w:rPr>
          <w:rFonts w:asciiTheme="majorBidi" w:hAnsiTheme="majorBidi" w:cstheme="majorBidi"/>
        </w:rPr>
        <w:t xml:space="preserve"> is rank of </w:t>
      </w:r>
      <w:proofErr w:type="spellStart"/>
      <w:r w:rsidRPr="00A51BC5">
        <w:rPr>
          <w:rFonts w:asciiTheme="majorBidi" w:hAnsiTheme="majorBidi" w:cstheme="majorBidi"/>
          <w:i/>
          <w:iCs/>
        </w:rPr>
        <w:t>i</w:t>
      </w:r>
      <w:r w:rsidRPr="00A51BC5">
        <w:rPr>
          <w:rFonts w:asciiTheme="majorBidi" w:hAnsiTheme="majorBidi" w:cstheme="majorBidi"/>
          <w:i/>
          <w:iCs/>
          <w:vertAlign w:val="subscript"/>
        </w:rPr>
        <w:t>th</w:t>
      </w:r>
      <w:proofErr w:type="spellEnd"/>
      <w:r w:rsidRPr="00A51BC5">
        <w:rPr>
          <w:rFonts w:asciiTheme="majorBidi" w:hAnsiTheme="majorBidi" w:cstheme="majorBidi"/>
        </w:rPr>
        <w:t xml:space="preserve"> genotype in the </w:t>
      </w:r>
      <w:proofErr w:type="spellStart"/>
      <w:r w:rsidRPr="00A51BC5">
        <w:rPr>
          <w:rFonts w:asciiTheme="majorBidi" w:hAnsiTheme="majorBidi" w:cstheme="majorBidi"/>
          <w:i/>
          <w:iCs/>
        </w:rPr>
        <w:t>j</w:t>
      </w:r>
      <w:r w:rsidRPr="00A51BC5">
        <w:rPr>
          <w:rFonts w:asciiTheme="majorBidi" w:hAnsiTheme="majorBidi" w:cstheme="majorBidi"/>
          <w:i/>
          <w:iCs/>
          <w:vertAlign w:val="subscript"/>
        </w:rPr>
        <w:t>th</w:t>
      </w:r>
      <w:proofErr w:type="spellEnd"/>
      <w:r w:rsidRPr="00A51BC5">
        <w:rPr>
          <w:rFonts w:asciiTheme="majorBidi" w:hAnsiTheme="majorBidi" w:cstheme="majorBidi"/>
        </w:rPr>
        <w:t xml:space="preserve"> environment based on (</w:t>
      </w:r>
      <m:oMath>
        <m:sSubSup>
          <m:sSubSupPr>
            <m:ctrlPr>
              <w:rPr>
                <w:rFonts w:ascii="Cambria Math" w:hAnsi="Cambria Math" w:cstheme="majorBidi"/>
                <w:i/>
              </w:rPr>
            </m:ctrlPr>
          </m:sSubSupPr>
          <m:e>
            <m:r>
              <w:rPr>
                <w:rFonts w:ascii="Cambria Math" w:hAnsi="Cambria Math" w:cstheme="majorBidi"/>
              </w:rPr>
              <m:t>X</m:t>
            </m:r>
          </m:e>
          <m:sub>
            <m:r>
              <w:rPr>
                <w:rFonts w:ascii="Cambria Math" w:hAnsi="Cambria Math" w:cstheme="majorBidi"/>
              </w:rPr>
              <m:t>ij</m:t>
            </m:r>
          </m:sub>
          <m:sup>
            <m:r>
              <w:rPr>
                <w:rFonts w:ascii="Cambria Math" w:hAnsi="Cambria Math" w:cstheme="majorBidi"/>
              </w:rPr>
              <m:t>*</m:t>
            </m:r>
          </m:sup>
        </m:sSubSup>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X</m:t>
                </m:r>
              </m:e>
            </m:acc>
          </m:e>
          <m:sub>
            <m:r>
              <w:rPr>
                <w:rFonts w:ascii="Cambria Math" w:hAnsi="Cambria Math" w:cstheme="majorBidi"/>
              </w:rPr>
              <m:t>i.</m:t>
            </m:r>
          </m:sub>
        </m:sSub>
      </m:oMath>
      <w:r w:rsidRPr="00A51BC5">
        <w:rPr>
          <w:rFonts w:asciiTheme="majorBidi" w:hAnsiTheme="majorBidi" w:cstheme="majorBidi"/>
        </w:rPr>
        <w:t>),</w:t>
      </w:r>
      <m:oMath>
        <m:r>
          <w:rPr>
            <w:rFonts w:ascii="Cambria Math" w:hAnsi="Cambria Math" w:cstheme="majorBidi"/>
          </w:rPr>
          <m:t xml:space="preserve"> </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r</m:t>
                </m:r>
              </m:e>
            </m:acc>
          </m:e>
          <m:sub>
            <m:r>
              <w:rPr>
                <w:rFonts w:ascii="Cambria Math" w:hAnsi="Cambria Math" w:cstheme="majorBidi"/>
              </w:rPr>
              <m:t>i.</m:t>
            </m:r>
          </m:sub>
        </m:sSub>
      </m:oMath>
      <w:r w:rsidRPr="00A51BC5">
        <w:rPr>
          <w:rFonts w:asciiTheme="majorBidi" w:hAnsiTheme="majorBidi" w:cstheme="majorBidi"/>
        </w:rPr>
        <w:t xml:space="preserve"> and </w:t>
      </w:r>
      <w:proofErr w:type="spellStart"/>
      <w:r w:rsidRPr="00A51BC5">
        <w:rPr>
          <w:rFonts w:asciiTheme="majorBidi" w:hAnsiTheme="majorBidi" w:cstheme="majorBidi"/>
          <w:i/>
          <w:iCs/>
        </w:rPr>
        <w:t>M</w:t>
      </w:r>
      <w:r w:rsidRPr="00A51BC5">
        <w:rPr>
          <w:rFonts w:asciiTheme="majorBidi" w:hAnsiTheme="majorBidi" w:cstheme="majorBidi"/>
          <w:i/>
          <w:iCs/>
          <w:vertAlign w:val="subscript"/>
        </w:rPr>
        <w:t>di</w:t>
      </w:r>
      <w:proofErr w:type="spellEnd"/>
      <w:r w:rsidRPr="00A51BC5">
        <w:rPr>
          <w:rFonts w:asciiTheme="majorBidi" w:hAnsiTheme="majorBidi" w:cstheme="majorBidi"/>
          <w:i/>
          <w:iCs/>
          <w:vertAlign w:val="subscript"/>
        </w:rPr>
        <w:t xml:space="preserve"> </w:t>
      </w:r>
      <w:r w:rsidRPr="00A51BC5">
        <w:rPr>
          <w:rFonts w:asciiTheme="majorBidi" w:hAnsiTheme="majorBidi" w:cstheme="majorBidi"/>
        </w:rPr>
        <w:t xml:space="preserve">are the mean and median ranks respectively of the </w:t>
      </w:r>
      <w:proofErr w:type="spellStart"/>
      <w:r w:rsidRPr="00A51BC5">
        <w:rPr>
          <w:rFonts w:asciiTheme="majorBidi" w:hAnsiTheme="majorBidi" w:cstheme="majorBidi"/>
          <w:i/>
          <w:iCs/>
        </w:rPr>
        <w:t>i</w:t>
      </w:r>
      <w:r w:rsidRPr="00A51BC5">
        <w:rPr>
          <w:rFonts w:asciiTheme="majorBidi" w:hAnsiTheme="majorBidi" w:cstheme="majorBidi"/>
        </w:rPr>
        <w:t>th</w:t>
      </w:r>
      <w:proofErr w:type="spellEnd"/>
      <w:r w:rsidRPr="00A51BC5">
        <w:rPr>
          <w:rFonts w:asciiTheme="majorBidi" w:hAnsiTheme="majorBidi" w:cstheme="majorBidi"/>
        </w:rPr>
        <w:t xml:space="preserve"> genotype in the </w:t>
      </w:r>
      <w:proofErr w:type="spellStart"/>
      <w:r w:rsidRPr="00A51BC5">
        <w:rPr>
          <w:rFonts w:asciiTheme="majorBidi" w:hAnsiTheme="majorBidi" w:cstheme="majorBidi"/>
          <w:i/>
          <w:iCs/>
        </w:rPr>
        <w:t>j</w:t>
      </w:r>
      <w:r w:rsidRPr="00A51BC5">
        <w:rPr>
          <w:rFonts w:asciiTheme="majorBidi" w:hAnsiTheme="majorBidi" w:cstheme="majorBidi"/>
        </w:rPr>
        <w:t>th</w:t>
      </w:r>
      <w:proofErr w:type="spellEnd"/>
      <w:r w:rsidRPr="00A51BC5">
        <w:rPr>
          <w:rFonts w:asciiTheme="majorBidi" w:hAnsiTheme="majorBidi" w:cstheme="majorBidi"/>
        </w:rPr>
        <w:t xml:space="preserve"> environment, while </w:t>
      </w:r>
      <m:oMath>
        <m:sSubSup>
          <m:sSubSupPr>
            <m:ctrlPr>
              <w:rPr>
                <w:rFonts w:ascii="Cambria Math" w:hAnsi="Cambria Math" w:cstheme="majorBidi"/>
                <w:i/>
              </w:rPr>
            </m:ctrlPr>
          </m:sSubSupPr>
          <m:e>
            <m:r>
              <w:rPr>
                <w:rFonts w:ascii="Cambria Math" w:hAnsi="Cambria Math" w:cstheme="majorBidi"/>
              </w:rPr>
              <m:t>r</m:t>
            </m:r>
          </m:e>
          <m:sub>
            <m:r>
              <w:rPr>
                <w:rFonts w:ascii="Cambria Math" w:hAnsi="Cambria Math" w:cstheme="majorBidi"/>
              </w:rPr>
              <m:t>i</m:t>
            </m:r>
          </m:sub>
          <m:sup>
            <m:r>
              <w:rPr>
                <w:rFonts w:ascii="Cambria Math" w:hAnsi="Cambria Math" w:cstheme="majorBidi"/>
              </w:rPr>
              <m:t>*</m:t>
            </m:r>
          </m:sup>
        </m:sSubSup>
        <m:r>
          <w:rPr>
            <w:rFonts w:ascii="Cambria Math" w:hAnsi="Cambria Math" w:cstheme="majorBidi"/>
          </w:rPr>
          <m:t xml:space="preserve"> </m:t>
        </m:r>
      </m:oMath>
      <w:r w:rsidRPr="00A51BC5">
        <w:rPr>
          <w:rFonts w:asciiTheme="majorBidi" w:hAnsiTheme="majorBidi" w:cstheme="majorBidi"/>
        </w:rPr>
        <w:t xml:space="preserve">and </w:t>
      </w:r>
      <m:oMath>
        <m:sSubSup>
          <m:sSubSupPr>
            <m:ctrlPr>
              <w:rPr>
                <w:rFonts w:ascii="Cambria Math" w:hAnsi="Cambria Math" w:cstheme="majorBidi"/>
                <w:i/>
              </w:rPr>
            </m:ctrlPr>
          </m:sSubSupPr>
          <m:e>
            <m:r>
              <w:rPr>
                <w:rFonts w:ascii="Cambria Math" w:hAnsi="Cambria Math" w:cstheme="majorBidi"/>
              </w:rPr>
              <m:t>M</m:t>
            </m:r>
          </m:e>
          <m:sub>
            <m:r>
              <w:rPr>
                <w:rFonts w:ascii="Cambria Math" w:hAnsi="Cambria Math" w:cstheme="majorBidi"/>
              </w:rPr>
              <m:t>di</m:t>
            </m:r>
          </m:sub>
          <m:sup>
            <m:r>
              <w:rPr>
                <w:rFonts w:ascii="Cambria Math" w:hAnsi="Cambria Math" w:cstheme="majorBidi"/>
              </w:rPr>
              <m:t>*</m:t>
            </m:r>
          </m:sup>
        </m:sSubSup>
      </m:oMath>
      <w:r w:rsidRPr="00A51BC5">
        <w:rPr>
          <w:rFonts w:asciiTheme="majorBidi" w:hAnsiTheme="majorBidi" w:cstheme="majorBidi"/>
        </w:rPr>
        <w:t xml:space="preserve">are obtained from the corrected </w:t>
      </w:r>
      <w:proofErr w:type="spellStart"/>
      <w:r w:rsidRPr="00A51BC5">
        <w:rPr>
          <w:rFonts w:asciiTheme="majorBidi" w:hAnsiTheme="majorBidi" w:cstheme="majorBidi"/>
          <w:i/>
          <w:iCs/>
        </w:rPr>
        <w:t>X</w:t>
      </w:r>
      <w:r w:rsidRPr="00A51BC5">
        <w:rPr>
          <w:rFonts w:asciiTheme="majorBidi" w:hAnsiTheme="majorBidi" w:cstheme="majorBidi"/>
          <w:i/>
          <w:iCs/>
          <w:vertAlign w:val="subscript"/>
        </w:rPr>
        <w:t>ij</w:t>
      </w:r>
      <w:proofErr w:type="spellEnd"/>
      <w:r w:rsidRPr="00A51BC5">
        <w:rPr>
          <w:rFonts w:asciiTheme="majorBidi" w:hAnsiTheme="majorBidi" w:cstheme="majorBidi"/>
        </w:rPr>
        <w:t>.</w:t>
      </w:r>
    </w:p>
    <w:p w14:paraId="7D1FCE87"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b/>
          <w:bCs/>
        </w:rPr>
        <w:t xml:space="preserve">Rank-sum </w:t>
      </w:r>
    </w:p>
    <w:p w14:paraId="4843118B" w14:textId="09AF4491"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Kang’s rank-sum (RSM) </w:t>
      </w:r>
      <w:r w:rsidR="00164203" w:rsidRPr="00A51BC5">
        <w:rPr>
          <w:color w:val="000000"/>
        </w:rPr>
        <w:t xml:space="preserve">Yield stability index </w:t>
      </w:r>
      <w:r w:rsidRPr="00A51BC5">
        <w:rPr>
          <w:rFonts w:asciiTheme="majorBidi" w:hAnsiTheme="majorBidi" w:cstheme="majorBidi"/>
        </w:rPr>
        <w:t>suggested 3 selection criteria; rank sum (RSM), modified rank sum (MRSM), and statistical yield stability (</w:t>
      </w:r>
      <w:proofErr w:type="spellStart"/>
      <w:r w:rsidRPr="00A51BC5">
        <w:rPr>
          <w:rFonts w:asciiTheme="majorBidi" w:hAnsiTheme="majorBidi" w:cstheme="majorBidi"/>
        </w:rPr>
        <w:t>YSi</w:t>
      </w:r>
      <w:proofErr w:type="spellEnd"/>
      <w:r w:rsidRPr="00A51BC5">
        <w:rPr>
          <w:rFonts w:asciiTheme="majorBidi" w:hAnsiTheme="majorBidi" w:cstheme="majorBidi"/>
        </w:rPr>
        <w:t xml:space="preserve">) (YSi1 and YSi2 are two rank sum statistics that result from sum rank of both yield and Si1 and Si2). In this method, both yield and Shukla’s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&lt;EndNote&gt;&lt;Cite&gt;&lt;Author&gt;Shukla&lt;/Author&gt;&lt;Year&gt;1972&lt;/Year&gt;&lt;RecNum&gt;2179&lt;/RecNum&gt;&lt;DisplayText&gt;(Shukla, 1972)&lt;/DisplayText&gt;&lt;record&gt;&lt;rec-number&gt;2179&lt;/rec-number&gt;&lt;foreign-keys&gt;&lt;key app="EN" db-id="2x9evwr2lvas5eevfp6v5eea2rfv5faevsdz" timestamp="1683804177" guid="e136593d-50e2-4774-a408-e9fe692c9138"&gt;2179&lt;/key&gt;&lt;/foreign-keys&gt;&lt;ref-type name="Journal Article"&gt;17&lt;/ref-type&gt;&lt;contributors&gt;&lt;authors&gt;&lt;author&gt;Shukla, G. K.&lt;/author&gt;&lt;/authors&gt;&lt;/contributors&gt;&lt;titles&gt;&lt;title&gt;Some statistical aspects of partitioning genotype-environmental components of variability&lt;/title&gt;&lt;secondary-title&gt;Heredity (Edinb)&lt;/secondary-title&gt;&lt;/titles&gt;&lt;pages&gt;237-45&lt;/pages&gt;&lt;volume&gt;29&lt;/volume&gt;&lt;number&gt;2&lt;/number&gt;&lt;edition&gt;1972/10/01&lt;/edition&gt;&lt;keywords&gt;&lt;keyword&gt;Analysis of Variance&lt;/keyword&gt;&lt;keyword&gt;*Environment&lt;/keyword&gt;&lt;keyword&gt;*Genotype&lt;/keyword&gt;&lt;keyword&gt;Mathematics&lt;/keyword&gt;&lt;keyword&gt;Models, Biological&lt;/keyword&gt;&lt;keyword&gt;Polymorphism, Genetic&lt;/keyword&gt;&lt;/keywords&gt;&lt;dates&gt;&lt;year&gt;1972&lt;/year&gt;&lt;pub-dates&gt;&lt;date&gt;Oct&lt;/date&gt;&lt;/pub-dates&gt;&lt;/dates&gt;&lt;isbn&gt;0018-067X (Print)&amp;#xD;0018-067X (Linking)&lt;/isbn&gt;&lt;accession-num&gt;4507945&lt;/accession-num&gt;&lt;urls&gt;&lt;related-urls&gt;&lt;url&gt;https://www.ncbi.nlm.nih.gov/pubmed/4507945&lt;/url&gt;&lt;/related-urls&gt;&lt;/urls&gt;&lt;electronic-resource-num&gt;10.1038/hdy.1972.87&lt;/electronic-resource-num&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(Shukla, 1972)</w:t>
      </w:r>
      <w:r w:rsidRPr="00A51BC5">
        <w:rPr>
          <w:rFonts w:asciiTheme="majorBidi" w:hAnsiTheme="majorBidi" w:cstheme="majorBidi"/>
          <w:color w:val="0432FF"/>
        </w:rPr>
        <w:fldChar w:fldCharType="end"/>
      </w:r>
      <w:r w:rsidRPr="00A51BC5">
        <w:rPr>
          <w:rFonts w:asciiTheme="majorBidi" w:hAnsiTheme="majorBidi" w:cstheme="majorBidi"/>
        </w:rPr>
        <w:t xml:space="preserve"> stability variance are used as selection criteria. </w:t>
      </w:r>
    </w:p>
    <w:p w14:paraId="5004EF1E"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proofErr w:type="spellStart"/>
      <w:r w:rsidRPr="00A51BC5">
        <w:rPr>
          <w:rFonts w:asciiTheme="majorBidi" w:hAnsiTheme="majorBidi" w:cstheme="majorBidi"/>
          <w:b/>
          <w:bCs/>
        </w:rPr>
        <w:t>Ketata’s</w:t>
      </w:r>
      <w:proofErr w:type="spellEnd"/>
      <w:r w:rsidRPr="00A51BC5">
        <w:rPr>
          <w:rFonts w:asciiTheme="majorBidi" w:hAnsiTheme="majorBidi" w:cstheme="majorBidi"/>
          <w:b/>
          <w:bCs/>
        </w:rPr>
        <w:t xml:space="preserve"> ranking method</w:t>
      </w:r>
    </w:p>
    <w:p w14:paraId="685621C5"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proofErr w:type="spellStart"/>
      <w:r w:rsidRPr="00A51BC5">
        <w:rPr>
          <w:rFonts w:asciiTheme="majorBidi" w:hAnsiTheme="majorBidi" w:cstheme="majorBidi"/>
        </w:rPr>
        <w:t>Ketata</w:t>
      </w:r>
      <w:proofErr w:type="spellEnd"/>
      <w:r w:rsidRPr="00A51BC5">
        <w:rPr>
          <w:rFonts w:asciiTheme="majorBidi" w:hAnsiTheme="majorBidi" w:cstheme="majorBidi"/>
        </w:rPr>
        <w:t xml:space="preserve"> et al.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&lt;EndNote&gt;&lt;Cite&gt;&lt;Author&gt;Ketata&lt;/Author&gt;&lt;Year&gt;1989&lt;/Year&gt;&lt;RecNum&gt;2191&lt;/RecNum&gt;&lt;DisplayText&gt;(Ketata, 1989)&lt;/DisplayText&gt;&lt;record&gt;&lt;rec-number&gt;2191&lt;/rec-number&gt;&lt;foreign-keys&gt;&lt;key app="EN" db-id="2x9evwr2lvas5eevfp6v5eea2rfv5faevsdz" timestamp="1683896778" guid="cd1ad7d6-bb1a-44c1-b8e1-3f1a223dd215"&gt;2191&lt;/key&gt;&lt;/foreign-keys&gt;&lt;ref-type name="Conference Proceedings"&gt;10&lt;/ref-type&gt;&lt;contributors&gt;&lt;authors&gt;&lt;author&gt;Ketata, H., S. Yan, and N. Nachit. &lt;/author&gt;&lt;/authors&gt;&lt;/contributors&gt;&lt;titles&gt;&lt;title&gt;Relative consistency performance across environments&lt;/title&gt;&lt;secondary-title&gt;International Symposium on Physiology and Breeding of Winter Cereals for stressed Mediterranean Environments&lt;/secondary-title&gt;&lt;/titles&gt;&lt;dates&gt;&lt;year&gt;1989&lt;/year&gt;&lt;/dates&gt;&lt;pub-location&gt;Montpellier&lt;/pub-location&gt;&lt;urls&gt;&lt;/urls&gt;&lt;/record&gt;&lt;/Cite&gt;&lt;/EndNote&gt;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(Ketata, 1989)</w:t>
      </w:r>
      <w:r w:rsidRPr="00A51BC5">
        <w:rPr>
          <w:rFonts w:asciiTheme="majorBidi" w:hAnsiTheme="majorBidi" w:cstheme="majorBidi"/>
          <w:color w:val="0432FF"/>
        </w:rPr>
        <w:fldChar w:fldCharType="end"/>
      </w:r>
      <w:r w:rsidRPr="00A51BC5">
        <w:rPr>
          <w:rFonts w:asciiTheme="majorBidi" w:hAnsiTheme="majorBidi" w:cstheme="majorBidi"/>
        </w:rPr>
        <w:t xml:space="preserve"> proposed rank (</w:t>
      </w:r>
      <w:proofErr w:type="spellStart"/>
      <w:r w:rsidRPr="00A51BC5">
        <w:rPr>
          <w:rFonts w:asciiTheme="majorBidi" w:hAnsiTheme="majorBidi" w:cstheme="majorBidi"/>
        </w:rPr>
        <w:t>kr</w:t>
      </w:r>
      <w:proofErr w:type="spellEnd"/>
      <w:r w:rsidRPr="00A51BC5">
        <w:rPr>
          <w:rFonts w:asciiTheme="majorBidi" w:hAnsiTheme="majorBidi" w:cstheme="majorBidi"/>
        </w:rPr>
        <w:t>) method, plotting mean rank across environments against standard deviation (</w:t>
      </w:r>
      <w:proofErr w:type="spellStart"/>
      <w:r w:rsidRPr="00A51BC5">
        <w:rPr>
          <w:rFonts w:asciiTheme="majorBidi" w:hAnsiTheme="majorBidi" w:cstheme="majorBidi"/>
        </w:rPr>
        <w:t>δ</w:t>
      </w:r>
      <w:r w:rsidRPr="00A51BC5">
        <w:rPr>
          <w:rFonts w:asciiTheme="majorBidi" w:hAnsiTheme="majorBidi" w:cstheme="majorBidi"/>
          <w:vertAlign w:val="subscript"/>
        </w:rPr>
        <w:t>r</w:t>
      </w:r>
      <w:proofErr w:type="spellEnd"/>
      <w:r w:rsidRPr="00A51BC5">
        <w:rPr>
          <w:rFonts w:asciiTheme="majorBidi" w:hAnsiTheme="majorBidi" w:cstheme="majorBidi"/>
        </w:rPr>
        <w:t>) for all genotypes, or plotting mean grain yield (</w:t>
      </w:r>
      <w:proofErr w:type="spellStart"/>
      <w:r w:rsidRPr="00A51BC5">
        <w:rPr>
          <w:rFonts w:asciiTheme="majorBidi" w:hAnsiTheme="majorBidi" w:cstheme="majorBidi"/>
        </w:rPr>
        <w:t>g</w:t>
      </w:r>
      <w:r w:rsidRPr="00A51BC5">
        <w:rPr>
          <w:rFonts w:asciiTheme="majorBidi" w:hAnsiTheme="majorBidi" w:cstheme="majorBidi"/>
          <w:vertAlign w:val="subscript"/>
        </w:rPr>
        <w:t>y</w:t>
      </w:r>
      <w:proofErr w:type="spellEnd"/>
      <w:r w:rsidRPr="00A51BC5">
        <w:rPr>
          <w:rFonts w:asciiTheme="majorBidi" w:hAnsiTheme="majorBidi" w:cstheme="majorBidi"/>
        </w:rPr>
        <w:t xml:space="preserve">), across </w:t>
      </w:r>
      <w:r w:rsidRPr="00A51BC5">
        <w:rPr>
          <w:rFonts w:asciiTheme="majorBidi" w:hAnsiTheme="majorBidi" w:cstheme="majorBidi"/>
        </w:rPr>
        <w:lastRenderedPageBreak/>
        <w:t>environments against standard deviation (</w:t>
      </w:r>
      <w:proofErr w:type="spellStart"/>
      <w:r w:rsidRPr="00A51BC5">
        <w:rPr>
          <w:rFonts w:asciiTheme="majorBidi" w:hAnsiTheme="majorBidi" w:cstheme="majorBidi"/>
        </w:rPr>
        <w:t>σ</w:t>
      </w:r>
      <w:r w:rsidRPr="00A51BC5">
        <w:rPr>
          <w:rFonts w:asciiTheme="majorBidi" w:hAnsiTheme="majorBidi" w:cstheme="majorBidi"/>
          <w:vertAlign w:val="subscript"/>
        </w:rPr>
        <w:t>gy</w:t>
      </w:r>
      <w:proofErr w:type="spellEnd"/>
      <w:r w:rsidRPr="00A51BC5">
        <w:rPr>
          <w:rFonts w:asciiTheme="majorBidi" w:hAnsiTheme="majorBidi" w:cstheme="majorBidi"/>
        </w:rPr>
        <w:t>) of ranks for all genotypes</w:t>
      </w:r>
    </w:p>
    <w:p w14:paraId="4B5A7488" w14:textId="77777777" w:rsidR="009756F2" w:rsidRPr="00A51BC5"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 xml:space="preserve">A genotype is considered stable if its </w:t>
      </w:r>
      <w:proofErr w:type="spellStart"/>
      <w:r w:rsidRPr="00A51BC5">
        <w:rPr>
          <w:rFonts w:asciiTheme="majorBidi" w:hAnsiTheme="majorBidi" w:cstheme="majorBidi"/>
        </w:rPr>
        <w:t>kr</w:t>
      </w:r>
      <w:proofErr w:type="spellEnd"/>
      <w:r w:rsidRPr="00A51BC5">
        <w:rPr>
          <w:rFonts w:asciiTheme="majorBidi" w:hAnsiTheme="majorBidi" w:cstheme="majorBidi"/>
        </w:rPr>
        <w:t xml:space="preserve"> or </w:t>
      </w:r>
      <w:proofErr w:type="spellStart"/>
      <w:r w:rsidRPr="00A51BC5">
        <w:rPr>
          <w:rFonts w:asciiTheme="majorBidi" w:hAnsiTheme="majorBidi" w:cstheme="majorBidi"/>
        </w:rPr>
        <w:t>gy</w:t>
      </w:r>
      <w:proofErr w:type="spellEnd"/>
      <w:r w:rsidRPr="00A51BC5">
        <w:rPr>
          <w:rFonts w:asciiTheme="majorBidi" w:hAnsiTheme="majorBidi" w:cstheme="majorBidi"/>
        </w:rPr>
        <w:t xml:space="preserve"> value is relatively consistent in all the environments. i.e., showing low </w:t>
      </w:r>
      <w:proofErr w:type="spellStart"/>
      <w:r w:rsidRPr="00A51BC5">
        <w:rPr>
          <w:rFonts w:asciiTheme="majorBidi" w:hAnsiTheme="majorBidi" w:cstheme="majorBidi"/>
        </w:rPr>
        <w:t>kr</w:t>
      </w:r>
      <w:proofErr w:type="spellEnd"/>
      <w:r w:rsidRPr="00A51BC5">
        <w:rPr>
          <w:rFonts w:asciiTheme="majorBidi" w:hAnsiTheme="majorBidi" w:cstheme="majorBidi"/>
        </w:rPr>
        <w:t xml:space="preserve"> or high </w:t>
      </w:r>
      <w:proofErr w:type="spellStart"/>
      <w:r w:rsidRPr="00A51BC5">
        <w:rPr>
          <w:rFonts w:asciiTheme="majorBidi" w:hAnsiTheme="majorBidi" w:cstheme="majorBidi"/>
        </w:rPr>
        <w:t>gy</w:t>
      </w:r>
      <w:proofErr w:type="spellEnd"/>
      <w:r w:rsidRPr="00A51BC5">
        <w:rPr>
          <w:rFonts w:asciiTheme="majorBidi" w:hAnsiTheme="majorBidi" w:cstheme="majorBidi"/>
        </w:rPr>
        <w:t xml:space="preserve"> and having a low </w:t>
      </w:r>
      <w:proofErr w:type="spellStart"/>
      <w:r w:rsidRPr="00A51BC5">
        <w:rPr>
          <w:rFonts w:asciiTheme="majorBidi" w:hAnsiTheme="majorBidi" w:cstheme="majorBidi"/>
        </w:rPr>
        <w:t>σ</w:t>
      </w:r>
      <w:r w:rsidRPr="00A51BC5">
        <w:rPr>
          <w:rFonts w:asciiTheme="majorBidi" w:hAnsiTheme="majorBidi" w:cstheme="majorBidi"/>
          <w:vertAlign w:val="subscript"/>
        </w:rPr>
        <w:t>r</w:t>
      </w:r>
      <w:proofErr w:type="spellEnd"/>
      <w:r w:rsidRPr="00A51BC5">
        <w:rPr>
          <w:rFonts w:asciiTheme="majorBidi" w:hAnsiTheme="majorBidi" w:cstheme="majorBidi"/>
        </w:rPr>
        <w:t xml:space="preserve">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&lt;EndNote&gt;&lt;Cite&gt;&lt;Author&gt;Flores&lt;/Author&gt;&lt;Year&gt;1998&lt;/Year&gt;&lt;RecNum&gt;2221&lt;/RecNum&gt;&lt;DisplayText&gt;(Flores et al., 1998)&lt;/DisplayText&gt;&lt;record&gt;&lt;rec-number&gt;2221&lt;/rec-number&gt;&lt;foreign-keys&gt;&lt;key app="EN" db-id="2x9evwr2lvas5eevfp6v5eea2rfv5faevsdz" timestamp="1694171914" guid="07a0cb0d-603b-4dea-a56f-e86a5014a75b"&gt;2221&lt;/key&gt;&lt;/foreign-keys&gt;&lt;ref-type name="Journal Article"&gt;17&lt;/ref-type&gt;&lt;contributors&gt;&lt;authors&gt;&lt;author&gt;Flores, F.&lt;/author&gt;&lt;author&gt;Moreno, M. T.&lt;/author&gt;&lt;author&gt;Cubero, J. I.&lt;/author&gt;&lt;/authors&gt;&lt;/contributors&gt;&lt;titles&gt;&lt;title&gt;A comparison of univariate and multivariate methods to analyze G×E interaction&lt;/title&gt;&lt;secondary-title&gt;Field Crops Research&lt;/secondary-title&gt;&lt;/titles&gt;&lt;periodical&gt;&lt;full-title&gt;Field Crops Research&lt;/full-title&gt;&lt;/periodical&gt;&lt;pages&gt;271-286&lt;/pages&gt;&lt;volume&gt;56&lt;/volume&gt;&lt;number&gt;3&lt;/number&gt;&lt;section&gt;271&lt;/section&gt;&lt;keywords&gt;&lt;keyword&gt;Genotype–environment interaction&lt;/keyword&gt;&lt;keyword&gt;Principal components analysis&lt;/keyword&gt;&lt;keyword&gt;Stability&lt;/keyword&gt;&lt;keyword&gt;Yield&lt;/keyword&gt;&lt;/keywords&gt;&lt;dates&gt;&lt;year&gt;1998&lt;/year&gt;&lt;pub-dates&gt;&lt;date&gt;1998/04/01/&lt;/date&gt;&lt;/pub-dates&gt;&lt;/dates&gt;&lt;isbn&gt;03784290&lt;/isbn&gt;&lt;urls&gt;&lt;related-urls&gt;&lt;url&gt;https://www.sciencedirect.com/science/article/pii/S0378429097000956&lt;/url&gt;&lt;/related-urls&gt;&lt;/urls&gt;&lt;electronic-resource-num&gt;10.1016/s0378-4290(97)00095-6&lt;/electronic-resource-num&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(Flores et al., 1998)</w:t>
      </w:r>
      <w:r w:rsidRPr="00A51BC5">
        <w:rPr>
          <w:rFonts w:asciiTheme="majorBidi" w:hAnsiTheme="majorBidi" w:cstheme="majorBidi"/>
          <w:color w:val="0432FF"/>
        </w:rPr>
        <w:fldChar w:fldCharType="end"/>
      </w:r>
      <w:r w:rsidRPr="00A51BC5">
        <w:rPr>
          <w:rFonts w:asciiTheme="majorBidi" w:hAnsiTheme="majorBidi" w:cstheme="majorBidi"/>
        </w:rPr>
        <w:t xml:space="preserve">. The </w:t>
      </w:r>
      <w:proofErr w:type="spellStart"/>
      <w:r w:rsidRPr="00A51BC5">
        <w:rPr>
          <w:rFonts w:asciiTheme="majorBidi" w:hAnsiTheme="majorBidi" w:cstheme="majorBidi"/>
        </w:rPr>
        <w:t>σr</w:t>
      </w:r>
      <w:proofErr w:type="spellEnd"/>
      <w:r w:rsidRPr="00A51BC5">
        <w:rPr>
          <w:rFonts w:asciiTheme="majorBidi" w:hAnsiTheme="majorBidi" w:cstheme="majorBidi"/>
        </w:rPr>
        <w:t>, calculated from the yield rank of genotypes in each environment (</w:t>
      </w:r>
      <w:proofErr w:type="spellStart"/>
      <w:r w:rsidRPr="00A51BC5">
        <w:rPr>
          <w:rFonts w:asciiTheme="majorBidi" w:hAnsiTheme="majorBidi" w:cstheme="majorBidi"/>
        </w:rPr>
        <w:t>r</w:t>
      </w:r>
      <w:r w:rsidRPr="00A51BC5">
        <w:rPr>
          <w:rFonts w:asciiTheme="majorBidi" w:hAnsiTheme="majorBidi" w:cstheme="majorBidi"/>
          <w:vertAlign w:val="subscript"/>
        </w:rPr>
        <w:t>ij</w:t>
      </w:r>
      <w:proofErr w:type="spellEnd"/>
      <w:r w:rsidRPr="00A51BC5">
        <w:rPr>
          <w:rFonts w:asciiTheme="majorBidi" w:hAnsiTheme="majorBidi" w:cstheme="majorBidi"/>
        </w:rPr>
        <w:t>) based on the uncorrected mean yield values (</w:t>
      </w:r>
      <w:proofErr w:type="spellStart"/>
      <w:r w:rsidRPr="00A51BC5">
        <w:rPr>
          <w:rFonts w:asciiTheme="majorBidi" w:hAnsiTheme="majorBidi" w:cstheme="majorBidi"/>
        </w:rPr>
        <w:t>X</w:t>
      </w:r>
      <w:r w:rsidRPr="00A51BC5">
        <w:rPr>
          <w:rFonts w:asciiTheme="majorBidi" w:hAnsiTheme="majorBidi" w:cstheme="majorBidi"/>
          <w:vertAlign w:val="subscript"/>
        </w:rPr>
        <w:t>ij</w:t>
      </w:r>
      <w:proofErr w:type="spellEnd"/>
      <w:r w:rsidRPr="00A51BC5">
        <w:rPr>
          <w:rFonts w:asciiTheme="majorBidi" w:hAnsiTheme="majorBidi" w:cstheme="majorBidi"/>
        </w:rPr>
        <w:t>), is expressed as</w:t>
      </w:r>
    </w:p>
    <w:p w14:paraId="683569CF" w14:textId="77777777" w:rsidR="009756F2" w:rsidRPr="00A51BC5" w:rsidRDefault="00000000" w:rsidP="009756F2">
      <w:pPr>
        <w:spacing w:line="360" w:lineRule="auto"/>
        <w:jc w:val="both"/>
        <w:rPr>
          <w:rFonts w:asciiTheme="minorBidi" w:hAnsiTheme="minorBidi"/>
        </w:rPr>
      </w:pPr>
      <m:oMathPara>
        <m:oMathParaPr>
          <m:jc m:val="left"/>
        </m:oMathParaPr>
        <m:oMath>
          <m:sSub>
            <m:sSubPr>
              <m:ctrlPr>
                <w:rPr>
                  <w:rFonts w:ascii="Cambria Math" w:hAnsi="Cambria Math"/>
                  <w:i/>
                </w:rPr>
              </m:ctrlPr>
            </m:sSubPr>
            <m:e>
              <m:r>
                <m:rPr>
                  <m:sty m:val="p"/>
                </m:rPr>
                <w:rPr>
                  <w:rFonts w:ascii="Cambria Math" w:hAnsi="Cambria Math" w:cstheme="majorBidi"/>
                </w:rPr>
                <m:t>δ</m:t>
              </m:r>
            </m:e>
            <m:sub>
              <m:r>
                <w:rPr>
                  <w:rFonts w:ascii="Cambria Math" w:hAnsi="Cambria Math"/>
                </w:rPr>
                <m:t xml:space="preserve">r </m:t>
              </m:r>
            </m:sub>
          </m:sSub>
          <m:r>
            <w:rPr>
              <w:rFonts w:ascii="Cambria Math" w:hAnsi="Cambria Math"/>
            </w:rPr>
            <m:t>=</m:t>
          </m:r>
          <m:f>
            <m:fPr>
              <m:ctrlPr>
                <w:rPr>
                  <w:rFonts w:ascii="Cambria Math" w:hAnsi="Cambria Math"/>
                  <w:i/>
                </w:rPr>
              </m:ctrlPr>
            </m:fPr>
            <m:num>
              <m:rad>
                <m:radPr>
                  <m:degHide m:val="1"/>
                  <m:ctrlPr>
                    <w:rPr>
                      <w:rFonts w:ascii="Cambria Math" w:hAnsi="Cambria Math"/>
                      <w:i/>
                    </w:rPr>
                  </m:ctrlPr>
                </m:radPr>
                <m:deg/>
                <m:e>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r>
                        <w:rPr>
                          <w:rFonts w:ascii="Cambria Math" w:hAnsi="Cambria Math"/>
                        </w:rPr>
                        <m:t xml:space="preserve"> </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 xml:space="preserve">ij </m:t>
                              </m:r>
                            </m:sub>
                          </m:sSub>
                          <m:r>
                            <w:rPr>
                              <w:rFonts w:ascii="Cambria Math" w:hAnsi="Cambria Math"/>
                            </w:rPr>
                            <m:t xml:space="preserve">- </m:t>
                          </m:r>
                          <m:sSub>
                            <m:sSubPr>
                              <m:ctrlPr>
                                <w:rPr>
                                  <w:rFonts w:ascii="Cambria Math" w:hAnsi="Cambria Math"/>
                                  <w:i/>
                                </w:rPr>
                              </m:ctrlPr>
                            </m:sSubPr>
                            <m:e>
                              <m:bar>
                                <m:barPr>
                                  <m:pos m:val="top"/>
                                  <m:ctrlPr>
                                    <w:rPr>
                                      <w:rFonts w:ascii="Cambria Math" w:hAnsi="Cambria Math"/>
                                      <w:i/>
                                    </w:rPr>
                                  </m:ctrlPr>
                                </m:barPr>
                                <m:e>
                                  <m:r>
                                    <w:rPr>
                                      <w:rFonts w:ascii="Cambria Math" w:hAnsi="Cambria Math"/>
                                    </w:rPr>
                                    <m:t>r</m:t>
                                  </m:r>
                                </m:e>
                              </m:bar>
                            </m:e>
                            <m:sub>
                              <m:r>
                                <w:rPr>
                                  <w:rFonts w:ascii="Cambria Math" w:hAnsi="Cambria Math"/>
                                </w:rPr>
                                <m:t xml:space="preserve">i. </m:t>
                              </m:r>
                            </m:sub>
                          </m:sSub>
                          <m:r>
                            <w:rPr>
                              <w:rFonts w:ascii="Cambria Math" w:hAnsi="Cambria Math"/>
                            </w:rPr>
                            <m:t>)</m:t>
                          </m:r>
                        </m:e>
                        <m:sup>
                          <m:r>
                            <w:rPr>
                              <w:rFonts w:ascii="Cambria Math" w:hAnsi="Cambria Math"/>
                            </w:rPr>
                            <m:t>2</m:t>
                          </m:r>
                        </m:sup>
                      </m:sSup>
                    </m:e>
                  </m:nary>
                </m:e>
              </m:rad>
            </m:num>
            <m:den>
              <m:r>
                <w:rPr>
                  <w:rFonts w:ascii="Cambria Math" w:hAnsi="Cambria Math"/>
                </w:rPr>
                <m:t>n-1</m:t>
              </m:r>
            </m:den>
          </m:f>
        </m:oMath>
      </m:oMathPara>
    </w:p>
    <w:p w14:paraId="64291352" w14:textId="77777777" w:rsidR="009756F2" w:rsidRPr="00A51BC5" w:rsidRDefault="009756F2" w:rsidP="009756F2">
      <w:pPr>
        <w:spacing w:line="360" w:lineRule="auto"/>
        <w:jc w:val="both"/>
        <w:rPr>
          <w:rFonts w:asciiTheme="majorBidi" w:hAnsiTheme="majorBidi" w:cstheme="majorBidi"/>
        </w:rPr>
      </w:pPr>
      <w:r w:rsidRPr="00A51BC5">
        <w:rPr>
          <w:rFonts w:asciiTheme="majorBidi" w:hAnsiTheme="majorBidi" w:cstheme="majorBidi"/>
        </w:rPr>
        <w:t xml:space="preserve">The </w:t>
      </w:r>
      <w:proofErr w:type="spellStart"/>
      <w:r w:rsidRPr="00A51BC5">
        <w:rPr>
          <w:rFonts w:asciiTheme="majorBidi" w:hAnsiTheme="majorBidi" w:cstheme="majorBidi"/>
        </w:rPr>
        <w:t>σgy</w:t>
      </w:r>
      <w:proofErr w:type="spellEnd"/>
      <w:r w:rsidRPr="00A51BC5">
        <w:rPr>
          <w:rFonts w:asciiTheme="majorBidi" w:hAnsiTheme="majorBidi" w:cstheme="majorBidi"/>
        </w:rPr>
        <w:t>, calculated from the grain yield of genotypes in each environment (</w:t>
      </w:r>
      <w:proofErr w:type="spellStart"/>
      <w:r w:rsidRPr="00A51BC5">
        <w:rPr>
          <w:rFonts w:asciiTheme="majorBidi" w:hAnsiTheme="majorBidi" w:cstheme="majorBidi"/>
        </w:rPr>
        <w:t>gy</w:t>
      </w:r>
      <w:r w:rsidRPr="00A51BC5">
        <w:rPr>
          <w:rFonts w:asciiTheme="majorBidi" w:hAnsiTheme="majorBidi" w:cstheme="majorBidi"/>
          <w:vertAlign w:val="subscript"/>
        </w:rPr>
        <w:t>ij</w:t>
      </w:r>
      <w:proofErr w:type="spellEnd"/>
      <w:r w:rsidRPr="00A51BC5">
        <w:rPr>
          <w:rFonts w:asciiTheme="majorBidi" w:hAnsiTheme="majorBidi" w:cstheme="majorBidi"/>
        </w:rPr>
        <w:t>) based on the uncorrected mean yield values (</w:t>
      </w:r>
      <w:proofErr w:type="spellStart"/>
      <w:r w:rsidRPr="00A51BC5">
        <w:rPr>
          <w:rFonts w:asciiTheme="majorBidi" w:hAnsiTheme="majorBidi" w:cstheme="majorBidi"/>
        </w:rPr>
        <w:t>X</w:t>
      </w:r>
      <w:r w:rsidRPr="00A51BC5">
        <w:rPr>
          <w:rFonts w:asciiTheme="majorBidi" w:hAnsiTheme="majorBidi" w:cstheme="majorBidi"/>
          <w:vertAlign w:val="subscript"/>
        </w:rPr>
        <w:t>ij</w:t>
      </w:r>
      <w:proofErr w:type="spellEnd"/>
      <w:r w:rsidRPr="00A51BC5">
        <w:rPr>
          <w:rFonts w:asciiTheme="majorBidi" w:hAnsiTheme="majorBidi" w:cstheme="majorBidi"/>
        </w:rPr>
        <w:t>), is expressed as</w:t>
      </w:r>
    </w:p>
    <w:p w14:paraId="16D72AED" w14:textId="77777777" w:rsidR="009756F2" w:rsidRPr="00A51BC5" w:rsidRDefault="009756F2" w:rsidP="009756F2">
      <w:pPr>
        <w:spacing w:line="360" w:lineRule="auto"/>
        <w:jc w:val="both"/>
        <w:rPr>
          <w:rFonts w:asciiTheme="minorBidi" w:hAnsiTheme="minorBidi"/>
        </w:rPr>
      </w:pPr>
      <w:r w:rsidRPr="00A51BC5">
        <w:rPr>
          <w:rFonts w:asciiTheme="minorBidi" w:hAnsiTheme="minorBidi"/>
        </w:rPr>
        <w:t xml:space="preserve"> </w:t>
      </w:r>
      <m:oMath>
        <m:sSub>
          <m:sSubPr>
            <m:ctrlPr>
              <w:rPr>
                <w:rFonts w:ascii="Cambria Math" w:hAnsi="Cambria Math"/>
                <w:i/>
              </w:rPr>
            </m:ctrlPr>
          </m:sSubPr>
          <m:e>
            <m:r>
              <m:rPr>
                <m:sty m:val="p"/>
              </m:rPr>
              <w:rPr>
                <w:rFonts w:ascii="Cambria Math" w:hAnsi="Cambria Math" w:cstheme="majorBidi"/>
              </w:rPr>
              <m:t>σ</m:t>
            </m:r>
          </m:e>
          <m:sub>
            <m:r>
              <w:rPr>
                <w:rFonts w:ascii="Cambria Math" w:hAnsi="Cambria Math"/>
              </w:rPr>
              <m:t xml:space="preserve">gy </m:t>
            </m:r>
          </m:sub>
        </m:sSub>
        <m:r>
          <w:rPr>
            <w:rFonts w:ascii="Cambria Math" w:hAnsi="Cambria Math"/>
          </w:rPr>
          <m:t>=</m:t>
        </m:r>
        <m:f>
          <m:fPr>
            <m:ctrlPr>
              <w:rPr>
                <w:rFonts w:ascii="Cambria Math" w:hAnsi="Cambria Math"/>
                <w:i/>
              </w:rPr>
            </m:ctrlPr>
          </m:fPr>
          <m:num>
            <m:rad>
              <m:radPr>
                <m:degHide m:val="1"/>
                <m:ctrlPr>
                  <w:rPr>
                    <w:rFonts w:ascii="Cambria Math" w:hAnsi="Cambria Math"/>
                    <w:i/>
                  </w:rPr>
                </m:ctrlPr>
              </m:radPr>
              <m:deg/>
              <m:e>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r>
                      <w:rPr>
                        <w:rFonts w:ascii="Cambria Math" w:hAnsi="Cambria Math"/>
                      </w:rPr>
                      <m:t xml:space="preserve"> </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 xml:space="preserve">ij </m:t>
                            </m:r>
                          </m:sub>
                        </m:sSub>
                        <m:r>
                          <w:rPr>
                            <w:rFonts w:ascii="Cambria Math" w:hAnsi="Cambria Math"/>
                          </w:rPr>
                          <m:t xml:space="preserve">- </m:t>
                        </m:r>
                        <m:sSub>
                          <m:sSubPr>
                            <m:ctrlPr>
                              <w:rPr>
                                <w:rFonts w:ascii="Cambria Math" w:hAnsi="Cambria Math"/>
                                <w:i/>
                              </w:rPr>
                            </m:ctrlPr>
                          </m:sSubPr>
                          <m:e>
                            <m:bar>
                              <m:barPr>
                                <m:pos m:val="top"/>
                                <m:ctrlPr>
                                  <w:rPr>
                                    <w:rFonts w:ascii="Cambria Math" w:hAnsi="Cambria Math"/>
                                    <w:i/>
                                  </w:rPr>
                                </m:ctrlPr>
                              </m:barPr>
                              <m:e>
                                <m:r>
                                  <w:rPr>
                                    <w:rFonts w:ascii="Cambria Math" w:hAnsi="Cambria Math"/>
                                  </w:rPr>
                                  <m:t>X</m:t>
                                </m:r>
                              </m:e>
                            </m:bar>
                          </m:e>
                          <m:sub>
                            <m:r>
                              <w:rPr>
                                <w:rFonts w:ascii="Cambria Math" w:hAnsi="Cambria Math"/>
                              </w:rPr>
                              <m:t xml:space="preserve">i. </m:t>
                            </m:r>
                          </m:sub>
                        </m:sSub>
                        <m:r>
                          <w:rPr>
                            <w:rFonts w:ascii="Cambria Math" w:hAnsi="Cambria Math"/>
                          </w:rPr>
                          <m:t>)</m:t>
                        </m:r>
                      </m:e>
                      <m:sup>
                        <m:r>
                          <w:rPr>
                            <w:rFonts w:ascii="Cambria Math" w:hAnsi="Cambria Math"/>
                          </w:rPr>
                          <m:t>2</m:t>
                        </m:r>
                      </m:sup>
                    </m:sSup>
                  </m:e>
                </m:nary>
              </m:e>
            </m:rad>
          </m:num>
          <m:den>
            <m:r>
              <w:rPr>
                <w:rFonts w:ascii="Cambria Math" w:hAnsi="Cambria Math"/>
              </w:rPr>
              <m:t>n-1</m:t>
            </m:r>
          </m:den>
        </m:f>
      </m:oMath>
      <w:r w:rsidRPr="00A51BC5">
        <w:rPr>
          <w:rFonts w:asciiTheme="minorBidi" w:hAnsiTheme="minorBidi"/>
        </w:rPr>
        <w:t xml:space="preserve"> </w:t>
      </w:r>
    </w:p>
    <w:p w14:paraId="57967C6B" w14:textId="77777777" w:rsidR="009756F2" w:rsidRPr="00A51BC5" w:rsidRDefault="009756F2" w:rsidP="009756F2">
      <w:pPr>
        <w:pStyle w:val="NormalWeb"/>
        <w:spacing w:before="120" w:beforeAutospacing="0" w:after="0" w:afterAutospacing="0" w:line="360" w:lineRule="auto"/>
        <w:rPr>
          <w:rFonts w:asciiTheme="majorBidi" w:hAnsiTheme="majorBidi" w:cstheme="majorBidi"/>
          <w:b/>
          <w:bCs/>
        </w:rPr>
      </w:pPr>
      <w:r w:rsidRPr="00A51BC5">
        <w:rPr>
          <w:rFonts w:asciiTheme="majorBidi" w:eastAsiaTheme="minorEastAsia" w:hAnsiTheme="majorBidi" w:cstheme="majorBidi"/>
          <w:b/>
          <w:bCs/>
        </w:rPr>
        <w:t>Fox’s</w:t>
      </w:r>
      <w:r w:rsidRPr="00A51BC5">
        <w:rPr>
          <w:rFonts w:asciiTheme="majorBidi" w:hAnsiTheme="majorBidi" w:cstheme="majorBidi"/>
          <w:b/>
          <w:bCs/>
        </w:rPr>
        <w:t xml:space="preserve"> TOP-rank stability parameter </w:t>
      </w:r>
    </w:p>
    <w:p w14:paraId="43300929" w14:textId="77777777" w:rsidR="009756F2" w:rsidRPr="00A51BC5" w:rsidRDefault="009756F2" w:rsidP="009756F2">
      <w:pPr>
        <w:spacing w:after="120" w:line="360" w:lineRule="auto"/>
        <w:jc w:val="both"/>
        <w:rPr>
          <w:rFonts w:asciiTheme="majorBidi" w:hAnsiTheme="majorBidi" w:cstheme="majorBidi"/>
        </w:rPr>
      </w:pPr>
      <w:r w:rsidRPr="00A51BC5">
        <w:rPr>
          <w:rFonts w:asciiTheme="majorBidi" w:hAnsiTheme="majorBidi" w:cstheme="majorBidi"/>
        </w:rPr>
        <w:t xml:space="preserve">This parameter consists of scoring the number of environments in which each genotype ranked in the top, middle, and bottom third of the trial entries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&lt;EndNote&gt;&lt;Cite&gt;&lt;Author&gt;Fox&lt;/Author&gt;&lt;Year&gt;1990&lt;/Year&gt;&lt;RecNum&gt;2192&lt;/RecNum&gt;&lt;DisplayText&gt;(Fox et al., 1990)&lt;/DisplayText&gt;&lt;record&gt;&lt;rec-number&gt;2192&lt;/rec-number&gt;&lt;foreign-keys&gt;&lt;key app="EN" db-id="2x9evwr2lvas5eevfp6v5eea2rfv5faevsdz" timestamp="1683899007" guid="88c3fcde-8641-4f97-ab53-a6be36a132fd"&gt;2192&lt;/key&gt;&lt;/foreign-keys&gt;&lt;ref-type name="Journal Article"&gt;17&lt;/ref-type&gt;&lt;contributors&gt;&lt;authors&gt;&lt;author&gt;Fox, P. N.&lt;/author&gt;&lt;author&gt;Skovmand, B.&lt;/author&gt;&lt;author&gt;Thompson, B. K.&lt;/author&gt;&lt;author&gt;Braun, H. J.&lt;/author&gt;&lt;author&gt;Cormier, R.&lt;/author&gt;&lt;/authors&gt;&lt;/contributors&gt;&lt;auth-address&gt;Cimmyt, Ankara, Turkey&amp;#xD;Agr Canada, Engn &amp;amp; Stat Res Ctr, Res Program Serv, Ottawa K1a 0c6, Ontario, Canada&lt;/auth-address&gt;&lt;titles&gt;&lt;title&gt;Yield and Adaptation of Hexaploid Spring Triticale&lt;/title&gt;&lt;secondary-title&gt;Euphytica&lt;/secondary-title&gt;&lt;alt-title&gt;Euphytica&lt;/alt-title&gt;&lt;/titles&gt;&lt;periodical&gt;&lt;full-title&gt;Euphytica&lt;/full-title&gt;&lt;/periodical&gt;&lt;alt-periodical&gt;&lt;full-title&gt;Euphytica&lt;/full-title&gt;&lt;/alt-periodical&gt;&lt;pages&gt;57-64&lt;/pages&gt;&lt;volume&gt;47&lt;/volume&gt;&lt;number&gt;1&lt;/number&gt;&lt;dates&gt;&lt;year&gt;1990&lt;/year&gt;&lt;pub-dates&gt;&lt;date&gt;Apr&lt;/date&gt;&lt;/pub-dates&gt;&lt;/dates&gt;&lt;isbn&gt;0014-2336&lt;/isbn&gt;&lt;accession-num&gt;WOS:A1990CZ57000010&lt;/accession-num&gt;&lt;urls&gt;&lt;related-urls&gt;&lt;url&gt;&amp;lt;Go to ISI&amp;gt;://WOS:A1990CZ57000010&lt;/url&gt;&lt;/related-urls&gt;&lt;/urls&gt;&lt;electronic-resource-num&gt;Doi 10.1007/Bf00040364&lt;/electronic-resource-num&gt;&lt;language&gt;English&lt;/language&gt;&lt;/record&gt;&lt;/Cite&gt;&lt;/EndNote&gt;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(Fox et al., 1990)</w:t>
      </w:r>
      <w:r w:rsidRPr="00A51BC5">
        <w:rPr>
          <w:rFonts w:asciiTheme="majorBidi" w:hAnsiTheme="majorBidi" w:cstheme="majorBidi"/>
          <w:color w:val="0432FF"/>
        </w:rPr>
        <w:fldChar w:fldCharType="end"/>
      </w:r>
      <w:r w:rsidRPr="00A51BC5">
        <w:rPr>
          <w:rFonts w:asciiTheme="majorBidi" w:hAnsiTheme="majorBidi" w:cstheme="majorBidi"/>
        </w:rPr>
        <w:t>. The genotype with the highest top value is considered a widely adapted genotype.</w:t>
      </w:r>
    </w:p>
    <w:p w14:paraId="24DC4024" w14:textId="65D05D74" w:rsidR="009756F2" w:rsidRDefault="009756F2" w:rsidP="009756F2">
      <w:pPr>
        <w:widowControl w:val="0"/>
        <w:autoSpaceDE w:val="0"/>
        <w:autoSpaceDN w:val="0"/>
        <w:adjustRightInd w:val="0"/>
        <w:spacing w:line="360" w:lineRule="auto"/>
        <w:jc w:val="both"/>
        <w:rPr>
          <w:rFonts w:asciiTheme="majorBidi" w:hAnsiTheme="majorBidi" w:cstheme="majorBidi"/>
        </w:rPr>
      </w:pPr>
      <w:r w:rsidRPr="00A51BC5">
        <w:rPr>
          <w:rFonts w:asciiTheme="majorBidi" w:hAnsiTheme="majorBidi" w:cstheme="majorBidi"/>
        </w:rPr>
        <w:t xml:space="preserve">Fox’s (1990) TOP-rank (TOP) measures of stability for each genotype </w:t>
      </w:r>
      <w:r w:rsidRPr="00A51BC5">
        <w:rPr>
          <w:rFonts w:asciiTheme="majorBidi" w:hAnsiTheme="majorBidi" w:cstheme="majorBidi"/>
          <w:color w:val="0432FF"/>
        </w:rPr>
        <w:fldChar w:fldCharType="begin"/>
      </w:r>
      <w:r w:rsidRPr="00A51BC5">
        <w:rPr>
          <w:rFonts w:asciiTheme="majorBidi" w:hAnsiTheme="majorBidi" w:cstheme="majorBidi"/>
          <w:color w:val="0432FF"/>
        </w:rPr>
        <w:instrText xml:space="preserve"> ADDIN EN.CITE &lt;EndNote&gt;&lt;Cite&gt;&lt;Author&gt;Fox&lt;/Author&gt;&lt;Year&gt;1990&lt;/Year&gt;&lt;RecNum&gt;2192&lt;/RecNum&gt;&lt;DisplayText&gt;(Fox et al., 1990)&lt;/DisplayText&gt;&lt;record&gt;&lt;rec-number&gt;2192&lt;/rec-number&gt;&lt;foreign-keys&gt;&lt;key app="EN" db-id="2x9evwr2lvas5eevfp6v5eea2rfv5faevsdz" timestamp="1683899007" guid="88c3fcde-8641-4f97-ab53-a6be36a132fd"&gt;2192&lt;/key&gt;&lt;/foreign-keys&gt;&lt;ref-type name="Journal Article"&gt;17&lt;/ref-type&gt;&lt;contributors&gt;&lt;authors&gt;&lt;author&gt;Fox, P. N.&lt;/author&gt;&lt;author&gt;Skovmand, B.&lt;/author&gt;&lt;author&gt;Thompson, B. K.&lt;/author&gt;&lt;author&gt;Braun, H. J.&lt;/author&gt;&lt;author&gt;Cormier, R.&lt;/author&gt;&lt;/authors&gt;&lt;/contributors&gt;&lt;auth-address&gt;Cimmyt, Ankara, Turkey&amp;#xD;Agr Canada, Engn &amp;amp; Stat Res Ctr, Res Program Serv, Ottawa K1a 0c6, Ontario, Canada&lt;/auth-address&gt;&lt;titles&gt;&lt;title&gt;Yield and Adaptation of Hexaploid Spring Triticale&lt;/title&gt;&lt;secondary-title&gt;Euphytica&lt;/secondary-title&gt;&lt;alt-title&gt;Euphytica&lt;/alt-title&gt;&lt;/titles&gt;&lt;periodical&gt;&lt;full-title&gt;Euphytica&lt;/full-title&gt;&lt;/periodical&gt;&lt;alt-periodical&gt;&lt;full-title&gt;Euphytica&lt;/full-title&gt;&lt;/alt-periodical&gt;&lt;pages&gt;57-64&lt;/pages&gt;&lt;volume&gt;47&lt;/volume&gt;&lt;number&gt;1&lt;/number&gt;&lt;dates&gt;&lt;year&gt;1990&lt;/year&gt;&lt;pub-dates&gt;&lt;date&gt;Apr&lt;/date&gt;&lt;/pub-dates&gt;&lt;/dates&gt;&lt;isbn&gt;0014-2336&lt;/isbn&gt;&lt;accession-num&gt;WOS:A1990CZ57000010&lt;/accession-num&gt;&lt;urls&gt;&lt;related-urls&gt;&lt;url&gt;&amp;lt;Go to ISI&amp;gt;://WOS:A1990CZ57000010&lt;/url&gt;&lt;/related-urls&gt;&lt;/urls&gt;&lt;electronic-resource-num&gt;Doi 10.1007/Bf00040364&lt;/electronic-resource-num&gt;&lt;language&gt;English&lt;/language&gt;&lt;/record&gt;&lt;/Cite&gt;&lt;/EndNote&gt;</w:instrText>
      </w:r>
      <w:r w:rsidRPr="00A51BC5">
        <w:rPr>
          <w:rFonts w:asciiTheme="majorBidi" w:hAnsiTheme="majorBidi" w:cstheme="majorBidi"/>
          <w:color w:val="0432FF"/>
        </w:rPr>
        <w:fldChar w:fldCharType="separate"/>
      </w:r>
      <w:r w:rsidRPr="00A51BC5">
        <w:rPr>
          <w:rFonts w:asciiTheme="majorBidi" w:hAnsiTheme="majorBidi" w:cstheme="majorBidi"/>
          <w:noProof/>
          <w:color w:val="0432FF"/>
        </w:rPr>
        <w:t>(Fox et al., 1990)</w:t>
      </w:r>
      <w:r w:rsidRPr="00A51BC5">
        <w:rPr>
          <w:rFonts w:asciiTheme="majorBidi" w:hAnsiTheme="majorBidi" w:cstheme="majorBidi"/>
          <w:color w:val="0432FF"/>
        </w:rPr>
        <w:fldChar w:fldCharType="end"/>
      </w:r>
      <w:r w:rsidRPr="00A51BC5">
        <w:rPr>
          <w:rFonts w:asciiTheme="majorBidi" w:hAnsiTheme="majorBidi" w:cstheme="majorBidi"/>
        </w:rPr>
        <w:t xml:space="preserve"> suggested </w:t>
      </w:r>
      <w:r w:rsidR="00A51BC5">
        <w:rPr>
          <w:rFonts w:asciiTheme="majorBidi" w:hAnsiTheme="majorBidi" w:cstheme="majorBidi"/>
        </w:rPr>
        <w:t xml:space="preserve">a </w:t>
      </w:r>
      <w:r w:rsidRPr="00A51BC5">
        <w:rPr>
          <w:rFonts w:asciiTheme="majorBidi" w:hAnsiTheme="majorBidi" w:cstheme="majorBidi"/>
        </w:rPr>
        <w:t>superiority measure for general adaptability using the stratified ranking of the cultivars, and ranking was done at each environment separately; the proportion of sites at which the cultivar occurred in the top, middle, and bottom third of the ranks was computed to form the nonparametric measures TOP, MID, and LOW, respectively. A genotype that occurred mostly in the top third (high value of TOP) was considered a widely adapted genotype.</w:t>
      </w:r>
    </w:p>
    <w:p w14:paraId="4B4CF76A" w14:textId="0AD99D5F" w:rsidR="0047034E" w:rsidRDefault="0047034E"/>
    <w:p w14:paraId="59770546" w14:textId="46123E5F" w:rsidR="00A51BC5" w:rsidRDefault="00A51BC5"/>
    <w:p w14:paraId="44EFAA96" w14:textId="77777777" w:rsidR="00A51BC5" w:rsidRDefault="00A51BC5"/>
    <w:sectPr w:rsidR="00A51BC5">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76336" w14:textId="77777777" w:rsidR="00995CA0" w:rsidRDefault="00995CA0" w:rsidP="007D3BF8">
      <w:r>
        <w:separator/>
      </w:r>
    </w:p>
  </w:endnote>
  <w:endnote w:type="continuationSeparator" w:id="0">
    <w:p w14:paraId="1E0FEEE9" w14:textId="77777777" w:rsidR="00995CA0" w:rsidRDefault="00995CA0" w:rsidP="007D3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new">
    <w:altName w:val="Times New Roman"/>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gsrjpAdvPTimes">
    <w:altName w:val="Cambria"/>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HmdwxrAdvPTimesI">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69379071"/>
      <w:docPartObj>
        <w:docPartGallery w:val="Page Numbers (Bottom of Page)"/>
        <w:docPartUnique/>
      </w:docPartObj>
    </w:sdtPr>
    <w:sdtContent>
      <w:p w14:paraId="6C067EA9" w14:textId="440590FC" w:rsidR="007D3BF8" w:rsidRDefault="007D3BF8" w:rsidP="001E3D9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4E7C61" w14:textId="77777777" w:rsidR="007D3BF8" w:rsidRDefault="007D3B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70337760"/>
      <w:docPartObj>
        <w:docPartGallery w:val="Page Numbers (Bottom of Page)"/>
        <w:docPartUnique/>
      </w:docPartObj>
    </w:sdtPr>
    <w:sdtContent>
      <w:p w14:paraId="641A0779" w14:textId="51C426C4" w:rsidR="007D3BF8" w:rsidRDefault="007D3BF8" w:rsidP="001E3D9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04ED8C" w14:textId="77777777" w:rsidR="007D3BF8" w:rsidRDefault="007D3B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68A0A" w14:textId="77777777" w:rsidR="00995CA0" w:rsidRDefault="00995CA0" w:rsidP="007D3BF8">
      <w:r>
        <w:separator/>
      </w:r>
    </w:p>
  </w:footnote>
  <w:footnote w:type="continuationSeparator" w:id="0">
    <w:p w14:paraId="1C92930E" w14:textId="77777777" w:rsidR="00995CA0" w:rsidRDefault="00995CA0" w:rsidP="007D3B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61218"/>
    <w:multiLevelType w:val="multilevel"/>
    <w:tmpl w:val="F2D68B50"/>
    <w:lvl w:ilvl="0">
      <w:start w:val="3"/>
      <w:numFmt w:val="decimal"/>
      <w:lvlText w:val="%1.1."/>
      <w:lvlJc w:val="left"/>
      <w:pPr>
        <w:ind w:left="360" w:hanging="360"/>
      </w:pPr>
      <w:rPr>
        <w:rFonts w:hint="default"/>
        <w:b/>
        <w:bCs/>
      </w:rPr>
    </w:lvl>
    <w:lvl w:ilvl="1">
      <w:start w:val="1"/>
      <w:numFmt w:val="none"/>
      <w:lvlText w:val="3.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B723CAF"/>
    <w:multiLevelType w:val="hybridMultilevel"/>
    <w:tmpl w:val="7B96B860"/>
    <w:lvl w:ilvl="0" w:tplc="FA22750E">
      <w:start w:val="1"/>
      <w:numFmt w:val="none"/>
      <w:lvlText w:val="3.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EA541A"/>
    <w:multiLevelType w:val="multilevel"/>
    <w:tmpl w:val="C29A3A10"/>
    <w:lvl w:ilvl="0">
      <w:start w:val="3"/>
      <w:numFmt w:val="decimal"/>
      <w:lvlText w:val="%1.1.1"/>
      <w:lvlJc w:val="left"/>
      <w:pPr>
        <w:ind w:left="1146" w:hanging="360"/>
      </w:pPr>
      <w:rPr>
        <w:rFonts w:hint="default"/>
      </w:rPr>
    </w:lvl>
    <w:lvl w:ilvl="1">
      <w:start w:val="3"/>
      <w:numFmt w:val="decimal"/>
      <w:lvlText w:val="%2.1."/>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21E2E26"/>
    <w:multiLevelType w:val="multilevel"/>
    <w:tmpl w:val="0BB6CA60"/>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8540BB0"/>
    <w:multiLevelType w:val="multilevel"/>
    <w:tmpl w:val="EA22AD2E"/>
    <w:styleLink w:val="Style1"/>
    <w:lvl w:ilvl="0">
      <w:start w:val="3"/>
      <w:numFmt w:val="decimal"/>
      <w:lvlText w:val="%1.1.1"/>
      <w:lvlJc w:val="left"/>
      <w:pPr>
        <w:ind w:left="114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2751730"/>
    <w:multiLevelType w:val="hybridMultilevel"/>
    <w:tmpl w:val="E52C5A90"/>
    <w:lvl w:ilvl="0" w:tplc="8D9C256C">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A652EE"/>
    <w:multiLevelType w:val="hybridMultilevel"/>
    <w:tmpl w:val="839A4666"/>
    <w:lvl w:ilvl="0" w:tplc="06F4174E">
      <w:start w:val="1"/>
      <w:numFmt w:val="none"/>
      <w:lvlText w:val="3.1.3"/>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7D137F"/>
    <w:multiLevelType w:val="hybridMultilevel"/>
    <w:tmpl w:val="483C8A76"/>
    <w:lvl w:ilvl="0" w:tplc="96B2D27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CA4A1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DF82D93"/>
    <w:multiLevelType w:val="multilevel"/>
    <w:tmpl w:val="32F0971A"/>
    <w:lvl w:ilvl="0">
      <w:start w:val="3"/>
      <w:numFmt w:val="decimal"/>
      <w:lvlText w:val="%1"/>
      <w:lvlJc w:val="left"/>
      <w:pPr>
        <w:ind w:left="432" w:hanging="432"/>
      </w:pPr>
      <w:rPr>
        <w:rFonts w:hint="default"/>
      </w:rPr>
    </w:lvl>
    <w:lvl w:ilvl="1">
      <w:start w:val="1"/>
      <w:numFmt w:val="decimal"/>
      <w:isLgl/>
      <w:lvlText w:val="3.%2"/>
      <w:lvlJc w:val="left"/>
      <w:pPr>
        <w:ind w:left="576" w:hanging="576"/>
      </w:pPr>
      <w:rPr>
        <w:rFonts w:hint="default"/>
      </w:rPr>
    </w:lvl>
    <w:lvl w:ilvl="2">
      <w:start w:val="1"/>
      <w:numFmt w:val="decimal"/>
      <w:lvlText w:val="%1.%2.%3"/>
      <w:lvlJc w:val="left"/>
      <w:pPr>
        <w:ind w:left="720" w:hanging="720"/>
      </w:pPr>
      <w:rPr>
        <w:rFonts w:ascii="times new" w:hAnsi="times new" w:hint="default"/>
        <w:b w:val="0"/>
        <w:i w:val="0"/>
        <w:color w:val="000000" w:themeColor="text1"/>
        <w:sz w:val="24"/>
        <w:u w:val="no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358B5757"/>
    <w:multiLevelType w:val="hybridMultilevel"/>
    <w:tmpl w:val="D9D2CD98"/>
    <w:lvl w:ilvl="0" w:tplc="9A1E07BE">
      <w:start w:val="3"/>
      <w:numFmt w:val="decimal"/>
      <w:lvlText w:val="%1.1.2"/>
      <w:lvlJc w:val="left"/>
      <w:pPr>
        <w:ind w:left="114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A022F06"/>
    <w:multiLevelType w:val="multilevel"/>
    <w:tmpl w:val="F8A45D08"/>
    <w:lvl w:ilvl="0">
      <w:start w:val="3"/>
      <w:numFmt w:val="decimal"/>
      <w:isLgl/>
      <w:lvlText w:val="%1.1."/>
      <w:lvlJc w:val="left"/>
      <w:pPr>
        <w:ind w:left="1146" w:hanging="360"/>
      </w:pPr>
      <w:rPr>
        <w:rFonts w:hint="default"/>
      </w:rPr>
    </w:lvl>
    <w:lvl w:ilvl="1">
      <w:start w:val="1"/>
      <w:numFmt w:val="decimal"/>
      <w:lvlText w:val="%2."/>
      <w:lvlJc w:val="left"/>
      <w:pPr>
        <w:ind w:left="1440" w:hanging="360"/>
      </w:pPr>
      <w:rPr>
        <w:rFonts w:hint="default"/>
      </w:rPr>
    </w:lvl>
    <w:lvl w:ilvl="2">
      <w:start w:val="1"/>
      <w:numFmt w:val="none"/>
      <w:lvlText w:val="3.1."/>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3DC9178E"/>
    <w:multiLevelType w:val="hybridMultilevel"/>
    <w:tmpl w:val="C756B52C"/>
    <w:lvl w:ilvl="0" w:tplc="0AC220E0">
      <w:start w:val="1"/>
      <w:numFmt w:val="none"/>
      <w:lvlText w:val="3.2."/>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452FB9"/>
    <w:multiLevelType w:val="multilevel"/>
    <w:tmpl w:val="57E4227E"/>
    <w:lvl w:ilvl="0">
      <w:start w:val="3"/>
      <w:numFmt w:val="decimal"/>
      <w:lvlText w:val="%1."/>
      <w:lvlJc w:val="left"/>
      <w:pPr>
        <w:ind w:left="360" w:hanging="360"/>
      </w:pPr>
      <w:rPr>
        <w:rFonts w:hint="default"/>
      </w:rPr>
    </w:lvl>
    <w:lvl w:ilvl="1">
      <w:start w:val="1"/>
      <w:numFmt w:val="none"/>
      <w:lvlText w:val="3.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3412D6A"/>
    <w:multiLevelType w:val="multilevel"/>
    <w:tmpl w:val="39EA31C4"/>
    <w:lvl w:ilvl="0">
      <w:start w:val="3"/>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5" w15:restartNumberingAfterBreak="0">
    <w:nsid w:val="5A554925"/>
    <w:multiLevelType w:val="multilevel"/>
    <w:tmpl w:val="C49654E0"/>
    <w:lvl w:ilvl="0">
      <w:start w:val="3"/>
      <w:numFmt w:val="decimal"/>
      <w:isLgl/>
      <w:lvlText w:val="%1.1.2"/>
      <w:lvlJc w:val="left"/>
      <w:pPr>
        <w:ind w:left="1146" w:hanging="360"/>
      </w:pPr>
      <w:rPr>
        <w:rFonts w:hint="default"/>
      </w:rPr>
    </w:lvl>
    <w:lvl w:ilvl="1">
      <w:start w:val="1"/>
      <w:numFmt w:val="lowerLetter"/>
      <w:lvlText w:val="%2."/>
      <w:lvlJc w:val="left"/>
      <w:pPr>
        <w:ind w:left="1440" w:hanging="360"/>
      </w:pPr>
      <w:rPr>
        <w:rFonts w:hint="default"/>
      </w:rPr>
    </w:lvl>
    <w:lvl w:ilvl="2">
      <w:start w:val="1"/>
      <w:numFmt w:val="none"/>
      <w:lvlText w:val="3.1.2."/>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5B6B72FB"/>
    <w:multiLevelType w:val="hybridMultilevel"/>
    <w:tmpl w:val="492A2646"/>
    <w:lvl w:ilvl="0" w:tplc="1B4EC77A">
      <w:start w:val="3"/>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DF00E1"/>
    <w:multiLevelType w:val="hybridMultilevel"/>
    <w:tmpl w:val="BBEAB194"/>
    <w:lvl w:ilvl="0" w:tplc="1CA8B32A">
      <w:start w:val="1"/>
      <w:numFmt w:val="decimal"/>
      <w:lvlText w:val="2.2.2.%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C915173"/>
    <w:multiLevelType w:val="multilevel"/>
    <w:tmpl w:val="E96423A6"/>
    <w:lvl w:ilvl="0">
      <w:start w:val="1"/>
      <w:numFmt w:val="decimal"/>
      <w:lvlText w:val="3.%1. "/>
      <w:lvlJc w:val="left"/>
      <w:pPr>
        <w:ind w:left="720" w:hanging="360"/>
      </w:pPr>
      <w:rPr>
        <w:rFonts w:hint="default"/>
        <w:b/>
        <w:bCs/>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6E185C5E"/>
    <w:multiLevelType w:val="multilevel"/>
    <w:tmpl w:val="C4C8A970"/>
    <w:lvl w:ilvl="0">
      <w:start w:val="1"/>
      <w:numFmt w:val="decimal"/>
      <w:lvlText w:val="%1."/>
      <w:lvlJc w:val="left"/>
      <w:pPr>
        <w:ind w:left="360" w:hanging="360"/>
      </w:pPr>
      <w:rPr>
        <w:rFonts w:hint="default"/>
      </w:rPr>
    </w:lvl>
    <w:lvl w:ilvl="1">
      <w:start w:val="1"/>
      <w:numFmt w:val="decimal"/>
      <w:lvlText w:val="2. %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702A3FA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6EC07C8"/>
    <w:multiLevelType w:val="multilevel"/>
    <w:tmpl w:val="AD9CB728"/>
    <w:lvl w:ilvl="0">
      <w:start w:val="1"/>
      <w:numFmt w:val="decimal"/>
      <w:lvlText w:val="%1."/>
      <w:lvlJc w:val="left"/>
      <w:pPr>
        <w:ind w:left="360" w:hanging="360"/>
      </w:pPr>
      <w:rPr>
        <w:rFonts w:hint="default"/>
      </w:rPr>
    </w:lvl>
    <w:lvl w:ilvl="1">
      <w:start w:val="1"/>
      <w:numFmt w:val="decimal"/>
      <w:lvlText w:val="2. %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380595068">
    <w:abstractNumId w:val="7"/>
  </w:num>
  <w:num w:numId="2" w16cid:durableId="559639079">
    <w:abstractNumId w:val="3"/>
  </w:num>
  <w:num w:numId="3" w16cid:durableId="1600943899">
    <w:abstractNumId w:val="21"/>
  </w:num>
  <w:num w:numId="4" w16cid:durableId="1461727341">
    <w:abstractNumId w:val="20"/>
  </w:num>
  <w:num w:numId="5" w16cid:durableId="132648665">
    <w:abstractNumId w:val="21"/>
    <w:lvlOverride w:ilvl="0">
      <w:lvl w:ilvl="0">
        <w:start w:val="1"/>
        <w:numFmt w:val="decimal"/>
        <w:lvlText w:val="%1."/>
        <w:lvlJc w:val="left"/>
        <w:pPr>
          <w:ind w:left="360" w:hanging="360"/>
        </w:pPr>
        <w:rPr>
          <w:rFonts w:hint="default"/>
        </w:rPr>
      </w:lvl>
    </w:lvlOverride>
    <w:lvlOverride w:ilvl="1">
      <w:lvl w:ilvl="1">
        <w:start w:val="1"/>
        <w:numFmt w:val="decimal"/>
        <w:lvlText w:val="2. %2."/>
        <w:lvlJc w:val="left"/>
        <w:pPr>
          <w:ind w:left="792" w:hanging="432"/>
        </w:pPr>
        <w:rPr>
          <w:rFonts w:hint="default"/>
        </w:rPr>
      </w:lvl>
    </w:lvlOverride>
    <w:lvlOverride w:ilvl="2">
      <w:lvl w:ilvl="2">
        <w:start w:val="1"/>
        <w:numFmt w:val="decimal"/>
        <w:lvlText w:val="2.%2.%3."/>
        <w:lvlJc w:val="left"/>
        <w:pPr>
          <w:ind w:left="1224" w:hanging="504"/>
        </w:pPr>
        <w:rPr>
          <w:rFonts w:hint="default"/>
        </w:rPr>
      </w:lvl>
    </w:lvlOverride>
    <w:lvlOverride w:ilvl="3">
      <w:lvl w:ilvl="3">
        <w:start w:val="1"/>
        <w:numFmt w:val="decimal"/>
        <w:lvlText w:val="2.%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6" w16cid:durableId="65762878">
    <w:abstractNumId w:val="19"/>
  </w:num>
  <w:num w:numId="7" w16cid:durableId="747658074">
    <w:abstractNumId w:val="18"/>
  </w:num>
  <w:num w:numId="8" w16cid:durableId="1366372696">
    <w:abstractNumId w:val="17"/>
  </w:num>
  <w:num w:numId="9" w16cid:durableId="1834762456">
    <w:abstractNumId w:val="15"/>
  </w:num>
  <w:num w:numId="10" w16cid:durableId="1343123508">
    <w:abstractNumId w:val="10"/>
  </w:num>
  <w:num w:numId="11" w16cid:durableId="85855630">
    <w:abstractNumId w:val="8"/>
  </w:num>
  <w:num w:numId="12" w16cid:durableId="2129935748">
    <w:abstractNumId w:val="4"/>
  </w:num>
  <w:num w:numId="13" w16cid:durableId="1025012249">
    <w:abstractNumId w:val="11"/>
  </w:num>
  <w:num w:numId="14" w16cid:durableId="1704594087">
    <w:abstractNumId w:val="16"/>
  </w:num>
  <w:num w:numId="15" w16cid:durableId="1287658694">
    <w:abstractNumId w:val="6"/>
  </w:num>
  <w:num w:numId="16" w16cid:durableId="1317031702">
    <w:abstractNumId w:val="12"/>
  </w:num>
  <w:num w:numId="17" w16cid:durableId="1482959874">
    <w:abstractNumId w:val="1"/>
  </w:num>
  <w:num w:numId="18" w16cid:durableId="923488496">
    <w:abstractNumId w:val="14"/>
  </w:num>
  <w:num w:numId="19" w16cid:durableId="1845513257">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617563923">
    <w:abstractNumId w:val="9"/>
  </w:num>
  <w:num w:numId="21" w16cid:durableId="1463112435">
    <w:abstractNumId w:val="2"/>
  </w:num>
  <w:num w:numId="22" w16cid:durableId="391461949">
    <w:abstractNumId w:val="5"/>
  </w:num>
  <w:num w:numId="23" w16cid:durableId="1512911713">
    <w:abstractNumId w:val="13"/>
  </w:num>
  <w:num w:numId="24" w16cid:durableId="945692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s>
  <w:rsids>
    <w:rsidRoot w:val="009756F2"/>
    <w:rsid w:val="000140D5"/>
    <w:rsid w:val="000224BB"/>
    <w:rsid w:val="000275AA"/>
    <w:rsid w:val="00040184"/>
    <w:rsid w:val="00050FFE"/>
    <w:rsid w:val="00061102"/>
    <w:rsid w:val="000B3D27"/>
    <w:rsid w:val="000B4216"/>
    <w:rsid w:val="000E4C92"/>
    <w:rsid w:val="000E728A"/>
    <w:rsid w:val="000F04DF"/>
    <w:rsid w:val="0010750F"/>
    <w:rsid w:val="00146D9C"/>
    <w:rsid w:val="00164203"/>
    <w:rsid w:val="001756AA"/>
    <w:rsid w:val="00176C11"/>
    <w:rsid w:val="002048C9"/>
    <w:rsid w:val="00262B05"/>
    <w:rsid w:val="00282BFC"/>
    <w:rsid w:val="002831FA"/>
    <w:rsid w:val="00293792"/>
    <w:rsid w:val="002E549F"/>
    <w:rsid w:val="002F776D"/>
    <w:rsid w:val="00310F22"/>
    <w:rsid w:val="00316D3C"/>
    <w:rsid w:val="003612BF"/>
    <w:rsid w:val="0037430F"/>
    <w:rsid w:val="00376109"/>
    <w:rsid w:val="00381492"/>
    <w:rsid w:val="00390B00"/>
    <w:rsid w:val="003A3140"/>
    <w:rsid w:val="003B7875"/>
    <w:rsid w:val="003D315A"/>
    <w:rsid w:val="003D3655"/>
    <w:rsid w:val="003F0972"/>
    <w:rsid w:val="0040213B"/>
    <w:rsid w:val="004102B8"/>
    <w:rsid w:val="00412CEC"/>
    <w:rsid w:val="004203A0"/>
    <w:rsid w:val="0043644D"/>
    <w:rsid w:val="00436CC1"/>
    <w:rsid w:val="00454AC6"/>
    <w:rsid w:val="0047034E"/>
    <w:rsid w:val="0047240B"/>
    <w:rsid w:val="00474631"/>
    <w:rsid w:val="00483048"/>
    <w:rsid w:val="0049200D"/>
    <w:rsid w:val="004B3BDF"/>
    <w:rsid w:val="004D40F1"/>
    <w:rsid w:val="004E4DEC"/>
    <w:rsid w:val="004F439F"/>
    <w:rsid w:val="00501C29"/>
    <w:rsid w:val="00502F07"/>
    <w:rsid w:val="00514020"/>
    <w:rsid w:val="0053378E"/>
    <w:rsid w:val="00534F6F"/>
    <w:rsid w:val="005422C3"/>
    <w:rsid w:val="00545785"/>
    <w:rsid w:val="00566C7D"/>
    <w:rsid w:val="005874CC"/>
    <w:rsid w:val="00592A60"/>
    <w:rsid w:val="005E1B1E"/>
    <w:rsid w:val="005F3E0A"/>
    <w:rsid w:val="006039A8"/>
    <w:rsid w:val="0061261D"/>
    <w:rsid w:val="006702D7"/>
    <w:rsid w:val="00672D1E"/>
    <w:rsid w:val="00674EB2"/>
    <w:rsid w:val="00680F8F"/>
    <w:rsid w:val="006B500B"/>
    <w:rsid w:val="006B73A1"/>
    <w:rsid w:val="006E2F82"/>
    <w:rsid w:val="00701825"/>
    <w:rsid w:val="00704629"/>
    <w:rsid w:val="00705985"/>
    <w:rsid w:val="0072784A"/>
    <w:rsid w:val="00727AA4"/>
    <w:rsid w:val="0073307E"/>
    <w:rsid w:val="00745894"/>
    <w:rsid w:val="007579F2"/>
    <w:rsid w:val="0076193E"/>
    <w:rsid w:val="007872AE"/>
    <w:rsid w:val="00792AFE"/>
    <w:rsid w:val="007B300B"/>
    <w:rsid w:val="007C2BE9"/>
    <w:rsid w:val="007D3BF8"/>
    <w:rsid w:val="007E16D1"/>
    <w:rsid w:val="007F69B2"/>
    <w:rsid w:val="008112C9"/>
    <w:rsid w:val="00817A66"/>
    <w:rsid w:val="00836F2A"/>
    <w:rsid w:val="00845DC8"/>
    <w:rsid w:val="00861B7B"/>
    <w:rsid w:val="00861D7F"/>
    <w:rsid w:val="00870BE4"/>
    <w:rsid w:val="00876B05"/>
    <w:rsid w:val="008809B1"/>
    <w:rsid w:val="008959EA"/>
    <w:rsid w:val="00896E65"/>
    <w:rsid w:val="00953954"/>
    <w:rsid w:val="009756F2"/>
    <w:rsid w:val="00994590"/>
    <w:rsid w:val="00995CA0"/>
    <w:rsid w:val="009B09E4"/>
    <w:rsid w:val="009E363B"/>
    <w:rsid w:val="00A2109A"/>
    <w:rsid w:val="00A51BC5"/>
    <w:rsid w:val="00A6418B"/>
    <w:rsid w:val="00A67379"/>
    <w:rsid w:val="00A762FC"/>
    <w:rsid w:val="00A9491C"/>
    <w:rsid w:val="00AA167D"/>
    <w:rsid w:val="00AB71AB"/>
    <w:rsid w:val="00AC30E3"/>
    <w:rsid w:val="00AD24E9"/>
    <w:rsid w:val="00B05CC9"/>
    <w:rsid w:val="00B708BE"/>
    <w:rsid w:val="00BA0101"/>
    <w:rsid w:val="00BA1EBB"/>
    <w:rsid w:val="00BA2F97"/>
    <w:rsid w:val="00BA5A63"/>
    <w:rsid w:val="00BB1DC2"/>
    <w:rsid w:val="00BC5630"/>
    <w:rsid w:val="00BD6A90"/>
    <w:rsid w:val="00BE3199"/>
    <w:rsid w:val="00C1698F"/>
    <w:rsid w:val="00C23D6D"/>
    <w:rsid w:val="00C27B39"/>
    <w:rsid w:val="00C45BB3"/>
    <w:rsid w:val="00C549E4"/>
    <w:rsid w:val="00C6458D"/>
    <w:rsid w:val="00C653BB"/>
    <w:rsid w:val="00C678AD"/>
    <w:rsid w:val="00C713F1"/>
    <w:rsid w:val="00C77AB1"/>
    <w:rsid w:val="00C87F60"/>
    <w:rsid w:val="00C94044"/>
    <w:rsid w:val="00CD7DA6"/>
    <w:rsid w:val="00CE6B42"/>
    <w:rsid w:val="00CF57FA"/>
    <w:rsid w:val="00D01465"/>
    <w:rsid w:val="00D015C6"/>
    <w:rsid w:val="00D32541"/>
    <w:rsid w:val="00D4140E"/>
    <w:rsid w:val="00D44A9F"/>
    <w:rsid w:val="00D80F4E"/>
    <w:rsid w:val="00D90852"/>
    <w:rsid w:val="00DC2CD8"/>
    <w:rsid w:val="00DE3FBE"/>
    <w:rsid w:val="00DE76B6"/>
    <w:rsid w:val="00E0730C"/>
    <w:rsid w:val="00E115F6"/>
    <w:rsid w:val="00E33E6F"/>
    <w:rsid w:val="00E960C2"/>
    <w:rsid w:val="00ED54DC"/>
    <w:rsid w:val="00EE7ADA"/>
    <w:rsid w:val="00F13056"/>
    <w:rsid w:val="00F3626C"/>
    <w:rsid w:val="00F37425"/>
    <w:rsid w:val="00F4385B"/>
    <w:rsid w:val="00F90B0E"/>
    <w:rsid w:val="00F919F1"/>
    <w:rsid w:val="00F97701"/>
    <w:rsid w:val="00F97E75"/>
    <w:rsid w:val="00FA4346"/>
    <w:rsid w:val="00FD4A6D"/>
    <w:rsid w:val="00FE67DA"/>
    <w:rsid w:val="00FF6B3E"/>
  </w:rsids>
  <m:mathPr>
    <m:mathFont m:val="Cambria Math"/>
    <m:brkBin m:val="before"/>
    <m:brkBinSub m:val="--"/>
    <m:smallFrac m:val="0"/>
    <m:dispDef/>
    <m:lMargin m:val="0"/>
    <m:rMargin m:val="0"/>
    <m:defJc m:val="centerGroup"/>
    <m:wrapIndent m:val="1440"/>
    <m:intLim m:val="subSup"/>
    <m:naryLim m:val="undOvr"/>
  </m:mathPr>
  <w:themeFontLang w:val="en-JP"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13E99E4"/>
  <w15:chartTrackingRefBased/>
  <w15:docId w15:val="{C9E717DF-4E80-C14D-BD68-A88B3F542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JP"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6F2"/>
    <w:rPr>
      <w:rFonts w:ascii="Times New Roman" w:eastAsia="Times New Roman" w:hAnsi="Times New Roman" w:cs="Times New Roman"/>
      <w:lang w:val="en-US"/>
    </w:rPr>
  </w:style>
  <w:style w:type="paragraph" w:styleId="Heading1">
    <w:name w:val="heading 1"/>
    <w:basedOn w:val="Normal"/>
    <w:next w:val="Normal"/>
    <w:link w:val="Heading1Char"/>
    <w:uiPriority w:val="9"/>
    <w:qFormat/>
    <w:rsid w:val="009756F2"/>
    <w:pPr>
      <w:keepNext/>
      <w:keepLines/>
      <w:numPr>
        <w:numId w:val="18"/>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756F2"/>
    <w:pPr>
      <w:keepNext/>
      <w:keepLines/>
      <w:numPr>
        <w:ilvl w:val="1"/>
        <w:numId w:val="18"/>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756F2"/>
    <w:pPr>
      <w:keepNext/>
      <w:keepLines/>
      <w:numPr>
        <w:ilvl w:val="2"/>
        <w:numId w:val="18"/>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9756F2"/>
    <w:pPr>
      <w:keepNext/>
      <w:keepLines/>
      <w:numPr>
        <w:ilvl w:val="3"/>
        <w:numId w:val="18"/>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756F2"/>
    <w:pPr>
      <w:keepNext/>
      <w:keepLines/>
      <w:numPr>
        <w:ilvl w:val="4"/>
        <w:numId w:val="18"/>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9756F2"/>
    <w:pPr>
      <w:keepNext/>
      <w:keepLines/>
      <w:numPr>
        <w:ilvl w:val="5"/>
        <w:numId w:val="18"/>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9756F2"/>
    <w:pPr>
      <w:keepNext/>
      <w:keepLines/>
      <w:numPr>
        <w:ilvl w:val="6"/>
        <w:numId w:val="18"/>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9756F2"/>
    <w:pPr>
      <w:keepNext/>
      <w:keepLines/>
      <w:numPr>
        <w:ilvl w:val="7"/>
        <w:numId w:val="1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756F2"/>
    <w:pPr>
      <w:keepNext/>
      <w:keepLines/>
      <w:numPr>
        <w:ilvl w:val="8"/>
        <w:numId w:val="1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56F2"/>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semiHidden/>
    <w:rsid w:val="009756F2"/>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semiHidden/>
    <w:rsid w:val="009756F2"/>
    <w:rPr>
      <w:rFonts w:asciiTheme="majorHAnsi" w:eastAsiaTheme="majorEastAsia" w:hAnsiTheme="majorHAnsi" w:cstheme="majorBidi"/>
      <w:color w:val="1F3763" w:themeColor="accent1" w:themeShade="7F"/>
      <w:lang w:val="en-US"/>
    </w:rPr>
  </w:style>
  <w:style w:type="character" w:customStyle="1" w:styleId="Heading4Char">
    <w:name w:val="Heading 4 Char"/>
    <w:basedOn w:val="DefaultParagraphFont"/>
    <w:link w:val="Heading4"/>
    <w:uiPriority w:val="9"/>
    <w:semiHidden/>
    <w:rsid w:val="009756F2"/>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9756F2"/>
    <w:rPr>
      <w:rFonts w:asciiTheme="majorHAnsi" w:eastAsiaTheme="majorEastAsia" w:hAnsiTheme="majorHAnsi" w:cstheme="majorBidi"/>
      <w:color w:val="2F5496" w:themeColor="accent1" w:themeShade="BF"/>
      <w:lang w:val="en-US"/>
    </w:rPr>
  </w:style>
  <w:style w:type="character" w:customStyle="1" w:styleId="Heading6Char">
    <w:name w:val="Heading 6 Char"/>
    <w:basedOn w:val="DefaultParagraphFont"/>
    <w:link w:val="Heading6"/>
    <w:uiPriority w:val="9"/>
    <w:semiHidden/>
    <w:rsid w:val="009756F2"/>
    <w:rPr>
      <w:rFonts w:asciiTheme="majorHAnsi" w:eastAsiaTheme="majorEastAsia" w:hAnsiTheme="majorHAnsi" w:cstheme="majorBidi"/>
      <w:color w:val="1F3763" w:themeColor="accent1" w:themeShade="7F"/>
      <w:lang w:val="en-US"/>
    </w:rPr>
  </w:style>
  <w:style w:type="character" w:customStyle="1" w:styleId="Heading7Char">
    <w:name w:val="Heading 7 Char"/>
    <w:basedOn w:val="DefaultParagraphFont"/>
    <w:link w:val="Heading7"/>
    <w:uiPriority w:val="9"/>
    <w:semiHidden/>
    <w:rsid w:val="009756F2"/>
    <w:rPr>
      <w:rFonts w:asciiTheme="majorHAnsi" w:eastAsiaTheme="majorEastAsia" w:hAnsiTheme="majorHAnsi" w:cstheme="majorBidi"/>
      <w:i/>
      <w:iCs/>
      <w:color w:val="1F3763" w:themeColor="accent1" w:themeShade="7F"/>
      <w:lang w:val="en-US"/>
    </w:rPr>
  </w:style>
  <w:style w:type="character" w:customStyle="1" w:styleId="Heading8Char">
    <w:name w:val="Heading 8 Char"/>
    <w:basedOn w:val="DefaultParagraphFont"/>
    <w:link w:val="Heading8"/>
    <w:uiPriority w:val="9"/>
    <w:semiHidden/>
    <w:rsid w:val="009756F2"/>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9756F2"/>
    <w:rPr>
      <w:rFonts w:asciiTheme="majorHAnsi" w:eastAsiaTheme="majorEastAsia" w:hAnsiTheme="majorHAnsi" w:cstheme="majorBidi"/>
      <w:i/>
      <w:iCs/>
      <w:color w:val="272727" w:themeColor="text1" w:themeTint="D8"/>
      <w:sz w:val="21"/>
      <w:szCs w:val="21"/>
      <w:lang w:val="en-US"/>
    </w:rPr>
  </w:style>
  <w:style w:type="paragraph" w:styleId="ListParagraph">
    <w:name w:val="List Paragraph"/>
    <w:basedOn w:val="Normal"/>
    <w:uiPriority w:val="34"/>
    <w:qFormat/>
    <w:rsid w:val="009756F2"/>
    <w:pPr>
      <w:ind w:left="720"/>
      <w:contextualSpacing/>
    </w:pPr>
  </w:style>
  <w:style w:type="paragraph" w:styleId="BalloonText">
    <w:name w:val="Balloon Text"/>
    <w:basedOn w:val="Normal"/>
    <w:link w:val="BalloonTextChar"/>
    <w:uiPriority w:val="99"/>
    <w:semiHidden/>
    <w:unhideWhenUsed/>
    <w:rsid w:val="009756F2"/>
    <w:rPr>
      <w:rFonts w:ascii="Tahoma" w:hAnsi="Tahoma" w:cs="Tahoma"/>
      <w:sz w:val="16"/>
      <w:szCs w:val="16"/>
    </w:rPr>
  </w:style>
  <w:style w:type="character" w:customStyle="1" w:styleId="BalloonTextChar">
    <w:name w:val="Balloon Text Char"/>
    <w:basedOn w:val="DefaultParagraphFont"/>
    <w:link w:val="BalloonText"/>
    <w:uiPriority w:val="99"/>
    <w:semiHidden/>
    <w:rsid w:val="009756F2"/>
    <w:rPr>
      <w:rFonts w:ascii="Tahoma" w:eastAsia="Times New Roman" w:hAnsi="Tahoma" w:cs="Tahoma"/>
      <w:sz w:val="16"/>
      <w:szCs w:val="16"/>
      <w:lang w:val="en-US"/>
    </w:rPr>
  </w:style>
  <w:style w:type="character" w:styleId="PlaceholderText">
    <w:name w:val="Placeholder Text"/>
    <w:basedOn w:val="DefaultParagraphFont"/>
    <w:uiPriority w:val="99"/>
    <w:semiHidden/>
    <w:rsid w:val="009756F2"/>
    <w:rPr>
      <w:color w:val="808080"/>
    </w:rPr>
  </w:style>
  <w:style w:type="character" w:styleId="Hyperlink">
    <w:name w:val="Hyperlink"/>
    <w:basedOn w:val="DefaultParagraphFont"/>
    <w:uiPriority w:val="99"/>
    <w:unhideWhenUsed/>
    <w:rsid w:val="009756F2"/>
    <w:rPr>
      <w:color w:val="0563C1" w:themeColor="hyperlink"/>
      <w:u w:val="single"/>
    </w:rPr>
  </w:style>
  <w:style w:type="paragraph" w:styleId="NormalWeb">
    <w:name w:val="Normal (Web)"/>
    <w:basedOn w:val="Normal"/>
    <w:uiPriority w:val="99"/>
    <w:unhideWhenUsed/>
    <w:rsid w:val="009756F2"/>
    <w:pPr>
      <w:spacing w:before="100" w:beforeAutospacing="1" w:after="100" w:afterAutospacing="1"/>
    </w:pPr>
  </w:style>
  <w:style w:type="character" w:customStyle="1" w:styleId="apple-converted-space">
    <w:name w:val="apple-converted-space"/>
    <w:basedOn w:val="DefaultParagraphFont"/>
    <w:rsid w:val="009756F2"/>
  </w:style>
  <w:style w:type="paragraph" w:customStyle="1" w:styleId="EndNoteBibliographyTitle">
    <w:name w:val="EndNote Bibliography Title"/>
    <w:basedOn w:val="Normal"/>
    <w:link w:val="EndNoteBibliographyTitleChar"/>
    <w:rsid w:val="009756F2"/>
    <w:pPr>
      <w:jc w:val="center"/>
    </w:pPr>
    <w:rPr>
      <w:rFonts w:eastAsiaTheme="minorEastAsia"/>
      <w:szCs w:val="22"/>
    </w:rPr>
  </w:style>
  <w:style w:type="character" w:customStyle="1" w:styleId="EndNoteBibliographyTitleChar">
    <w:name w:val="EndNote Bibliography Title Char"/>
    <w:basedOn w:val="DefaultParagraphFont"/>
    <w:link w:val="EndNoteBibliographyTitle"/>
    <w:rsid w:val="009756F2"/>
    <w:rPr>
      <w:rFonts w:ascii="Times New Roman" w:hAnsi="Times New Roman" w:cs="Times New Roman"/>
      <w:szCs w:val="22"/>
      <w:lang w:val="en-US"/>
    </w:rPr>
  </w:style>
  <w:style w:type="paragraph" w:customStyle="1" w:styleId="EndNoteBibliography">
    <w:name w:val="EndNote Bibliography"/>
    <w:basedOn w:val="Normal"/>
    <w:link w:val="EndNoteBibliographyChar"/>
    <w:rsid w:val="009756F2"/>
    <w:pPr>
      <w:spacing w:after="160"/>
    </w:pPr>
    <w:rPr>
      <w:rFonts w:eastAsiaTheme="minorEastAsia"/>
      <w:szCs w:val="22"/>
    </w:rPr>
  </w:style>
  <w:style w:type="character" w:customStyle="1" w:styleId="EndNoteBibliographyChar">
    <w:name w:val="EndNote Bibliography Char"/>
    <w:basedOn w:val="DefaultParagraphFont"/>
    <w:link w:val="EndNoteBibliography"/>
    <w:rsid w:val="009756F2"/>
    <w:rPr>
      <w:rFonts w:ascii="Times New Roman" w:hAnsi="Times New Roman" w:cs="Times New Roman"/>
      <w:szCs w:val="22"/>
      <w:lang w:val="en-US"/>
    </w:rPr>
  </w:style>
  <w:style w:type="paragraph" w:styleId="Footer">
    <w:name w:val="footer"/>
    <w:basedOn w:val="Normal"/>
    <w:link w:val="FooterChar"/>
    <w:uiPriority w:val="99"/>
    <w:unhideWhenUsed/>
    <w:rsid w:val="009756F2"/>
    <w:pPr>
      <w:tabs>
        <w:tab w:val="center" w:pos="4680"/>
        <w:tab w:val="right" w:pos="9360"/>
      </w:tabs>
    </w:pPr>
  </w:style>
  <w:style w:type="character" w:customStyle="1" w:styleId="FooterChar">
    <w:name w:val="Footer Char"/>
    <w:basedOn w:val="DefaultParagraphFont"/>
    <w:link w:val="Footer"/>
    <w:uiPriority w:val="99"/>
    <w:rsid w:val="009756F2"/>
    <w:rPr>
      <w:rFonts w:ascii="Times New Roman" w:eastAsia="Times New Roman" w:hAnsi="Times New Roman" w:cs="Times New Roman"/>
      <w:lang w:val="en-US"/>
    </w:rPr>
  </w:style>
  <w:style w:type="character" w:styleId="PageNumber">
    <w:name w:val="page number"/>
    <w:basedOn w:val="DefaultParagraphFont"/>
    <w:uiPriority w:val="99"/>
    <w:semiHidden/>
    <w:unhideWhenUsed/>
    <w:rsid w:val="009756F2"/>
  </w:style>
  <w:style w:type="table" w:styleId="TableGrid">
    <w:name w:val="Table Grid"/>
    <w:basedOn w:val="TableNormal"/>
    <w:uiPriority w:val="59"/>
    <w:rsid w:val="009756F2"/>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9756F2"/>
    <w:pPr>
      <w:numPr>
        <w:numId w:val="12"/>
      </w:numPr>
    </w:pPr>
  </w:style>
  <w:style w:type="character" w:styleId="LineNumber">
    <w:name w:val="line number"/>
    <w:basedOn w:val="DefaultParagraphFont"/>
    <w:uiPriority w:val="99"/>
    <w:semiHidden/>
    <w:unhideWhenUsed/>
    <w:rsid w:val="009756F2"/>
  </w:style>
  <w:style w:type="character" w:styleId="UnresolvedMention">
    <w:name w:val="Unresolved Mention"/>
    <w:basedOn w:val="DefaultParagraphFont"/>
    <w:uiPriority w:val="99"/>
    <w:semiHidden/>
    <w:unhideWhenUsed/>
    <w:rsid w:val="009756F2"/>
    <w:rPr>
      <w:color w:val="605E5C"/>
      <w:shd w:val="clear" w:color="auto" w:fill="E1DFDD"/>
    </w:rPr>
  </w:style>
  <w:style w:type="character" w:styleId="Emphasis">
    <w:name w:val="Emphasis"/>
    <w:basedOn w:val="DefaultParagraphFont"/>
    <w:uiPriority w:val="20"/>
    <w:qFormat/>
    <w:rsid w:val="009756F2"/>
    <w:rPr>
      <w:i/>
      <w:iCs/>
    </w:rPr>
  </w:style>
  <w:style w:type="paragraph" w:customStyle="1" w:styleId="EndNoteCategoryHeading">
    <w:name w:val="EndNote Category Heading"/>
    <w:basedOn w:val="Normal"/>
    <w:link w:val="EndNoteCategoryHeadingChar"/>
    <w:rsid w:val="009756F2"/>
    <w:pPr>
      <w:spacing w:before="120" w:after="120"/>
    </w:pPr>
    <w:rPr>
      <w:b/>
    </w:rPr>
  </w:style>
  <w:style w:type="character" w:customStyle="1" w:styleId="EndNoteCategoryHeadingChar">
    <w:name w:val="EndNote Category Heading Char"/>
    <w:basedOn w:val="DefaultParagraphFont"/>
    <w:link w:val="EndNoteCategoryHeading"/>
    <w:rsid w:val="009756F2"/>
    <w:rPr>
      <w:rFonts w:ascii="Times New Roman" w:eastAsia="Times New Roman" w:hAnsi="Times New Roman" w:cs="Times New Roman"/>
      <w:b/>
      <w:lang w:val="en-US"/>
    </w:rPr>
  </w:style>
  <w:style w:type="character" w:styleId="FollowedHyperlink">
    <w:name w:val="FollowedHyperlink"/>
    <w:basedOn w:val="DefaultParagraphFont"/>
    <w:uiPriority w:val="99"/>
    <w:semiHidden/>
    <w:unhideWhenUsed/>
    <w:rsid w:val="009756F2"/>
    <w:rPr>
      <w:color w:val="954F72" w:themeColor="followedHyperlink"/>
      <w:u w:val="single"/>
    </w:rPr>
  </w:style>
  <w:style w:type="character" w:styleId="CommentReference">
    <w:name w:val="annotation reference"/>
    <w:basedOn w:val="DefaultParagraphFont"/>
    <w:uiPriority w:val="99"/>
    <w:semiHidden/>
    <w:unhideWhenUsed/>
    <w:rsid w:val="009756F2"/>
    <w:rPr>
      <w:sz w:val="16"/>
      <w:szCs w:val="16"/>
    </w:rPr>
  </w:style>
  <w:style w:type="paragraph" w:styleId="CommentText">
    <w:name w:val="annotation text"/>
    <w:basedOn w:val="Normal"/>
    <w:link w:val="CommentTextChar"/>
    <w:uiPriority w:val="99"/>
    <w:unhideWhenUsed/>
    <w:rsid w:val="009756F2"/>
    <w:pPr>
      <w:bidi/>
    </w:pPr>
    <w:rPr>
      <w:rFonts w:eastAsia="MS Mincho"/>
      <w:sz w:val="20"/>
      <w:szCs w:val="20"/>
      <w:lang w:eastAsia="en-US"/>
    </w:rPr>
  </w:style>
  <w:style w:type="character" w:customStyle="1" w:styleId="CommentTextChar">
    <w:name w:val="Comment Text Char"/>
    <w:basedOn w:val="DefaultParagraphFont"/>
    <w:link w:val="CommentText"/>
    <w:uiPriority w:val="99"/>
    <w:rsid w:val="009756F2"/>
    <w:rPr>
      <w:rFonts w:ascii="Times New Roman" w:eastAsia="MS Mincho" w:hAnsi="Times New Roman" w:cs="Times New Roman"/>
      <w:sz w:val="20"/>
      <w:szCs w:val="20"/>
      <w:lang w:val="en-US" w:eastAsia="en-US"/>
    </w:rPr>
  </w:style>
  <w:style w:type="paragraph" w:customStyle="1" w:styleId="msonormal0">
    <w:name w:val="msonormal"/>
    <w:basedOn w:val="Normal"/>
    <w:rsid w:val="009756F2"/>
    <w:pPr>
      <w:spacing w:before="100" w:beforeAutospacing="1" w:after="100" w:afterAutospacing="1"/>
    </w:pPr>
  </w:style>
  <w:style w:type="paragraph" w:customStyle="1" w:styleId="font5">
    <w:name w:val="font5"/>
    <w:basedOn w:val="Normal"/>
    <w:rsid w:val="009756F2"/>
    <w:pPr>
      <w:spacing w:before="100" w:beforeAutospacing="1" w:after="100" w:afterAutospacing="1"/>
    </w:pPr>
  </w:style>
  <w:style w:type="paragraph" w:customStyle="1" w:styleId="font6">
    <w:name w:val="font6"/>
    <w:basedOn w:val="Normal"/>
    <w:rsid w:val="009756F2"/>
    <w:pPr>
      <w:spacing w:before="100" w:beforeAutospacing="1" w:after="100" w:afterAutospacing="1"/>
    </w:pPr>
  </w:style>
  <w:style w:type="paragraph" w:customStyle="1" w:styleId="font7">
    <w:name w:val="font7"/>
    <w:basedOn w:val="Normal"/>
    <w:rsid w:val="009756F2"/>
    <w:pPr>
      <w:spacing w:before="100" w:beforeAutospacing="1" w:after="100" w:afterAutospacing="1"/>
    </w:pPr>
    <w:rPr>
      <w:i/>
      <w:iCs/>
    </w:rPr>
  </w:style>
  <w:style w:type="paragraph" w:customStyle="1" w:styleId="xl63">
    <w:name w:val="xl63"/>
    <w:basedOn w:val="Normal"/>
    <w:rsid w:val="009756F2"/>
    <w:pPr>
      <w:spacing w:before="100" w:beforeAutospacing="1" w:after="100" w:afterAutospacing="1"/>
    </w:pPr>
  </w:style>
  <w:style w:type="paragraph" w:customStyle="1" w:styleId="xl64">
    <w:name w:val="xl64"/>
    <w:basedOn w:val="Normal"/>
    <w:rsid w:val="009756F2"/>
    <w:pPr>
      <w:pBdr>
        <w:bottom w:val="single" w:sz="8" w:space="0" w:color="auto"/>
      </w:pBdr>
      <w:spacing w:before="100" w:beforeAutospacing="1" w:after="100" w:afterAutospacing="1"/>
      <w:textAlignment w:val="center"/>
    </w:pPr>
    <w:rPr>
      <w:i/>
      <w:iCs/>
    </w:rPr>
  </w:style>
  <w:style w:type="paragraph" w:customStyle="1" w:styleId="xl65">
    <w:name w:val="xl65"/>
    <w:basedOn w:val="Normal"/>
    <w:rsid w:val="009756F2"/>
    <w:pPr>
      <w:pBdr>
        <w:bottom w:val="single" w:sz="8" w:space="0" w:color="auto"/>
      </w:pBdr>
      <w:spacing w:before="100" w:beforeAutospacing="1" w:after="100" w:afterAutospacing="1"/>
      <w:textAlignment w:val="center"/>
    </w:pPr>
  </w:style>
  <w:style w:type="paragraph" w:customStyle="1" w:styleId="xl66">
    <w:name w:val="xl66"/>
    <w:basedOn w:val="Normal"/>
    <w:rsid w:val="009756F2"/>
    <w:pPr>
      <w:pBdr>
        <w:bottom w:val="single" w:sz="8" w:space="0" w:color="auto"/>
      </w:pBdr>
      <w:spacing w:before="100" w:beforeAutospacing="1" w:after="100" w:afterAutospacing="1"/>
      <w:textAlignment w:val="center"/>
    </w:pPr>
    <w:rPr>
      <w:i/>
      <w:iCs/>
    </w:rPr>
  </w:style>
  <w:style w:type="paragraph" w:customStyle="1" w:styleId="xl67">
    <w:name w:val="xl67"/>
    <w:basedOn w:val="Normal"/>
    <w:rsid w:val="009756F2"/>
    <w:pPr>
      <w:pBdr>
        <w:bottom w:val="single" w:sz="8" w:space="0" w:color="auto"/>
      </w:pBdr>
      <w:spacing w:before="100" w:beforeAutospacing="1" w:after="100" w:afterAutospacing="1"/>
      <w:textAlignment w:val="center"/>
    </w:pPr>
  </w:style>
  <w:style w:type="paragraph" w:customStyle="1" w:styleId="xl68">
    <w:name w:val="xl68"/>
    <w:basedOn w:val="Normal"/>
    <w:rsid w:val="009756F2"/>
    <w:pPr>
      <w:spacing w:before="100" w:beforeAutospacing="1" w:after="100" w:afterAutospacing="1"/>
      <w:textAlignment w:val="center"/>
    </w:pPr>
  </w:style>
  <w:style w:type="paragraph" w:customStyle="1" w:styleId="xl69">
    <w:name w:val="xl69"/>
    <w:basedOn w:val="Normal"/>
    <w:rsid w:val="009756F2"/>
    <w:pPr>
      <w:shd w:val="clear" w:color="000000" w:fill="009C59"/>
      <w:spacing w:before="100" w:beforeAutospacing="1" w:after="100" w:afterAutospacing="1"/>
      <w:textAlignment w:val="center"/>
    </w:pPr>
  </w:style>
  <w:style w:type="paragraph" w:customStyle="1" w:styleId="xl70">
    <w:name w:val="xl70"/>
    <w:basedOn w:val="Normal"/>
    <w:rsid w:val="009756F2"/>
    <w:pPr>
      <w:spacing w:before="100" w:beforeAutospacing="1" w:after="100" w:afterAutospacing="1"/>
      <w:textAlignment w:val="center"/>
    </w:pPr>
  </w:style>
  <w:style w:type="paragraph" w:customStyle="1" w:styleId="xl71">
    <w:name w:val="xl71"/>
    <w:basedOn w:val="Normal"/>
    <w:rsid w:val="009756F2"/>
    <w:pPr>
      <w:shd w:val="clear" w:color="000000" w:fill="FFFF00"/>
      <w:spacing w:before="100" w:beforeAutospacing="1" w:after="100" w:afterAutospacing="1"/>
      <w:textAlignment w:val="center"/>
    </w:pPr>
  </w:style>
  <w:style w:type="paragraph" w:customStyle="1" w:styleId="xl72">
    <w:name w:val="xl72"/>
    <w:basedOn w:val="Normal"/>
    <w:rsid w:val="009756F2"/>
    <w:pPr>
      <w:shd w:val="clear" w:color="000000" w:fill="7FAF00"/>
      <w:spacing w:before="100" w:beforeAutospacing="1" w:after="100" w:afterAutospacing="1"/>
      <w:textAlignment w:val="center"/>
    </w:pPr>
  </w:style>
  <w:style w:type="paragraph" w:customStyle="1" w:styleId="xl73">
    <w:name w:val="xl73"/>
    <w:basedOn w:val="Normal"/>
    <w:rsid w:val="009756F2"/>
    <w:pPr>
      <w:shd w:val="clear" w:color="000000" w:fill="FFC000"/>
      <w:spacing w:before="100" w:beforeAutospacing="1" w:after="100" w:afterAutospacing="1"/>
      <w:textAlignment w:val="center"/>
    </w:pPr>
  </w:style>
  <w:style w:type="paragraph" w:customStyle="1" w:styleId="xl74">
    <w:name w:val="xl74"/>
    <w:basedOn w:val="Normal"/>
    <w:rsid w:val="009756F2"/>
    <w:pPr>
      <w:shd w:val="clear" w:color="000000" w:fill="00B050"/>
      <w:spacing w:before="100" w:beforeAutospacing="1" w:after="100" w:afterAutospacing="1"/>
      <w:textAlignment w:val="center"/>
    </w:pPr>
  </w:style>
  <w:style w:type="paragraph" w:customStyle="1" w:styleId="xl75">
    <w:name w:val="xl75"/>
    <w:basedOn w:val="Normal"/>
    <w:rsid w:val="009756F2"/>
    <w:pPr>
      <w:spacing w:before="100" w:beforeAutospacing="1" w:after="100" w:afterAutospacing="1"/>
      <w:textAlignment w:val="center"/>
    </w:pPr>
    <w:rPr>
      <w:i/>
      <w:iCs/>
    </w:rPr>
  </w:style>
  <w:style w:type="paragraph" w:customStyle="1" w:styleId="xl76">
    <w:name w:val="xl76"/>
    <w:basedOn w:val="Normal"/>
    <w:rsid w:val="009756F2"/>
    <w:pPr>
      <w:spacing w:before="100" w:beforeAutospacing="1" w:after="100" w:afterAutospacing="1"/>
      <w:textAlignment w:val="center"/>
    </w:pPr>
  </w:style>
  <w:style w:type="paragraph" w:customStyle="1" w:styleId="xl77">
    <w:name w:val="xl77"/>
    <w:basedOn w:val="Normal"/>
    <w:rsid w:val="009756F2"/>
    <w:pPr>
      <w:pBdr>
        <w:bottom w:val="single" w:sz="8" w:space="0" w:color="auto"/>
      </w:pBdr>
      <w:shd w:val="clear" w:color="000000" w:fill="7FAF00"/>
      <w:spacing w:before="100" w:beforeAutospacing="1" w:after="100" w:afterAutospacing="1"/>
      <w:textAlignment w:val="center"/>
    </w:pPr>
  </w:style>
  <w:style w:type="paragraph" w:customStyle="1" w:styleId="xl78">
    <w:name w:val="xl78"/>
    <w:basedOn w:val="Normal"/>
    <w:rsid w:val="009756F2"/>
    <w:pPr>
      <w:pBdr>
        <w:bottom w:val="single" w:sz="8" w:space="0" w:color="auto"/>
      </w:pBdr>
      <w:spacing w:before="100" w:beforeAutospacing="1" w:after="100" w:afterAutospacing="1"/>
      <w:textAlignment w:val="center"/>
    </w:pPr>
  </w:style>
  <w:style w:type="paragraph" w:customStyle="1" w:styleId="xl79">
    <w:name w:val="xl79"/>
    <w:basedOn w:val="Normal"/>
    <w:rsid w:val="009756F2"/>
    <w:pPr>
      <w:pBdr>
        <w:bottom w:val="single" w:sz="8" w:space="0" w:color="auto"/>
      </w:pBdr>
      <w:shd w:val="clear" w:color="000000" w:fill="009C59"/>
      <w:spacing w:before="100" w:beforeAutospacing="1" w:after="100" w:afterAutospacing="1"/>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6480</Words>
  <Characters>36937</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Elakhdar Ammar</dc:creator>
  <cp:keywords/>
  <dc:description/>
  <cp:lastModifiedBy>ELAKHDAR ABDELAZEIM ABOELYAZED AMMAR</cp:lastModifiedBy>
  <cp:revision>6</cp:revision>
  <dcterms:created xsi:type="dcterms:W3CDTF">2024-01-01T10:58:00Z</dcterms:created>
  <dcterms:modified xsi:type="dcterms:W3CDTF">2024-04-05T14:14:00Z</dcterms:modified>
</cp:coreProperties>
</file>