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C27B4" w14:textId="77777777" w:rsidR="00E75D42" w:rsidRDefault="00E75D42" w:rsidP="00E75D42">
      <w:pPr>
        <w:spacing w:line="276" w:lineRule="auto"/>
        <w:jc w:val="center"/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The Index Abstract</w:t>
      </w:r>
    </w:p>
    <w:p w14:paraId="63ABFD2E" w14:textId="77777777" w:rsidR="00E75D42" w:rsidRDefault="00E75D42" w:rsidP="00E75D42">
      <w:pPr>
        <w:spacing w:line="276" w:lineRule="auto"/>
        <w:rPr>
          <w:rFonts w:eastAsiaTheme="minorEastAsia"/>
          <w:sz w:val="20"/>
          <w:szCs w:val="20"/>
        </w:rPr>
      </w:pPr>
      <w:r>
        <w:rPr>
          <w:b/>
          <w:bCs/>
          <w:sz w:val="20"/>
          <w:szCs w:val="20"/>
        </w:rPr>
        <w:t>Preparation, crystal structure, optical properties</w:t>
      </w:r>
      <w:r>
        <w:rPr>
          <w:rFonts w:hint="eastAsia"/>
          <w:b/>
          <w:bCs/>
          <w:sz w:val="20"/>
          <w:szCs w:val="20"/>
        </w:rPr>
        <w:t>,</w:t>
      </w:r>
      <w:r>
        <w:rPr>
          <w:b/>
          <w:bCs/>
          <w:sz w:val="20"/>
          <w:szCs w:val="20"/>
        </w:rPr>
        <w:t xml:space="preserve"> </w:t>
      </w:r>
      <w:r>
        <w:rPr>
          <w:rFonts w:hint="eastAsia"/>
          <w:b/>
          <w:bCs/>
          <w:sz w:val="20"/>
          <w:szCs w:val="20"/>
        </w:rPr>
        <w:t xml:space="preserve">Hirshfeld surface analysis </w:t>
      </w:r>
      <w:r>
        <w:rPr>
          <w:b/>
          <w:bCs/>
          <w:sz w:val="20"/>
          <w:szCs w:val="20"/>
        </w:rPr>
        <w:t>and antimicrobial activity of 4-</w:t>
      </w:r>
      <w:r>
        <w:rPr>
          <w:rFonts w:hint="eastAsia"/>
          <w:b/>
          <w:bCs/>
          <w:sz w:val="20"/>
          <w:szCs w:val="20"/>
        </w:rPr>
        <w:t>n</w:t>
      </w:r>
      <w:r>
        <w:rPr>
          <w:b/>
          <w:bCs/>
          <w:sz w:val="20"/>
          <w:szCs w:val="20"/>
        </w:rPr>
        <w:t>itrobenzyl-4-aminopyridinium tetrachlorocuprate(II)</w:t>
      </w:r>
    </w:p>
    <w:p w14:paraId="581CB0EA" w14:textId="77777777" w:rsidR="00E75D42" w:rsidRDefault="00E75D42" w:rsidP="00E75D42">
      <w:pPr>
        <w:spacing w:line="360" w:lineRule="auto"/>
        <w:rPr>
          <w:b/>
          <w:bCs/>
          <w:sz w:val="20"/>
          <w:szCs w:val="20"/>
          <w:vertAlign w:val="superscript"/>
        </w:rPr>
      </w:pPr>
      <w:r>
        <w:rPr>
          <w:rFonts w:hint="eastAsia"/>
          <w:b/>
          <w:bCs/>
          <w:sz w:val="20"/>
          <w:szCs w:val="20"/>
        </w:rPr>
        <w:t>Yu-Ting Li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ascii="Microsoft YaHei" w:eastAsia="Times New Roman" w:hAnsi="Microsoft YaHei" w:cs="Microsoft YaHei" w:hint="eastAsia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Lin Huang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ascii="Microsoft YaHei" w:eastAsia="Times New Roman" w:hAnsi="Microsoft YaHei" w:cs="Microsoft YaHei" w:hint="eastAsia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Xin-Ran Li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ascii="Microsoft YaHei" w:eastAsia="Times New Roman" w:hAnsi="Microsoft YaHei" w:cs="Microsoft YaHei" w:hint="eastAsia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Bao-Yi Hu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ascii="Microsoft YaHei" w:eastAsia="Times New Roman" w:hAnsi="Microsoft YaHei" w:cs="Microsoft YaHei" w:hint="eastAsia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Ke-Xin Huang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ascii="Microsoft YaHei" w:eastAsia="Times New Roman" w:hAnsi="Microsoft YaHei" w:cs="Microsoft YaHei" w:hint="eastAsia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Yan Jiang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ascii="Microsoft YaHei" w:eastAsia="Times New Roman" w:hAnsi="Microsoft YaHei" w:cs="Microsoft YaHei" w:hint="eastAsia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Jia-Yu Yu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ascii="Microsoft YaHei" w:eastAsia="Times New Roman" w:hAnsi="Microsoft YaHei" w:cs="Microsoft YaHei" w:hint="eastAsia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Chun-Lin Ni</w:t>
      </w:r>
      <w:r>
        <w:rPr>
          <w:rFonts w:hint="eastAsia"/>
          <w:b/>
          <w:bCs/>
          <w:sz w:val="20"/>
          <w:szCs w:val="20"/>
          <w:vertAlign w:val="superscript"/>
        </w:rPr>
        <w:t>1*</w:t>
      </w:r>
    </w:p>
    <w:p w14:paraId="5FBBEDBA" w14:textId="77777777" w:rsidR="00E75D42" w:rsidRDefault="00E75D42" w:rsidP="00E75D42">
      <w:pPr>
        <w:spacing w:line="276" w:lineRule="auto"/>
        <w:rPr>
          <w:b/>
          <w:bCs/>
          <w:sz w:val="20"/>
          <w:szCs w:val="20"/>
        </w:rPr>
      </w:pPr>
    </w:p>
    <w:p w14:paraId="479BE7EA" w14:textId="77777777" w:rsidR="00E75D42" w:rsidRDefault="00E75D42" w:rsidP="00E75D42">
      <w:pPr>
        <w:spacing w:line="276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Graphical Abstract</w:t>
      </w:r>
    </w:p>
    <w:p w14:paraId="431CD2B3" w14:textId="77777777" w:rsidR="00E75D42" w:rsidRDefault="00E75D42" w:rsidP="00E75D42">
      <w:pPr>
        <w:spacing w:line="276" w:lineRule="auto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A novel organic-inorganic hybrid material, </w:t>
      </w:r>
      <w:r>
        <w:rPr>
          <w:sz w:val="20"/>
          <w:szCs w:val="20"/>
        </w:rPr>
        <w:t>4-</w:t>
      </w:r>
      <w:r>
        <w:rPr>
          <w:rFonts w:hint="eastAsia"/>
          <w:sz w:val="20"/>
          <w:szCs w:val="20"/>
        </w:rPr>
        <w:t>n</w:t>
      </w:r>
      <w:r>
        <w:rPr>
          <w:sz w:val="20"/>
          <w:szCs w:val="20"/>
        </w:rPr>
        <w:t>itrobenzyl-4-aminopyridinium tetrachlorocuprate(II)</w:t>
      </w:r>
      <w:r>
        <w:rPr>
          <w:rFonts w:hint="eastAsia"/>
          <w:sz w:val="20"/>
          <w:szCs w:val="20"/>
        </w:rPr>
        <w:t>, has been synthesised and characterized with a study of its crystal structure, vibrational spectra, weak interaction, Hershfield surface, thermal stability and antimicrobial activity.</w:t>
      </w:r>
    </w:p>
    <w:p w14:paraId="43CBFCF0" w14:textId="77777777" w:rsidR="00E75D42" w:rsidRDefault="00E75D42" w:rsidP="00E75D42">
      <w:pPr>
        <w:pStyle w:val="Heading3"/>
        <w:jc w:val="center"/>
      </w:pPr>
      <w:r>
        <w:rPr>
          <w:rFonts w:hint="eastAsia"/>
          <w:noProof/>
        </w:rPr>
        <w:drawing>
          <wp:inline distT="0" distB="0" distL="114300" distR="114300" wp14:anchorId="03B349D9" wp14:editId="1024C853">
            <wp:extent cx="5039995" cy="2905125"/>
            <wp:effectExtent l="0" t="0" r="8255" b="9525"/>
            <wp:docPr id="2" name="图片 2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97AC3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D42"/>
    <w:rsid w:val="00110104"/>
    <w:rsid w:val="0021090F"/>
    <w:rsid w:val="00220E4E"/>
    <w:rsid w:val="003A76DF"/>
    <w:rsid w:val="00C52827"/>
    <w:rsid w:val="00DB1091"/>
    <w:rsid w:val="00E75D42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F3E38"/>
  <w15:chartTrackingRefBased/>
  <w15:docId w15:val="{62EF8C80-0084-48B3-B747-5ECCA72DB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Heading3"/>
    <w:autoRedefine/>
    <w:qFormat/>
    <w:rsid w:val="00E75D42"/>
    <w:pPr>
      <w:widowControl w:val="0"/>
      <w:spacing w:after="0" w:line="420" w:lineRule="auto"/>
      <w:ind w:rightChars="-24" w:right="-58"/>
      <w:jc w:val="both"/>
    </w:pPr>
    <w:rPr>
      <w:rFonts w:ascii="Times New Roman" w:eastAsia="SimSun" w:hAnsi="Times New Roman" w:cs="Times New Roman"/>
      <w:sz w:val="24"/>
      <w:szCs w:val="24"/>
      <w:lang w:eastAsia="zh-CN"/>
      <w14:ligatures w14:val="none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E75D4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E75D4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497</Characters>
  <Application>Microsoft Office Word</Application>
  <DocSecurity>0</DocSecurity>
  <Lines>4</Lines>
  <Paragraphs>1</Paragraphs>
  <ScaleCrop>false</ScaleCrop>
  <Company>Springer Nature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2024-04-18T12:46:00Z</dcterms:created>
  <dcterms:modified xsi:type="dcterms:W3CDTF">2024-04-18T12:47:00Z</dcterms:modified>
</cp:coreProperties>
</file>