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17B220" w14:textId="56BA46B3" w:rsidR="00F11231" w:rsidRPr="00452C28" w:rsidRDefault="00F11231" w:rsidP="00F11231">
      <w:pPr>
        <w:spacing w:line="360" w:lineRule="auto"/>
        <w:jc w:val="both"/>
        <w:rPr>
          <w:b/>
          <w:bCs/>
          <w:sz w:val="32"/>
          <w:szCs w:val="32"/>
          <w:lang w:val="en-US"/>
        </w:rPr>
      </w:pPr>
      <w:r w:rsidRPr="00452C28">
        <w:rPr>
          <w:b/>
          <w:bCs/>
          <w:sz w:val="32"/>
          <w:szCs w:val="32"/>
          <w:lang w:val="en-US"/>
        </w:rPr>
        <w:t xml:space="preserve">Supplementary </w:t>
      </w:r>
      <w:r w:rsidR="00092DD5" w:rsidRPr="00452C28">
        <w:rPr>
          <w:b/>
          <w:bCs/>
          <w:sz w:val="32"/>
          <w:szCs w:val="32"/>
          <w:lang w:val="en-US"/>
        </w:rPr>
        <w:t>Material</w:t>
      </w:r>
    </w:p>
    <w:p w14:paraId="433714CC" w14:textId="77777777" w:rsidR="00341535" w:rsidRPr="0009290F" w:rsidRDefault="00341535" w:rsidP="00F11231">
      <w:pPr>
        <w:spacing w:line="360" w:lineRule="auto"/>
        <w:jc w:val="both"/>
        <w:rPr>
          <w:b/>
          <w:bCs/>
          <w:lang w:val="en-US"/>
        </w:rPr>
      </w:pPr>
    </w:p>
    <w:p w14:paraId="696BA741" w14:textId="107E0379" w:rsidR="00401015" w:rsidRPr="0009290F" w:rsidRDefault="00570DC3" w:rsidP="00452C28">
      <w:pPr>
        <w:spacing w:line="360" w:lineRule="auto"/>
        <w:rPr>
          <w:b/>
          <w:lang w:val="en-US"/>
        </w:rPr>
      </w:pPr>
      <w:bookmarkStart w:id="0" w:name="_Hlk158558534"/>
      <w:r w:rsidRPr="00452C28">
        <w:rPr>
          <w:b/>
          <w:bCs/>
          <w:sz w:val="28"/>
          <w:szCs w:val="28"/>
          <w:lang w:val="en-US"/>
        </w:rPr>
        <w:t>Materials and methods</w:t>
      </w:r>
      <w:r w:rsidR="00452C28" w:rsidRPr="00452C28">
        <w:rPr>
          <w:b/>
          <w:bCs/>
          <w:sz w:val="28"/>
          <w:szCs w:val="28"/>
          <w:lang w:val="en-US"/>
        </w:rPr>
        <w:br/>
      </w:r>
      <w:r w:rsidR="00401015" w:rsidRPr="0009290F">
        <w:rPr>
          <w:b/>
          <w:lang w:val="en-US"/>
        </w:rPr>
        <w:t>Production of recombinant viral vectors</w:t>
      </w:r>
    </w:p>
    <w:p w14:paraId="61FC642B" w14:textId="1DAC64C3" w:rsidR="00401015" w:rsidRPr="0009290F" w:rsidRDefault="00401015" w:rsidP="00401015">
      <w:pPr>
        <w:spacing w:line="300" w:lineRule="auto"/>
        <w:rPr>
          <w:lang w:val="en-US"/>
        </w:rPr>
      </w:pPr>
      <w:r w:rsidRPr="0009290F">
        <w:rPr>
          <w:lang w:val="en-US"/>
        </w:rPr>
        <w:t xml:space="preserve">The plasmid pAAV-CAG-NPC2 was generated following the procedure described earlier </w:t>
      </w:r>
      <w:r w:rsidRPr="0009290F">
        <w:rPr>
          <w:lang w:val="en-US"/>
        </w:rPr>
        <w:fldChar w:fldCharType="begin" w:fldLock="1"/>
      </w:r>
      <w:r w:rsidRPr="0009290F">
        <w:rPr>
          <w:lang w:val="en-US"/>
        </w:rPr>
        <w:instrText>ADDIN CSL_CITATION {"citationItems":[{"id":"ITEM-1","itemData":{"ISSN":"1757-4676","PMID":"27137490","abstract":"Gene therapy critically relies on vectors that combine high transduction efficiency with a high degree of target specificity and that can be administered through a safe intravenous route. The lack of suitable vectors, especially for gene therapy of brain disorders, represents a major obstacle. Therefore, we applied an in vivo screening system of random ligand libraries displayed on adeno-associated viral capsids to select brain-targeted vectors for the treatment of neurovascular diseases. We identified a capsid variant showing an unprecedented degree of specificity and long-lasting transduction efficiency for brain microvasculature endothelial cells as the primary target of selection. A therapeutic vector based on this selected viral capsid was used to markedly attenuate the severe cerebrovascular pathology of mice with incontinentia pigmenti after a single intravenous injection. Furthermore, the versatility of this selection system will make it possible to select ligands for additional in vivo targets without requiring previous identification of potential target-specific receptors.","author":[{"dropping-particle":"","family":"Körbelin","given":"Jakob","non-dropping-particle":"","parse-names":false,"suffix":""},{"dropping-particle":"","family":"Dogbevia","given":"Godwin","non-dropping-particle":"","parse-names":false,"suffix":""},{"dropping-particle":"","family":"Michelfelder","given":"Stefan","non-dropping-particle":"","parse-names":false,"suffix":""},{"dropping-particle":"","family":"Ridder","given":"Dirk A","non-dropping-particle":"","parse-names":false,"suffix":""},{"dropping-particle":"","family":"Hunger","given":"Agnes","non-dropping-particle":"","parse-names":false,"suffix":""},{"dropping-particle":"","family":"Wenzel","given":"Jan","non-dropping-particle":"","parse-names":false,"suffix":""},{"dropping-particle":"","family":"Seismann","given":"Henning","non-dropping-particle":"","parse-names":false,"suffix":""},{"dropping-particle":"","family":"Lampe","given":"Melanie","non-dropping-particle":"","parse-names":false,"suffix":""},{"dropping-particle":"","family":"Bannach","given":"Jacqueline","non-dropping-particle":"","parse-names":false,"suffix":""},{"dropping-particle":"","family":"Pasparakis","given":"Manolis","non-dropping-particle":"","parse-names":false,"suffix":""},{"dropping-particle":"","family":"Kleinschmidt","given":"Jürgen A","non-dropping-particle":"","parse-names":false,"suffix":""},{"dropping-particle":"","family":"Schwaninger","given":"Markus","non-dropping-particle":"","parse-names":false,"suffix":""},{"dropping-particle":"","family":"Trepel","given":"Martin","non-dropping-particle":"","parse-names":false,"suffix":""}],"container-title":"EMBO Molecular Medicine","id":"ITEM-1","issue":"6","issued":{"date-parts":[["2016"]]},"page":"609-625","title":"A brain microvasculature endothelial cell</w:instrText>
      </w:r>
      <w:r w:rsidRPr="0009290F">
        <w:rPr>
          <w:rFonts w:ascii="Cambria Math" w:hAnsi="Cambria Math" w:cs="Cambria Math"/>
          <w:lang w:val="en-US"/>
        </w:rPr>
        <w:instrText>‐</w:instrText>
      </w:r>
      <w:r w:rsidRPr="0009290F">
        <w:rPr>
          <w:lang w:val="en-US"/>
        </w:rPr>
        <w:instrText>specific viral vector with the potential to treat neurovascular and neurological diseases","type":"article-journal","volume":"8"},"uris":["http://www.mendeley.com/documents/?uuid=aa597e07-6945-3785-869b-2d383671a57a"]}],"mendeley":{"formattedCitation":"(23)","plainTextFormattedCitation":"(23)","previouslyFormattedCitation":"(23)"},"properties":{"noteIndex":0},"schema":"https://github.com/citation-style-language/schema/raw/master/csl-citation.json"}</w:instrText>
      </w:r>
      <w:r w:rsidRPr="0009290F">
        <w:rPr>
          <w:lang w:val="en-US"/>
        </w:rPr>
        <w:fldChar w:fldCharType="separate"/>
      </w:r>
      <w:r w:rsidRPr="0009290F">
        <w:rPr>
          <w:noProof/>
          <w:lang w:val="en-US"/>
        </w:rPr>
        <w:t>(</w:t>
      </w:r>
      <w:r w:rsidR="005D4B4B" w:rsidRPr="0009290F">
        <w:rPr>
          <w:noProof/>
          <w:lang w:val="en-US"/>
        </w:rPr>
        <w:t>1</w:t>
      </w:r>
      <w:r w:rsidRPr="0009290F">
        <w:rPr>
          <w:noProof/>
          <w:lang w:val="en-US"/>
        </w:rPr>
        <w:t>)</w:t>
      </w:r>
      <w:r w:rsidRPr="0009290F">
        <w:rPr>
          <w:lang w:val="en-US"/>
        </w:rPr>
        <w:fldChar w:fldCharType="end"/>
      </w:r>
      <w:r w:rsidRPr="0009290F">
        <w:rPr>
          <w:lang w:val="en-US"/>
        </w:rPr>
        <w:t xml:space="preserve">. The recombinant AAV-BR1-NPC2 vector used in the present study was produced by co-infection of Sf9 cells using the baculovirus expression system as previously described </w:t>
      </w:r>
      <w:r w:rsidRPr="0009290F">
        <w:rPr>
          <w:lang w:val="en-US"/>
        </w:rPr>
        <w:fldChar w:fldCharType="begin" w:fldLock="1"/>
      </w:r>
      <w:r w:rsidRPr="0009290F">
        <w:rPr>
          <w:lang w:val="en-US"/>
        </w:rPr>
        <w:instrText>ADDIN CSL_CITATION {"citationItems":[{"id":"ITEM-1","itemData":{"DOI":"10.1111/JNC.15621","ISSN":"1471-4159","author":[{"dropping-particle":"","family":"Rasmussen","given":"Charlotte L.M.","non-dropping-particle":"","parse-names":false,"suffix":""},{"dropping-particle":"","family":"Hede","given":"Eva","non-dropping-particle":"","parse-names":false,"suffix":""},{"dropping-particle":"","family":"Routhe","given":"Lisa Juul","non-dropping-particle":"","parse-names":false,"suffix":""},{"dropping-particle":"","family":"Körbelin","given":"Jakob","non-dropping-particle":"","parse-names":false,"suffix":""},{"dropping-particle":"","family":"Helgudottir","given":"Steinunn Sara","non-dropping-particle":"","parse-names":false,"suffix":""},{"dropping-particle":"","family":"Thomsen","given":"Louiza Bohn","non-dropping-particle":"","parse-names":false,"suffix":""},{"dropping-particle":"","family":"Schwaninger","given":"Markus","non-dropping-particle":"","parse-names":false,"suffix":""},{"dropping-particle":"","family":"Burkhart","given":"Annette","non-dropping-particle":"","parse-names":false,"suffix":""},{"dropping-particle":"","family":"Moos","given":"Torben","non-dropping-particle":"","parse-names":false,"suffix":""}],"container-title":"Journal of Neurochemistry","id":"ITEM-1","issued":{"date-parts":[["2023"]]},"page":"6-28","title":"A novel strategy for delivering Niemann-Pick type C2 proteins across the blood–brain barrier using the brain endothelial-specific AAV-BR1 virus","type":"article-journal","volume":"164"},"uris":["http://www.mendeley.com/documents/?uuid=7cd76c01-8b8d-3d2c-a501-d7a9d9623363"]}],"mendeley":{"formattedCitation":"(18)","plainTextFormattedCitation":"(18)","previouslyFormattedCitation":"(18)"},"properties":{"noteIndex":0},"schema":"https://github.com/citation-style-language/schema/raw/master/csl-citation.json"}</w:instrText>
      </w:r>
      <w:r w:rsidRPr="0009290F">
        <w:rPr>
          <w:lang w:val="en-US"/>
        </w:rPr>
        <w:fldChar w:fldCharType="separate"/>
      </w:r>
      <w:r w:rsidRPr="0009290F">
        <w:rPr>
          <w:noProof/>
          <w:lang w:val="en-US"/>
        </w:rPr>
        <w:t>(</w:t>
      </w:r>
      <w:r w:rsidR="005D4B4B" w:rsidRPr="0009290F">
        <w:rPr>
          <w:noProof/>
          <w:lang w:val="en-US"/>
        </w:rPr>
        <w:t>2</w:t>
      </w:r>
      <w:r w:rsidRPr="0009290F">
        <w:rPr>
          <w:noProof/>
          <w:lang w:val="en-US"/>
        </w:rPr>
        <w:t>)</w:t>
      </w:r>
      <w:r w:rsidRPr="0009290F">
        <w:rPr>
          <w:lang w:val="en-US"/>
        </w:rPr>
        <w:fldChar w:fldCharType="end"/>
      </w:r>
      <w:r w:rsidRPr="0009290F">
        <w:rPr>
          <w:lang w:val="en-US"/>
        </w:rPr>
        <w:t xml:space="preserve">. In short, Sf9 cells were infected with two different recombinant baculoviruses; one carrying the AAV2 </w:t>
      </w:r>
      <w:r w:rsidRPr="0009290F">
        <w:rPr>
          <w:i/>
          <w:lang w:val="en-US"/>
        </w:rPr>
        <w:t>rep</w:t>
      </w:r>
      <w:r w:rsidRPr="0009290F">
        <w:rPr>
          <w:lang w:val="en-US"/>
        </w:rPr>
        <w:t xml:space="preserve"> gene and a brain-endothelial cell-specific AAV2-BR1 </w:t>
      </w:r>
      <w:r w:rsidRPr="0009290F">
        <w:rPr>
          <w:i/>
          <w:lang w:val="en-US"/>
        </w:rPr>
        <w:t>cap</w:t>
      </w:r>
      <w:r w:rsidRPr="0009290F">
        <w:rPr>
          <w:lang w:val="en-US"/>
        </w:rPr>
        <w:t xml:space="preserve"> gene, and one containing the CAG promoter and the mouse </w:t>
      </w:r>
      <w:r w:rsidRPr="0009290F">
        <w:rPr>
          <w:i/>
          <w:iCs/>
          <w:lang w:val="en-US"/>
        </w:rPr>
        <w:t>Npc2</w:t>
      </w:r>
      <w:r w:rsidRPr="0009290F">
        <w:rPr>
          <w:lang w:val="en-US"/>
        </w:rPr>
        <w:t xml:space="preserve"> gene flanked by inverted terminal repeats from AAV2. Four days after the co-infection, the viral particles were harvested from the Sf9 cells by repeated freeze/thaw cycles and digested with 50 U/mL Benzonase Nuclease to remove unpackaged DNA. The viral vectors were purified using iodixanol density-gradient ultracentrifugation and extracted from the 40 % iodixanol layer. Genomic titers were determined by quantitative real-time PCR (qPCR) using CAG-specific primers (Table S</w:t>
      </w:r>
      <w:r w:rsidR="00C76A53" w:rsidRPr="0009290F">
        <w:rPr>
          <w:lang w:val="en-US"/>
        </w:rPr>
        <w:t>1</w:t>
      </w:r>
      <w:r w:rsidRPr="0009290F">
        <w:rPr>
          <w:lang w:val="en-US"/>
        </w:rPr>
        <w:t xml:space="preserve">). The SYBR Green-based FastStart Essential DNA Green Master (Merck </w:t>
      </w:r>
      <w:proofErr w:type="spellStart"/>
      <w:r w:rsidRPr="0009290F">
        <w:rPr>
          <w:lang w:val="en-US"/>
        </w:rPr>
        <w:t>KGaA</w:t>
      </w:r>
      <w:proofErr w:type="spellEnd"/>
      <w:r w:rsidRPr="0009290F">
        <w:rPr>
          <w:lang w:val="en-US"/>
        </w:rPr>
        <w:t>, #06402712001 Roche) with the Light Cycler 96 System (Roche) was used to determine the vector copy numbers. The reactions were run with an initial denaturation for 10 min at 95°C</w:t>
      </w:r>
      <w:bookmarkStart w:id="1" w:name="_GoBack"/>
      <w:bookmarkEnd w:id="1"/>
      <w:r w:rsidRPr="0009290F">
        <w:rPr>
          <w:lang w:val="en-US"/>
        </w:rPr>
        <w:t xml:space="preserve"> followed by 40 cycles of denaturation for 30 s at 95°C, then annealing for 30 s at 67°C, and extension for 30 s at 72°C, followed by a melt curve analysis (60–97°C, 0.1°C/s). </w:t>
      </w:r>
    </w:p>
    <w:p w14:paraId="2A9BB39E" w14:textId="77777777" w:rsidR="00401015" w:rsidRPr="0009290F" w:rsidRDefault="00401015" w:rsidP="00401015">
      <w:pPr>
        <w:spacing w:before="240" w:line="300" w:lineRule="auto"/>
        <w:rPr>
          <w:b/>
          <w:lang w:val="en-US"/>
        </w:rPr>
      </w:pPr>
      <w:r w:rsidRPr="0009290F">
        <w:rPr>
          <w:b/>
          <w:lang w:val="en-US"/>
        </w:rPr>
        <w:t>Animal study approval and reporting</w:t>
      </w:r>
    </w:p>
    <w:p w14:paraId="324680C0" w14:textId="5051454E" w:rsidR="00401015" w:rsidRPr="0009290F" w:rsidRDefault="00401015" w:rsidP="00401015">
      <w:pPr>
        <w:spacing w:line="300" w:lineRule="auto"/>
        <w:rPr>
          <w:lang w:val="en-US"/>
        </w:rPr>
      </w:pPr>
      <w:r w:rsidRPr="0009290F">
        <w:rPr>
          <w:lang w:val="en-US"/>
        </w:rPr>
        <w:t xml:space="preserve">The animal studies were performed according to the Danish Animal Experimentation Act (BEK no. 2028 of 14/12/2020) and the European directive (2010/63/EU) and carried out by licensed staff. The Danish Animal Experiments Inspectorate under the Ministry of Food, Fisheries, and Agriculture has approved all animal experiments and breeding of NPC2-deficient mice (license no. 2018-15-0201-01467 and 2019-15-0202-00056). </w:t>
      </w:r>
    </w:p>
    <w:p w14:paraId="21B4C15E" w14:textId="77777777" w:rsidR="00BD2AF2" w:rsidRPr="0009290F" w:rsidRDefault="00BD2AF2" w:rsidP="00401015">
      <w:pPr>
        <w:spacing w:line="300" w:lineRule="auto"/>
        <w:rPr>
          <w:lang w:val="en-US"/>
        </w:rPr>
      </w:pPr>
    </w:p>
    <w:p w14:paraId="55C6231C" w14:textId="77777777" w:rsidR="00401015" w:rsidRPr="0009290F" w:rsidRDefault="00401015" w:rsidP="00401015">
      <w:pPr>
        <w:spacing w:line="300" w:lineRule="auto"/>
        <w:rPr>
          <w:b/>
          <w:lang w:val="en-US"/>
        </w:rPr>
      </w:pPr>
      <w:r w:rsidRPr="0009290F">
        <w:rPr>
          <w:b/>
          <w:lang w:val="en-US"/>
        </w:rPr>
        <w:t>Animals</w:t>
      </w:r>
    </w:p>
    <w:p w14:paraId="2D3DCF73" w14:textId="679823FD" w:rsidR="00401015" w:rsidRPr="0009290F" w:rsidRDefault="00401015" w:rsidP="00401015">
      <w:pPr>
        <w:spacing w:line="300" w:lineRule="auto"/>
        <w:rPr>
          <w:lang w:val="en-US"/>
        </w:rPr>
      </w:pPr>
      <w:r w:rsidRPr="0009290F">
        <w:rPr>
          <w:lang w:val="en-US"/>
        </w:rPr>
        <w:t>The 129P2/OlaHsd-</w:t>
      </w:r>
      <w:r w:rsidRPr="0009290F">
        <w:rPr>
          <w:i/>
          <w:iCs/>
          <w:lang w:val="en-US"/>
        </w:rPr>
        <w:t>Npc2</w:t>
      </w:r>
      <w:r w:rsidRPr="0009290F">
        <w:rPr>
          <w:i/>
          <w:iCs/>
          <w:vertAlign w:val="superscript"/>
          <w:lang w:val="en-US"/>
        </w:rPr>
        <w:t>Gt(LST105)</w:t>
      </w:r>
      <w:proofErr w:type="spellStart"/>
      <w:r w:rsidRPr="0009290F">
        <w:rPr>
          <w:i/>
          <w:iCs/>
          <w:vertAlign w:val="superscript"/>
          <w:lang w:val="en-US"/>
        </w:rPr>
        <w:t>BygNya</w:t>
      </w:r>
      <w:proofErr w:type="spellEnd"/>
      <w:r w:rsidRPr="0009290F">
        <w:rPr>
          <w:i/>
          <w:iCs/>
          <w:lang w:val="en-US"/>
        </w:rPr>
        <w:t xml:space="preserve"> </w:t>
      </w:r>
      <w:r w:rsidRPr="0009290F">
        <w:rPr>
          <w:lang w:val="en-US"/>
        </w:rPr>
        <w:t xml:space="preserve">mouse strain </w:t>
      </w:r>
      <w:r w:rsidRPr="0009290F">
        <w:rPr>
          <w:lang w:val="en-US"/>
        </w:rPr>
        <w:fldChar w:fldCharType="begin" w:fldLock="1"/>
      </w:r>
      <w:r w:rsidRPr="0009290F">
        <w:rPr>
          <w:lang w:val="en-US"/>
        </w:rPr>
        <w:instrText>ADDIN CSL_CITATION {"citationItems":[{"id":"ITEM-1","itemData":{"ISBN":"1932-6203","ISSN":"1932-6203; 1932-6203","PMID":"22073306","abstract":"Niemann-Pick type C2 (NPC2) disease is a fatal autosomal recessive neurovisceral degenerative disorder characterized by late endosomal-lysosomal sequestration of low-density lipoprotein derived cholesterol. The breach in intracellular cholesterol homeostasis is caused by deficiency of functional NPC2, a soluble sterol binding protein targeted to the lysosomes by binding the mannose-6-phosphate receptor. As currently there is no effective treatment for the disorder, we have investigated the efficacy of NPC2 replacement therapy in a murine gene-trap model of NPC2-disease generated on the 129P2/OlaHsd genetic background. NPC2 was purified from bovine milk and its functional competence assured in NPC2-deficient fibroblasts using the specific cholesterol fluorescent probe filipin. For evaluation of phenotype correction in vivo, three-week-old NPC2(-/-) mice received two weekly intravenous injections of 5 mg/kg NPC2 until trial termination 66 days later. Whereas the saline treated NPC2(-/-) mice exhibited massive visceral cholesterol storage as compared to their wild-type littermates, administration of NPC2 caused a marked reduction in cholesterol build up. The histological findings, indicating an amelioration of the disease pathology in liver, spleen, and lungs, corroborated the biochemical results. Little or no difference in the overall cholesterol levels was observed in the kidneys, blood, cerebral cortex and hippocampus when comparing NPC2(-/-) and wild type mice. However, cerebellum cholesterol was increased about two fold in NPC2(-/-) mice compared with wild-type littermates. Weight gain performance was slightly improved as a result of the NPC2 treatment but significant motor coordination deficits were still observed. Accordingly, ultrastructural cerebellar abnormalities were detected in both saline treated and NPC2 treated NPC2(-/-) animals 87 days post partum. Our data indicate that protein replacement may be a beneficial therapeutic approach in the treatment of the visceral manifestations in NPC2 disease and further suggest that neurodegeneration is not secondary to visceral dysfunction.","author":[{"dropping-particle":"","family":"Nielsen","given":"Gitte Krogh","non-dropping-particle":"","parse-names":false,"suffix":""},{"dropping-particle":"","family":"Dagnaes-Hansen","given":"Frederik","non-dropping-particle":"","parse-names":false,"suffix":""},{"dropping-particle":"","family":"Holm","given":"Ida Elisabeth","non-dropping-particle":"","parse-names":false,"suffix":""},{"dropping-particle":"","family":"Meaney","given":"Steve","non-dropping-particle":"","parse-names":false,"suffix":""},{"dropping-particle":"","family":"Symula","given":"Derek","non-dropping-particle":"","parse-names":false,"suffix":""},{"dropping-particle":"","family":"Andersen","given":"Niels Trolle","non-dropping-particle":"","parse-names":false,"suffix":""},{"dropping-particle":"","family":"Heegaard","given":"Christian Würtz","non-dropping-particle":"","parse-names":false,"suffix":""}],"container-title":"PloS one","id":"ITEM-1","issue":"11","issued":{"date-parts":[["2011"]]},"page":"e27287","title":"Protein replacement therapy partially corrects the cholesterol-storage phenotype in a mouse model of Niemann-Pick type C2 disease","type":"article-journal","volume":"6"},"uris":["http://www.mendeley.com/documents/?uuid=7659f8ea-d466-4ff0-a55f-df3e4461fc20"]}],"mendeley":{"formattedCitation":"(30)","plainTextFormattedCitation":"(30)","previouslyFormattedCitation":"(30)"},"properties":{"noteIndex":0},"schema":"https://github.com/citation-style-language/schema/raw/master/csl-citation.json"}</w:instrText>
      </w:r>
      <w:r w:rsidRPr="0009290F">
        <w:rPr>
          <w:lang w:val="en-US"/>
        </w:rPr>
        <w:fldChar w:fldCharType="separate"/>
      </w:r>
      <w:r w:rsidRPr="0009290F">
        <w:rPr>
          <w:noProof/>
          <w:lang w:val="en-US"/>
        </w:rPr>
        <w:t>(</w:t>
      </w:r>
      <w:r w:rsidR="005D4B4B" w:rsidRPr="0009290F">
        <w:rPr>
          <w:noProof/>
          <w:lang w:val="en-US"/>
        </w:rPr>
        <w:t>4</w:t>
      </w:r>
      <w:r w:rsidRPr="0009290F">
        <w:rPr>
          <w:noProof/>
          <w:lang w:val="en-US"/>
        </w:rPr>
        <w:t>)</w:t>
      </w:r>
      <w:r w:rsidRPr="0009290F">
        <w:rPr>
          <w:lang w:val="en-US"/>
        </w:rPr>
        <w:fldChar w:fldCharType="end"/>
      </w:r>
      <w:r w:rsidRPr="0009290F">
        <w:rPr>
          <w:lang w:val="en-US"/>
        </w:rPr>
        <w:t xml:space="preserve"> was rederived using </w:t>
      </w:r>
      <w:r w:rsidRPr="0009290F">
        <w:rPr>
          <w:i/>
          <w:iCs/>
          <w:lang w:val="en-US"/>
        </w:rPr>
        <w:t>in vitro</w:t>
      </w:r>
      <w:r w:rsidRPr="0009290F">
        <w:rPr>
          <w:lang w:val="en-US"/>
        </w:rPr>
        <w:t xml:space="preserve"> fertilization, and the strain established on a BALB/</w:t>
      </w:r>
      <w:proofErr w:type="spellStart"/>
      <w:r w:rsidRPr="0009290F">
        <w:rPr>
          <w:lang w:val="en-US"/>
        </w:rPr>
        <w:t>cJRj</w:t>
      </w:r>
      <w:proofErr w:type="spellEnd"/>
      <w:r w:rsidRPr="0009290F">
        <w:rPr>
          <w:lang w:val="en-US"/>
        </w:rPr>
        <w:t xml:space="preserve"> background (supplied by Janvier Labs, Le Genest</w:t>
      </w:r>
      <w:r w:rsidRPr="0009290F">
        <w:rPr>
          <w:rFonts w:ascii="Cambria Math" w:hAnsi="Cambria Math" w:cs="Cambria Math"/>
          <w:lang w:val="en-US"/>
        </w:rPr>
        <w:t>‐</w:t>
      </w:r>
      <w:r w:rsidRPr="0009290F">
        <w:rPr>
          <w:lang w:val="en-US"/>
        </w:rPr>
        <w:t>Saint</w:t>
      </w:r>
      <w:r w:rsidRPr="0009290F">
        <w:rPr>
          <w:rFonts w:ascii="Cambria Math" w:hAnsi="Cambria Math" w:cs="Cambria Math"/>
          <w:lang w:val="en-US"/>
        </w:rPr>
        <w:t>‐</w:t>
      </w:r>
      <w:r w:rsidRPr="0009290F">
        <w:rPr>
          <w:lang w:val="en-US"/>
        </w:rPr>
        <w:t xml:space="preserve">Isle, France). Heterozygous </w:t>
      </w:r>
      <w:r w:rsidRPr="0009290F">
        <w:rPr>
          <w:i/>
          <w:iCs/>
          <w:lang w:val="en-US"/>
        </w:rPr>
        <w:t>Npc2</w:t>
      </w:r>
      <w:r w:rsidRPr="0009290F">
        <w:rPr>
          <w:lang w:val="en-US"/>
        </w:rPr>
        <w:t>+/- mice were mated to obtain offspring homozygous for the mutation (</w:t>
      </w:r>
      <w:r w:rsidRPr="0009290F">
        <w:rPr>
          <w:i/>
          <w:iCs/>
          <w:lang w:val="en-US"/>
        </w:rPr>
        <w:t>Npc2</w:t>
      </w:r>
      <w:r w:rsidRPr="0009290F">
        <w:rPr>
          <w:lang w:val="en-US"/>
        </w:rPr>
        <w:t>-/-) and wild-type (WT) control littermates (</w:t>
      </w:r>
      <w:r w:rsidRPr="0009290F">
        <w:rPr>
          <w:i/>
          <w:iCs/>
          <w:lang w:val="en-US"/>
        </w:rPr>
        <w:t>Npc2+/+</w:t>
      </w:r>
      <w:r w:rsidRPr="0009290F">
        <w:rPr>
          <w:lang w:val="en-US"/>
        </w:rPr>
        <w:t xml:space="preserve">). The breeding was established using continuous trio-breeding (two </w:t>
      </w:r>
      <w:r w:rsidRPr="0009290F">
        <w:rPr>
          <w:i/>
          <w:iCs/>
          <w:lang w:val="en-US"/>
        </w:rPr>
        <w:t>Npc2</w:t>
      </w:r>
      <w:r w:rsidRPr="0009290F">
        <w:rPr>
          <w:lang w:val="en-US"/>
        </w:rPr>
        <w:t xml:space="preserve">+/- female mice were housed with one </w:t>
      </w:r>
      <w:r w:rsidRPr="0009290F">
        <w:rPr>
          <w:i/>
          <w:iCs/>
          <w:lang w:val="en-US"/>
        </w:rPr>
        <w:t>Npc2</w:t>
      </w:r>
      <w:r w:rsidRPr="0009290F">
        <w:rPr>
          <w:lang w:val="en-US"/>
        </w:rPr>
        <w:t xml:space="preserve">+/- male mouse) </w:t>
      </w:r>
      <w:r w:rsidRPr="0009290F">
        <w:rPr>
          <w:lang w:val="en-US"/>
        </w:rPr>
        <w:fldChar w:fldCharType="begin" w:fldLock="1"/>
      </w:r>
      <w:r w:rsidRPr="0009290F">
        <w:rPr>
          <w:lang w:val="en-US"/>
        </w:rPr>
        <w:instrText>ADDIN CSL_CITATION {"citationItems":[{"id":"ITEM-1","itemData":{"DOI":"10.1016/j.mcn.2023.103880","ISSN":"10959327","PMID":"37454976","abstract":"Introduction: Niemann-Pick type C2 disease (NP-C2) is a fatal neurovisceral disorder caused by defects in the lysosomal cholesterol transporter protein NPC2. Consequently, cholesterol and other lipids accumulate within the lysosomes, causing a heterogeneous spectrum of clinical manifestations. Murine models are essential for increasing the understanding of the complex pathology of NP-C2. This study, therefore, aims to describe the neurovisceral pathology in the NPC2-deficient mouse model to evaluate its correlation to human NP-C2. Methods: Npc2−/− mice holding the LST105 mutation were used in the present study (Npc2Gt(LST105)BygNya). Body and organ weight and histopathological evaluations were carried out in six and 12-week-old Npc2−/− mice, with a special emphasis on neuropathology. The Purkinje cell (PC) marker calbindin, the astrocytic marker GFAP, and the microglia marker IBA1 were included to assess PC degeneration and neuroinflammation, respectively. In addition, the pathology of the liver, lungs, and spleen was assessed using hematoxylin and eosin staining. Results: Six weeks old pre-symptomatic Npc2−/− mice showed splenomegaly and obvious neuropathological changes, especially in the cerebellum, where initial PC loss and neuroinflammation were evident. The Npc2−/− mice developed neurological symptoms at eight weeks of age, severely progressing until the end-stage of the disease at 12 weeks. At the end-stage of the disease, Npc2−/− mice were characterized by growth retardation, tremor, cerebellar ataxia, splenomegaly, foam cell accumulation in the lungs, liver, and spleen, brain atrophy, pronounced PC degeneration, and severe neuroinflammation. Conclusion: The Npc2Gt(LST105)BygNya mouse model resembles the pathology seen in NP-C2 patients and denotes a valuable model for increasing the understanding of the complex disease manifestation and is relevant for testing the efficacies of new treatment strategies.","author":[{"dropping-particle":"","family":"Rasmussen","given":"Charlotte Laurfelt Munch","non-dropping-particle":"","parse-names":false,"suffix":""},{"dropping-particle":"","family":"Thomsen","given":"Louiza Bohn","non-dropping-particle":"","parse-names":false,"suffix":""},{"dropping-particle":"","family":"Heegaard","given":"Christian Würtz","non-dropping-particle":"","parse-names":false,"suffix":""},{"dropping-particle":"","family":"Moos","given":"Torben","non-dropping-particle":"","parse-names":false,"suffix":""},{"dropping-particle":"","family":"Burkhart","given":"Annette","non-dropping-particle":"","parse-names":false,"suffix":""}],"container-title":"Molecular and Cellular Neuroscience","id":"ITEM-1","issued":{"date-parts":[["2023"]]},"page":"103880","publisher":"Elsevier Inc.","title":"The Npc2Gt(LST105)BygNya mouse signifies pathological changes comparable to human Niemann-Pick type C2 disease","type":"article-journal","volume":"126"},"uris":["http://www.mendeley.com/documents/?uuid=945a15e7-5e56-4bb8-9a08-de1c2b6e2d5b"]}],"mendeley":{"formattedCitation":"(31)","plainTextFormattedCitation":"(31)","previouslyFormattedCitation":"(31)"},"properties":{"noteIndex":0},"schema":"https://github.com/citation-style-language/schema/raw/master/csl-citation.json"}</w:instrText>
      </w:r>
      <w:r w:rsidRPr="0009290F">
        <w:rPr>
          <w:lang w:val="en-US"/>
        </w:rPr>
        <w:fldChar w:fldCharType="separate"/>
      </w:r>
      <w:r w:rsidRPr="0009290F">
        <w:rPr>
          <w:noProof/>
          <w:lang w:val="en-US"/>
        </w:rPr>
        <w:t>(</w:t>
      </w:r>
      <w:r w:rsidR="005D4B4B" w:rsidRPr="0009290F">
        <w:rPr>
          <w:noProof/>
          <w:lang w:val="en-US"/>
        </w:rPr>
        <w:t>5</w:t>
      </w:r>
      <w:r w:rsidRPr="0009290F">
        <w:rPr>
          <w:noProof/>
          <w:lang w:val="en-US"/>
        </w:rPr>
        <w:t>)</w:t>
      </w:r>
      <w:r w:rsidRPr="0009290F">
        <w:rPr>
          <w:lang w:val="en-US"/>
        </w:rPr>
        <w:fldChar w:fldCharType="end"/>
      </w:r>
      <w:r w:rsidRPr="0009290F">
        <w:rPr>
          <w:lang w:val="en-US"/>
        </w:rPr>
        <w:t xml:space="preserve">. The housing and breeding were carried out at the animal facility at Aarhus University, Aarhus, Denmark, under specific pathogen-free conditions. Health monitoring was followed according to FELASA recommendations </w:t>
      </w:r>
      <w:r w:rsidRPr="0009290F">
        <w:rPr>
          <w:lang w:val="en-US"/>
        </w:rPr>
        <w:fldChar w:fldCharType="begin" w:fldLock="1"/>
      </w:r>
      <w:r w:rsidRPr="0009290F">
        <w:rPr>
          <w:lang w:val="en-US"/>
        </w:rPr>
        <w:instrText>ADDIN CSL_CITATION {"citationItems":[{"id":"ITEM-1","itemData":{"DOI":"10.1177/0023677213516312","abstract":"The microbiological quality of experimental animals can critically influence animal welfare and the validity and reproducibility of research data. It is therefore important for breeding and experimental facilities to establish a laboratory animal health monitoring (HM) programme as an integrated part of any quality assurance system. FELASA has published recommendations for the HM of rodent and rabbit colonies in breeding and experimental units (Nicklas et al. Laboratory Animals, 2002), with the intention of harmonizing HM programmes. As stated in the preamble, these recommendations need to be adapted periodically to meet current developments in laboratory animal medicine. Accordingly, previous recommendations have been revised and shall be replaced by the present recommendations. These recommendations are aimed at all breeders and users of laboratory mice, rats, Syrian hamsters, guinea pigs and rabbits as well as diagnostic laboratories. They describe essential aspects of HM, such as the choice of agents, selection of animals and tissues for testing, frequency of sampling, commonly used test methods, interpretation of results and HM reporting. Compared with previous recommendations, more emphasis is put on the role of a person with sufficient understanding of the principles of HM, opportunistic agents, the use of sentinel animals (particularly under conditions of cage-level containment) and the interpretation and reporting of HM results. Relevant agents, testing frequencies and literature references are updated. Supplementary information on specific agents and the number of animals to be monitored and an example of a HM programme description is provided in the appendices.","author":[{"dropping-particle":"","family":"Berard","given":"M","non-dropping-particle":"","parse-names":false,"suffix":""},{"dropping-particle":"","family":"Feinstein","given":"R","non-dropping-particle":"","parse-names":false,"suffix":""},{"dropping-particle":"","family":"Gallagher","given":"A","non-dropping-particle":"","parse-names":false,"suffix":""},{"dropping-particle":"","family":"Illgen-Wilcke","given":"B","non-dropping-particle":"","parse-names":false,"suffix":""},{"dropping-particle":"","family":"Pritchett-Corning","given":"K","non-dropping-particle":"","parse-names":false,"suffix":""},{"dropping-particle":"","family":"Raspa","given":"M","non-dropping-particle":"","parse-names":false,"suffix":""}],"container-title":"Laboratory Animals","id":"ITEM-1","issue":"3","issued":{"date-parts":[["2014"]]},"page":"178-192","title":"FELASA recommendations for the health monitoring of mouse, rat, hamster, guinea pig and rabbit colonies in breeding and experimental units","type":"article-journal","volume":"48"},"uris":["http://www.mendeley.com/documents/?uuid=53332881-d3ae-3081-90e3-c73275899033"]}],"mendeley":{"formattedCitation":"(32)","plainTextFormattedCitation":"(32)","previouslyFormattedCitation":"(32)"},"properties":{"noteIndex":0},"schema":"https://github.com/citation-style-language/schema/raw/master/csl-citation.json"}</w:instrText>
      </w:r>
      <w:r w:rsidRPr="0009290F">
        <w:rPr>
          <w:lang w:val="en-US"/>
        </w:rPr>
        <w:fldChar w:fldCharType="separate"/>
      </w:r>
      <w:r w:rsidRPr="0009290F">
        <w:rPr>
          <w:noProof/>
          <w:lang w:val="en-US"/>
        </w:rPr>
        <w:t>(</w:t>
      </w:r>
      <w:r w:rsidR="005D4B4B" w:rsidRPr="0009290F">
        <w:rPr>
          <w:noProof/>
          <w:lang w:val="en-US"/>
        </w:rPr>
        <w:t>6</w:t>
      </w:r>
      <w:r w:rsidRPr="0009290F">
        <w:rPr>
          <w:noProof/>
          <w:lang w:val="en-US"/>
        </w:rPr>
        <w:t>)</w:t>
      </w:r>
      <w:r w:rsidRPr="0009290F">
        <w:rPr>
          <w:lang w:val="en-US"/>
        </w:rPr>
        <w:fldChar w:fldCharType="end"/>
      </w:r>
      <w:r w:rsidRPr="0009290F">
        <w:rPr>
          <w:lang w:val="en-US"/>
        </w:rPr>
        <w:t xml:space="preserve">, and the mice were free of all pathogens listed. Both female and male mice were included in the study. The mice were group-housed with up to five mice per cage in standard IVC cages (GM500, </w:t>
      </w:r>
      <w:proofErr w:type="spellStart"/>
      <w:r w:rsidRPr="0009290F">
        <w:rPr>
          <w:lang w:val="en-US"/>
        </w:rPr>
        <w:t>Tecniplast</w:t>
      </w:r>
      <w:proofErr w:type="spellEnd"/>
      <w:r w:rsidRPr="0009290F">
        <w:rPr>
          <w:lang w:val="en-US"/>
        </w:rPr>
        <w:t xml:space="preserve">) under controlled conditions (ambient temperature 20-24°C, </w:t>
      </w:r>
      <w:r w:rsidRPr="0009290F">
        <w:rPr>
          <w:lang w:val="en-US"/>
        </w:rPr>
        <w:lastRenderedPageBreak/>
        <w:t xml:space="preserve">55 ± 10% humidity, and a 12-hour light/dark cycle with the light on at 6:00 am). They were provided with environmental enrichment consisting of </w:t>
      </w:r>
      <w:proofErr w:type="spellStart"/>
      <w:r w:rsidRPr="0009290F">
        <w:rPr>
          <w:lang w:val="en-US"/>
        </w:rPr>
        <w:t>Tapvei</w:t>
      </w:r>
      <w:proofErr w:type="spellEnd"/>
      <w:r w:rsidRPr="0009290F">
        <w:rPr>
          <w:lang w:val="en-US"/>
        </w:rPr>
        <w:t xml:space="preserve"> bedding material, sizzle nesting material, aspen bricks, biodegradable cardboard houses, tunnels, and peanuts as food enrichment. The cages were changed once a week. Offspring were weaned at 21 days of age and separated according to sex. Mice were provided with a standard chow diet (Altromin #1324, </w:t>
      </w:r>
      <w:proofErr w:type="spellStart"/>
      <w:r w:rsidRPr="0009290F">
        <w:rPr>
          <w:lang w:val="en-US"/>
        </w:rPr>
        <w:t>Brogaarden</w:t>
      </w:r>
      <w:proofErr w:type="spellEnd"/>
      <w:r w:rsidRPr="0009290F">
        <w:rPr>
          <w:lang w:val="en-US"/>
        </w:rPr>
        <w:t xml:space="preserve">, </w:t>
      </w:r>
      <w:proofErr w:type="spellStart"/>
      <w:r w:rsidRPr="0009290F">
        <w:rPr>
          <w:lang w:val="en-US"/>
        </w:rPr>
        <w:t>Lynge</w:t>
      </w:r>
      <w:proofErr w:type="spellEnd"/>
      <w:r w:rsidRPr="0009290F">
        <w:rPr>
          <w:lang w:val="en-US"/>
        </w:rPr>
        <w:t xml:space="preserve">, Denmark) and reverse osmosis water </w:t>
      </w:r>
      <w:r w:rsidRPr="0009290F">
        <w:rPr>
          <w:i/>
          <w:iCs/>
          <w:lang w:val="en-US"/>
        </w:rPr>
        <w:t>ad libitum</w:t>
      </w:r>
      <w:r w:rsidRPr="0009290F">
        <w:rPr>
          <w:lang w:val="en-US"/>
        </w:rPr>
        <w:t xml:space="preserve">. </w:t>
      </w:r>
    </w:p>
    <w:p w14:paraId="52A98743" w14:textId="77777777" w:rsidR="00BD2AF2" w:rsidRPr="0009290F" w:rsidRDefault="00BD2AF2" w:rsidP="00401015">
      <w:pPr>
        <w:spacing w:line="300" w:lineRule="auto"/>
        <w:rPr>
          <w:lang w:val="en-US"/>
        </w:rPr>
      </w:pPr>
    </w:p>
    <w:p w14:paraId="374C464B" w14:textId="77777777" w:rsidR="00401015" w:rsidRPr="0009290F" w:rsidRDefault="00401015" w:rsidP="00401015">
      <w:pPr>
        <w:spacing w:line="300" w:lineRule="auto"/>
        <w:rPr>
          <w:b/>
          <w:lang w:val="en-US"/>
        </w:rPr>
      </w:pPr>
      <w:r w:rsidRPr="0009290F">
        <w:rPr>
          <w:b/>
          <w:lang w:val="en-US"/>
        </w:rPr>
        <w:t xml:space="preserve">Genotyping </w:t>
      </w:r>
    </w:p>
    <w:p w14:paraId="04318B15" w14:textId="63759379" w:rsidR="00401015" w:rsidRPr="0009290F" w:rsidRDefault="00401015" w:rsidP="00401015">
      <w:pPr>
        <w:spacing w:line="300" w:lineRule="auto"/>
        <w:rPr>
          <w:lang w:val="en-US"/>
        </w:rPr>
      </w:pPr>
      <w:r w:rsidRPr="0009290F">
        <w:rPr>
          <w:lang w:val="en-US"/>
        </w:rPr>
        <w:t xml:space="preserve">Genotyping of mice was performed on postnatal days 10-14 based on ear punching </w:t>
      </w:r>
      <w:r w:rsidRPr="0009290F">
        <w:rPr>
          <w:lang w:val="en-US"/>
        </w:rPr>
        <w:fldChar w:fldCharType="begin" w:fldLock="1"/>
      </w:r>
      <w:r w:rsidRPr="0009290F">
        <w:rPr>
          <w:lang w:val="en-US"/>
        </w:rPr>
        <w:instrText>ADDIN CSL_CITATION {"citationItems":[{"id":"ITEM-1","itemData":{"DOI":"10.1016/j.mcn.2023.103880","ISSN":"10959327","PMID":"37454976","abstract":"Introduction: Niemann-Pick type C2 disease (NP-C2) is a fatal neurovisceral disorder caused by defects in the lysosomal cholesterol transporter protein NPC2. Consequently, cholesterol and other lipids accumulate within the lysosomes, causing a heterogeneous spectrum of clinical manifestations. Murine models are essential for increasing the understanding of the complex pathology of NP-C2. This study, therefore, aims to describe the neurovisceral pathology in the NPC2-deficient mouse model to evaluate its correlation to human NP-C2. Methods: Npc2−/− mice holding the LST105 mutation were used in the present study (Npc2Gt(LST105)BygNya). Body and organ weight and histopathological evaluations were carried out in six and 12-week-old Npc2−/− mice, with a special emphasis on neuropathology. The Purkinje cell (PC) marker calbindin, the astrocytic marker GFAP, and the microglia marker IBA1 were included to assess PC degeneration and neuroinflammation, respectively. In addition, the pathology of the liver, lungs, and spleen was assessed using hematoxylin and eosin staining. Results: Six weeks old pre-symptomatic Npc2−/− mice showed splenomegaly and obvious neuropathological changes, especially in the cerebellum, where initial PC loss and neuroinflammation were evident. The Npc2−/− mice developed neurological symptoms at eight weeks of age, severely progressing until the end-stage of the disease at 12 weeks. At the end-stage of the disease, Npc2−/− mice were characterized by growth retardation, tremor, cerebellar ataxia, splenomegaly, foam cell accumulation in the lungs, liver, and spleen, brain atrophy, pronounced PC degeneration, and severe neuroinflammation. Conclusion: The Npc2Gt(LST105)BygNya mouse model resembles the pathology seen in NP-C2 patients and denotes a valuable model for increasing the understanding of the complex disease manifestation and is relevant for testing the efficacies of new treatment strategies.","author":[{"dropping-particle":"","family":"Rasmussen","given":"Charlotte Laurfelt Munch","non-dropping-particle":"","parse-names":false,"suffix":""},{"dropping-particle":"","family":"Thomsen","given":"Louiza Bohn","non-dropping-particle":"","parse-names":false,"suffix":""},{"dropping-particle":"","family":"Heegaard","given":"Christian Würtz","non-dropping-particle":"","parse-names":false,"suffix":""},{"dropping-particle":"","family":"Moos","given":"Torben","non-dropping-particle":"","parse-names":false,"suffix":""},{"dropping-particle":"","family":"Burkhart","given":"Annette","non-dropping-particle":"","parse-names":false,"suffix":""}],"container-title":"Molecular and Cellular Neuroscience","id":"ITEM-1","issued":{"date-parts":[["2023"]]},"page":"103880","publisher":"Elsevier Inc.","title":"The Npc2Gt(LST105)BygNya mouse signifies pathological changes comparable to human Niemann-Pick type C2 disease","type":"article-journal","volume":"126"},"uris":["http://www.mendeley.com/documents/?uuid=945a15e7-5e56-4bb8-9a08-de1c2b6e2d5b"]}],"mendeley":{"formattedCitation":"(31)","plainTextFormattedCitation":"(31)","previouslyFormattedCitation":"(31)"},"properties":{"noteIndex":0},"schema":"https://github.com/citation-style-language/schema/raw/master/csl-citation.json"}</w:instrText>
      </w:r>
      <w:r w:rsidRPr="0009290F">
        <w:rPr>
          <w:lang w:val="en-US"/>
        </w:rPr>
        <w:fldChar w:fldCharType="separate"/>
      </w:r>
      <w:r w:rsidRPr="0009290F">
        <w:rPr>
          <w:noProof/>
          <w:lang w:val="en-US"/>
        </w:rPr>
        <w:t>(</w:t>
      </w:r>
      <w:r w:rsidR="005D4B4B" w:rsidRPr="0009290F">
        <w:rPr>
          <w:noProof/>
          <w:lang w:val="en-US"/>
        </w:rPr>
        <w:t>5</w:t>
      </w:r>
      <w:r w:rsidRPr="0009290F">
        <w:rPr>
          <w:noProof/>
          <w:lang w:val="en-US"/>
        </w:rPr>
        <w:t>)</w:t>
      </w:r>
      <w:r w:rsidRPr="0009290F">
        <w:rPr>
          <w:lang w:val="en-US"/>
        </w:rPr>
        <w:fldChar w:fldCharType="end"/>
      </w:r>
      <w:r w:rsidRPr="0009290F">
        <w:rPr>
          <w:lang w:val="en-US"/>
        </w:rPr>
        <w:t xml:space="preserve"> which was also used for individual identification. DNA from ear punches was purified using the Quick-DNA mini prep plus kit (</w:t>
      </w:r>
      <w:proofErr w:type="spellStart"/>
      <w:r w:rsidRPr="0009290F">
        <w:rPr>
          <w:lang w:val="en-US"/>
        </w:rPr>
        <w:t>Zymo</w:t>
      </w:r>
      <w:proofErr w:type="spellEnd"/>
      <w:r w:rsidRPr="0009290F">
        <w:rPr>
          <w:lang w:val="en-US"/>
        </w:rPr>
        <w:t xml:space="preserve"> Research # D4068) according to the manufacturer’s protocol. DNA </w:t>
      </w:r>
      <w:r w:rsidRPr="0009290F">
        <w:rPr>
          <w:rStyle w:val="normaltextrun"/>
          <w:shd w:val="clear" w:color="auto" w:fill="FFFFFF"/>
          <w:lang w:val="en-US"/>
        </w:rPr>
        <w:t xml:space="preserve">quantity and purity were determined with a </w:t>
      </w:r>
      <w:proofErr w:type="spellStart"/>
      <w:r w:rsidRPr="0009290F">
        <w:rPr>
          <w:rStyle w:val="spellingerror"/>
          <w:shd w:val="clear" w:color="auto" w:fill="FFFFFF"/>
          <w:lang w:val="en-US"/>
        </w:rPr>
        <w:t>DeNovix</w:t>
      </w:r>
      <w:proofErr w:type="spellEnd"/>
      <w:r w:rsidRPr="0009290F">
        <w:rPr>
          <w:rStyle w:val="normaltextrun"/>
          <w:shd w:val="clear" w:color="auto" w:fill="FFFFFF"/>
          <w:lang w:val="en-US"/>
        </w:rPr>
        <w:t xml:space="preserve"> Spectrophotometer DS-11. The </w:t>
      </w:r>
      <w:r w:rsidRPr="0009290F">
        <w:rPr>
          <w:rStyle w:val="normaltextrun"/>
          <w:i/>
          <w:iCs/>
          <w:shd w:val="clear" w:color="auto" w:fill="FFFFFF"/>
          <w:lang w:val="en-US"/>
        </w:rPr>
        <w:t>Npc2</w:t>
      </w:r>
      <w:r w:rsidRPr="0009290F">
        <w:rPr>
          <w:rStyle w:val="normaltextrun"/>
          <w:shd w:val="clear" w:color="auto" w:fill="FFFFFF"/>
          <w:lang w:val="en-US"/>
        </w:rPr>
        <w:t xml:space="preserve">-/- genotype was determined by </w:t>
      </w:r>
      <w:r w:rsidRPr="0009290F">
        <w:rPr>
          <w:lang w:val="en-US"/>
        </w:rPr>
        <w:t xml:space="preserve">qPCRs using Maxima SYBR Green Master Mix, with ROX as a reference (Thermo Fisher Scientific, #K0223) and two sets of primers (Table </w:t>
      </w:r>
      <w:r w:rsidR="00C76A53" w:rsidRPr="0009290F">
        <w:rPr>
          <w:lang w:val="en-US"/>
        </w:rPr>
        <w:t>S1</w:t>
      </w:r>
      <w:r w:rsidRPr="0009290F">
        <w:rPr>
          <w:lang w:val="en-US"/>
        </w:rPr>
        <w:t xml:space="preserve">). </w:t>
      </w:r>
      <w:r w:rsidRPr="0009290F">
        <w:rPr>
          <w:rStyle w:val="normaltextrun"/>
          <w:shd w:val="clear" w:color="auto" w:fill="FFFFFF"/>
          <w:lang w:val="en-US"/>
        </w:rPr>
        <w:t xml:space="preserve">All samples were analyzed in duplicates. </w:t>
      </w:r>
      <w:r w:rsidRPr="0009290F">
        <w:rPr>
          <w:rStyle w:val="normaltextrun"/>
          <w:lang w:val="en-US"/>
        </w:rPr>
        <w:t xml:space="preserve">The qPCR reaction was performed using the </w:t>
      </w:r>
      <w:proofErr w:type="spellStart"/>
      <w:r w:rsidRPr="0009290F">
        <w:rPr>
          <w:rStyle w:val="spellingerror"/>
          <w:lang w:val="en-US"/>
        </w:rPr>
        <w:t>QuantStudio</w:t>
      </w:r>
      <w:proofErr w:type="spellEnd"/>
      <w:r w:rsidRPr="0009290F">
        <w:rPr>
          <w:rStyle w:val="normaltextrun"/>
          <w:lang w:val="en-US"/>
        </w:rPr>
        <w:t xml:space="preserve"> 6 Flex Real-Time PCR System (</w:t>
      </w:r>
      <w:r w:rsidRPr="0009290F">
        <w:rPr>
          <w:rStyle w:val="spellingerror"/>
          <w:lang w:val="en-US"/>
        </w:rPr>
        <w:t>Thermo</w:t>
      </w:r>
      <w:r w:rsidRPr="0009290F">
        <w:rPr>
          <w:rStyle w:val="normaltextrun"/>
          <w:lang w:val="en-US"/>
        </w:rPr>
        <w:t xml:space="preserve"> Fisher Scientific). In short, the qPCR reaction was initiated with denaturation of the samples at 95 °C for 10 minutes followed by 40 cycles of denaturation at 95 °C for 15 seconds, annealing at 60 °C for 30 seconds, and extension at </w:t>
      </w:r>
      <w:r w:rsidRPr="0009290F">
        <w:rPr>
          <w:lang w:val="en-US"/>
        </w:rPr>
        <w:t xml:space="preserve">72°C for 30 seconds. Finally, a melt curve analysis was performed (60 °C to 95 °C with 0.05 °C/s). </w:t>
      </w:r>
    </w:p>
    <w:p w14:paraId="3B8CDF6A" w14:textId="77777777" w:rsidR="00BD2AF2" w:rsidRPr="0009290F" w:rsidRDefault="00BD2AF2" w:rsidP="00401015">
      <w:pPr>
        <w:spacing w:line="300" w:lineRule="auto"/>
        <w:rPr>
          <w:lang w:val="en-US"/>
        </w:rPr>
      </w:pPr>
    </w:p>
    <w:p w14:paraId="7BB16451" w14:textId="77777777" w:rsidR="00401015" w:rsidRPr="0009290F" w:rsidRDefault="00401015" w:rsidP="00401015">
      <w:pPr>
        <w:spacing w:line="300" w:lineRule="auto"/>
        <w:rPr>
          <w:b/>
          <w:lang w:val="en-US"/>
        </w:rPr>
      </w:pPr>
      <w:r w:rsidRPr="0009290F">
        <w:rPr>
          <w:b/>
          <w:i/>
          <w:lang w:val="en-US"/>
        </w:rPr>
        <w:t xml:space="preserve">In vivo </w:t>
      </w:r>
      <w:r w:rsidRPr="0009290F">
        <w:rPr>
          <w:b/>
          <w:lang w:val="en-US"/>
        </w:rPr>
        <w:t>study design</w:t>
      </w:r>
    </w:p>
    <w:p w14:paraId="5F626066" w14:textId="1B8FABE1" w:rsidR="00401015" w:rsidRPr="0009290F" w:rsidRDefault="00401015" w:rsidP="00401015">
      <w:pPr>
        <w:spacing w:line="300" w:lineRule="auto"/>
        <w:rPr>
          <w:strike/>
          <w:lang w:val="en-US"/>
        </w:rPr>
      </w:pPr>
      <w:r w:rsidRPr="0009290F">
        <w:rPr>
          <w:lang w:val="en-US"/>
        </w:rPr>
        <w:t xml:space="preserve">A total of 30 mice were used in the study. Offspring from the trio breeding of heterozygote </w:t>
      </w:r>
      <w:r w:rsidRPr="0009290F">
        <w:rPr>
          <w:i/>
          <w:iCs/>
          <w:lang w:val="en-US"/>
        </w:rPr>
        <w:t>Npc2</w:t>
      </w:r>
      <w:r w:rsidRPr="0009290F">
        <w:rPr>
          <w:lang w:val="en-US"/>
        </w:rPr>
        <w:t xml:space="preserve">+/- were divided into three groups (n=10/group). The </w:t>
      </w:r>
      <w:r w:rsidRPr="0009290F">
        <w:rPr>
          <w:i/>
          <w:iCs/>
          <w:lang w:val="en-US"/>
        </w:rPr>
        <w:t>Npc2</w:t>
      </w:r>
      <w:r w:rsidRPr="0009290F">
        <w:rPr>
          <w:lang w:val="en-US"/>
        </w:rPr>
        <w:t xml:space="preserve">-/- mice were randomly allocated to their respective group (treated vs. untreated) using a computer-based random order generator </w:t>
      </w:r>
      <w:r w:rsidRPr="0009290F">
        <w:rPr>
          <w:lang w:val="en-US"/>
        </w:rPr>
        <w:fldChar w:fldCharType="begin" w:fldLock="1"/>
      </w:r>
      <w:r w:rsidRPr="0009290F">
        <w:rPr>
          <w:lang w:val="en-US"/>
        </w:rPr>
        <w:instrText>ADDIN CSL_CITATION {"citationItems":[{"id":"ITEM-1","itemData":{"abstract":"(Urbaniak, G. C., &amp; Plous, S. (2013). Research Randomizer (Version 4.0) [Computer software]. Retrieved on June 22, 2013,","author":[{"dropping-particle":"","family":"Urbaniak","given":"G. C.","non-dropping-particle":"","parse-names":false,"suffix":""},{"dropping-particle":"","family":"Plous","given":"S.","non-dropping-particle":"","parse-names":false,"suffix":""}],"id":"ITEM-1","issued":{"date-parts":[["2013","6","22"]]},"number":"4","title":"Research Randomizer","type":"article"},"uris":["http://www.mendeley.com/documents/?uuid=ac4dd826-55f5-370a-8e78-758cfd768a51"]}],"mendeley":{"formattedCitation":"(33)","plainTextFormattedCitation":"(33)","previouslyFormattedCitation":"(33)"},"properties":{"noteIndex":0},"schema":"https://github.com/citation-style-language/schema/raw/master/csl-citation.json"}</w:instrText>
      </w:r>
      <w:r w:rsidRPr="0009290F">
        <w:rPr>
          <w:lang w:val="en-US"/>
        </w:rPr>
        <w:fldChar w:fldCharType="separate"/>
      </w:r>
      <w:r w:rsidRPr="0009290F">
        <w:rPr>
          <w:noProof/>
          <w:lang w:val="en-US"/>
        </w:rPr>
        <w:t>(</w:t>
      </w:r>
      <w:r w:rsidR="005D4B4B" w:rsidRPr="0009290F">
        <w:rPr>
          <w:noProof/>
          <w:lang w:val="en-US"/>
        </w:rPr>
        <w:t>7</w:t>
      </w:r>
      <w:r w:rsidRPr="0009290F">
        <w:rPr>
          <w:noProof/>
          <w:lang w:val="en-US"/>
        </w:rPr>
        <w:t>)</w:t>
      </w:r>
      <w:r w:rsidRPr="0009290F">
        <w:rPr>
          <w:lang w:val="en-US"/>
        </w:rPr>
        <w:fldChar w:fldCharType="end"/>
      </w:r>
      <w:r w:rsidRPr="0009290F">
        <w:rPr>
          <w:lang w:val="en-US"/>
        </w:rPr>
        <w:t>. The study director was blinded to treatment status during the entire study period and blinded to genotype and treatment group during the histopathological evaluation. In the first and second groups, six weeks old</w:t>
      </w:r>
      <w:r w:rsidRPr="0009290F">
        <w:rPr>
          <w:i/>
          <w:iCs/>
          <w:lang w:val="en-US"/>
        </w:rPr>
        <w:t xml:space="preserve"> Npc2</w:t>
      </w:r>
      <w:r w:rsidRPr="0009290F">
        <w:rPr>
          <w:lang w:val="en-US"/>
        </w:rPr>
        <w:t>-/- mice were intravenously injected with sterile phosphate-buffered saline (PBS) or AAV-BR1-NPC2 vectors diluted in PBS (dose at 1.6x10</w:t>
      </w:r>
      <w:r w:rsidRPr="0009290F">
        <w:rPr>
          <w:vertAlign w:val="superscript"/>
          <w:lang w:val="en-US"/>
        </w:rPr>
        <w:t>11</w:t>
      </w:r>
      <w:r w:rsidRPr="0009290F">
        <w:rPr>
          <w:lang w:val="en-US"/>
        </w:rPr>
        <w:t xml:space="preserve"> viral vectors/mouse) in the tail vein. Both groups were injected with the same volume (200 µl). The vector dose and route of administration are based on previous studies </w:t>
      </w:r>
      <w:r w:rsidRPr="0009290F">
        <w:rPr>
          <w:lang w:val="en-US"/>
        </w:rPr>
        <w:fldChar w:fldCharType="begin" w:fldLock="1"/>
      </w:r>
      <w:r w:rsidRPr="0009290F">
        <w:rPr>
          <w:lang w:val="en-US"/>
        </w:rPr>
        <w:instrText>ADDIN CSL_CITATION {"citationItems":[{"id":"ITEM-1","itemData":{"ISSN":"1757-4676","PMID":"27137490","abstract":"Gene therapy critically relies on vectors that combine high transduction efficiency with a high degree of target specificity and that can be administered through a safe intravenous route. The lack of suitable vectors, especially for gene therapy of brain disorders, represents a major obstacle. Therefore, we applied an in vivo screening system of random ligand libraries displayed on adeno-associated viral capsids to select brain-targeted vectors for the treatment of neurovascular diseases. We identified a capsid variant showing an unprecedented degree of specificity and long-lasting transduction efficiency for brain microvasculature endothelial cells as the primary target of selection. A therapeutic vector based on this selected viral capsid was used to markedly attenuate the severe cerebrovascular pathology of mice with incontinentia pigmenti after a single intravenous injection. Furthermore, the versatility of this selection system will make it possible to select ligands for additional in vivo targets without requiring previous identification of potential target-specific receptors.","author":[{"dropping-particle":"","family":"Körbelin","given":"Jakob","non-dropping-particle":"","parse-names":false,"suffix":""},{"dropping-particle":"","family":"Dogbevia","given":"Godwin","non-dropping-particle":"","parse-names":false,"suffix":""},{"dropping-particle":"","family":"Michelfelder","given":"Stefan","non-dropping-particle":"","parse-names":false,"suffix":""},{"dropping-particle":"","family":"Ridder","given":"Dirk A","non-dropping-particle":"","parse-names":false,"suffix":""},{"dropping-particle":"","family":"Hunger","given":"Agnes","non-dropping-particle":"","parse-names":false,"suffix":""},{"dropping-particle":"","family":"Wenzel","given":"Jan","non-dropping-particle":"","parse-names":false,"suffix":""},{"dropping-particle":"","family":"Seismann","given":"Henning","non-dropping-particle":"","parse-names":false,"suffix":""},{"dropping-particle":"","family":"Lampe","given":"Melanie","non-dropping-particle":"","parse-names":false,"suffix":""},{"dropping-particle":"","family":"Bannach","given":"Jacqueline","non-dropping-particle":"","parse-names":false,"suffix":""},{"dropping-particle":"","family":"Pasparakis","given":"Manolis","non-dropping-particle":"","parse-names":false,"suffix":""},{"dropping-particle":"","family":"Kleinschmidt","given":"Jürgen A","non-dropping-particle":"","parse-names":false,"suffix":""},{"dropping-particle":"","family":"Schwaninger","given":"Markus","non-dropping-particle":"","parse-names":false,"suffix":""},{"dropping-particle":"","family":"Trepel","given":"Martin","non-dropping-particle":"","parse-names":false,"suffix":""}],"container-title":"EMBO Molecular Medicine","id":"ITEM-1","issue":"6","issued":{"date-parts":[["2016"]]},"page":"609-625","title":"A brain microvasculature endothelial cell</w:instrText>
      </w:r>
      <w:r w:rsidRPr="0009290F">
        <w:rPr>
          <w:rFonts w:ascii="Cambria Math" w:hAnsi="Cambria Math" w:cs="Cambria Math"/>
          <w:lang w:val="en-US"/>
        </w:rPr>
        <w:instrText>‐</w:instrText>
      </w:r>
      <w:r w:rsidRPr="0009290F">
        <w:rPr>
          <w:lang w:val="en-US"/>
        </w:rPr>
        <w:instrText>specific viral vector with the potential to treat neurovascular and neurological diseases","type":"article-journal","volume":"8"},"uris":["http://www.mendeley.com/documents/?uuid=aa597e07-6945-3785-869b-2d383671a57a"]},{"id":"ITEM-2","itemData":{"DOI":"10.1111/JNC.15621","ISSN":"1471-4159","author":[{"dropping-particle":"","family":"Rasmussen","given":"Charlotte L.M.","non-dropping-particle":"","parse-names":false,"suffix":""},{"dropping-particle":"","family":"Hede","given":"Eva","non-dropping-particle":"","parse-names":false,"suffix":""},{"dropping-particle":"","family":"Routhe","given":"Lisa Juul","non-dropping-particle":"","parse-names":false,"suffix":""},{"dropping-particle":"","family":"Körbelin","given":"Jakob","non-dropping-particle":"","parse-names":false,"suffix":""},{"dropping-particle":"","family":"Helgudottir","given":"Steinunn Sara","non-dropping-particle":"","parse-names":false,"suffix":""},{"dropping-particle":"","family":"Thomsen","given":"Louiza Bohn","non-dropping-particle":"","parse-names":false,"suffix":""},{"dropping-particle":"","family":"Schwaninger","given":"Markus","non-dropping-particle":"","parse-names":false,"suffix":""},{"dropping-particle":"","family":"Burkhart","given":"Annette","non-dropping-particle":"","parse-names":false,"suffix":""},{"dropping-particle":"","family":"Moos","given":"Torben","non-dropping-particle":"","parse-names":false,"suffix":""}],"container-title":"Journal of Neurochemistry","id":"ITEM-2","issued":{"date-parts":[["2023"]]},"page":"6-28","title":"A novel strategy for delivering Niemann-Pick type C2 proteins across the blood–brain barrier using the brain endothelial-specific AAV-BR1 virus","type":"article-journal","volume":"164"},"uris":["http://www.mendeley.com/documents/?uuid=7cd76c01-8b8d-3d2c-a501-d7a9d9623363"]}],"mendeley":{"formattedCitation":"(18,23)","plainTextFormattedCitation":"(18,23)","previouslyFormattedCitation":"(18,23)"},"properties":{"noteIndex":0},"schema":"https://github.com/citation-style-language/schema/raw/master/csl-citation.json"}</w:instrText>
      </w:r>
      <w:r w:rsidRPr="0009290F">
        <w:rPr>
          <w:lang w:val="en-US"/>
        </w:rPr>
        <w:fldChar w:fldCharType="separate"/>
      </w:r>
      <w:r w:rsidRPr="0009290F">
        <w:rPr>
          <w:noProof/>
          <w:lang w:val="en-US"/>
        </w:rPr>
        <w:t>(</w:t>
      </w:r>
      <w:r w:rsidR="005D4B4B" w:rsidRPr="0009290F">
        <w:rPr>
          <w:noProof/>
          <w:lang w:val="en-US"/>
        </w:rPr>
        <w:t>1,2</w:t>
      </w:r>
      <w:r w:rsidRPr="0009290F">
        <w:rPr>
          <w:noProof/>
          <w:lang w:val="en-US"/>
        </w:rPr>
        <w:t>)</w:t>
      </w:r>
      <w:r w:rsidRPr="0009290F">
        <w:rPr>
          <w:lang w:val="en-US"/>
        </w:rPr>
        <w:fldChar w:fldCharType="end"/>
      </w:r>
      <w:r w:rsidRPr="0009290F">
        <w:rPr>
          <w:lang w:val="en-US"/>
        </w:rPr>
        <w:t>. The third group included age-matched untreated wild-type (WT) littermates used as controls. The experimental unit is the individual mouse, and since only 1 in 7 mice is born with the</w:t>
      </w:r>
      <w:r w:rsidRPr="0009290F">
        <w:rPr>
          <w:i/>
          <w:iCs/>
          <w:lang w:val="en-US"/>
        </w:rPr>
        <w:t xml:space="preserve"> Npc2</w:t>
      </w:r>
      <w:r w:rsidRPr="0009290F">
        <w:rPr>
          <w:lang w:val="en-US"/>
        </w:rPr>
        <w:t xml:space="preserve">-/- genotype </w:t>
      </w:r>
      <w:r w:rsidRPr="0009290F">
        <w:rPr>
          <w:lang w:val="en-US"/>
        </w:rPr>
        <w:fldChar w:fldCharType="begin" w:fldLock="1"/>
      </w:r>
      <w:r w:rsidRPr="0009290F">
        <w:rPr>
          <w:lang w:val="en-US"/>
        </w:rPr>
        <w:instrText>ADDIN CSL_CITATION {"citationItems":[{"id":"ITEM-1","itemData":{"DOI":"10.1016/j.mcn.2023.103880","ISSN":"10959327","PMID":"37454976","abstract":"Introduction: Niemann-Pick type C2 disease (NP-C2) is a fatal neurovisceral disorder caused by defects in the lysosomal cholesterol transporter protein NPC2. Consequently, cholesterol and other lipids accumulate within the lysosomes, causing a heterogeneous spectrum of clinical manifestations. Murine models are essential for increasing the understanding of the complex pathology of NP-C2. This study, therefore, aims to describe the neurovisceral pathology in the NPC2-deficient mouse model to evaluate its correlation to human NP-C2. Methods: Npc2−/− mice holding the LST105 mutation were used in the present study (Npc2Gt(LST105)BygNya). Body and organ weight and histopathological evaluations were carried out in six and 12-week-old Npc2−/− mice, with a special emphasis on neuropathology. The Purkinje cell (PC) marker calbindin, the astrocytic marker GFAP, and the microglia marker IBA1 were included to assess PC degeneration and neuroinflammation, respectively. In addition, the pathology of the liver, lungs, and spleen was assessed using hematoxylin and eosin staining. Results: Six weeks old pre-symptomatic Npc2−/− mice showed splenomegaly and obvious neuropathological changes, especially in the cerebellum, where initial PC loss and neuroinflammation were evident. The Npc2−/− mice developed neurological symptoms at eight weeks of age, severely progressing until the end-stage of the disease at 12 weeks. At the end-stage of the disease, Npc2−/− mice were characterized by growth retardation, tremor, cerebellar ataxia, splenomegaly, foam cell accumulation in the lungs, liver, and spleen, brain atrophy, pronounced PC degeneration, and severe neuroinflammation. Conclusion: The Npc2Gt(LST105)BygNya mouse model resembles the pathology seen in NP-C2 patients and denotes a valuable model for increasing the understanding of the complex disease manifestation and is relevant for testing the efficacies of new treatment strategies.","author":[{"dropping-particle":"","family":"Rasmussen","given":"Charlotte Laurfelt Munch","non-dropping-particle":"","parse-names":false,"suffix":""},{"dropping-particle":"","family":"Thomsen","given":"Louiza Bohn","non-dropping-particle":"","parse-names":false,"suffix":""},{"dropping-particle":"","family":"Heegaard","given":"Christian Würtz","non-dropping-particle":"","parse-names":false,"suffix":""},{"dropping-particle":"","family":"Moos","given":"Torben","non-dropping-particle":"","parse-names":false,"suffix":""},{"dropping-particle":"","family":"Burkhart","given":"Annette","non-dropping-particle":"","parse-names":false,"suffix":""}],"container-title":"Molecular and Cellular Neuroscience","id":"ITEM-1","issued":{"date-parts":[["2023"]]},"page":"103880","publisher":"Elsevier Inc.","title":"The Npc2Gt(LST105)BygNya mouse signifies pathological changes comparable to human Niemann-Pick type C2 disease","type":"article-journal","volume":"126"},"uris":["http://www.mendeley.com/documents/?uuid=945a15e7-5e56-4bb8-9a08-de1c2b6e2d5b"]}],"mendeley":{"formattedCitation":"(31)","plainTextFormattedCitation":"(31)","previouslyFormattedCitation":"(31)"},"properties":{"noteIndex":0},"schema":"https://github.com/citation-style-language/schema/raw/master/csl-citation.json"}</w:instrText>
      </w:r>
      <w:r w:rsidRPr="0009290F">
        <w:rPr>
          <w:lang w:val="en-US"/>
        </w:rPr>
        <w:fldChar w:fldCharType="separate"/>
      </w:r>
      <w:r w:rsidRPr="0009290F">
        <w:rPr>
          <w:noProof/>
          <w:lang w:val="en-US"/>
        </w:rPr>
        <w:t>(</w:t>
      </w:r>
      <w:r w:rsidR="005D4B4B" w:rsidRPr="0009290F">
        <w:rPr>
          <w:noProof/>
          <w:lang w:val="en-US"/>
        </w:rPr>
        <w:t>5</w:t>
      </w:r>
      <w:r w:rsidRPr="0009290F">
        <w:rPr>
          <w:noProof/>
          <w:lang w:val="en-US"/>
        </w:rPr>
        <w:t>)</w:t>
      </w:r>
      <w:r w:rsidRPr="0009290F">
        <w:rPr>
          <w:lang w:val="en-US"/>
        </w:rPr>
        <w:fldChar w:fldCharType="end"/>
      </w:r>
      <w:r w:rsidRPr="0009290F">
        <w:rPr>
          <w:lang w:val="en-US"/>
        </w:rPr>
        <w:t xml:space="preserve">, the study was conducted in seven cohorts. Whenever possible, all experimental groups were represented in each of the cages. During the study period, the mice were monitored daily for their clinical condition. The body weight was measured weekly, but from 60 days of age until the end of the study (day 84), the body weight was measured twice a week. At 12 weeks of age, before reaching the end stage of the disease, the study was terminated. </w:t>
      </w:r>
    </w:p>
    <w:p w14:paraId="5B9C0FE5" w14:textId="77777777" w:rsidR="00BD2AF2" w:rsidRPr="0009290F" w:rsidRDefault="00BD2AF2" w:rsidP="00401015">
      <w:pPr>
        <w:spacing w:line="300" w:lineRule="auto"/>
        <w:rPr>
          <w:lang w:val="en-US"/>
        </w:rPr>
      </w:pPr>
    </w:p>
    <w:p w14:paraId="09C8F06E" w14:textId="77777777" w:rsidR="00452C28" w:rsidRDefault="00452C28" w:rsidP="00401015">
      <w:pPr>
        <w:spacing w:line="300" w:lineRule="auto"/>
        <w:rPr>
          <w:b/>
          <w:lang w:val="en-US"/>
        </w:rPr>
      </w:pPr>
    </w:p>
    <w:p w14:paraId="62FC2DF8" w14:textId="77777777" w:rsidR="00452C28" w:rsidRDefault="00452C28" w:rsidP="00401015">
      <w:pPr>
        <w:spacing w:line="300" w:lineRule="auto"/>
        <w:rPr>
          <w:b/>
          <w:lang w:val="en-US"/>
        </w:rPr>
      </w:pPr>
    </w:p>
    <w:p w14:paraId="1D64F0EA" w14:textId="698ECFEF" w:rsidR="00401015" w:rsidRPr="0009290F" w:rsidRDefault="00401015" w:rsidP="00401015">
      <w:pPr>
        <w:spacing w:line="300" w:lineRule="auto"/>
        <w:rPr>
          <w:b/>
          <w:lang w:val="en-US"/>
        </w:rPr>
      </w:pPr>
      <w:r w:rsidRPr="0009290F">
        <w:rPr>
          <w:b/>
          <w:lang w:val="en-US"/>
        </w:rPr>
        <w:lastRenderedPageBreak/>
        <w:t>Human</w:t>
      </w:r>
      <w:r w:rsidR="00452C28">
        <w:rPr>
          <w:b/>
          <w:lang w:val="en-US"/>
        </w:rPr>
        <w:t xml:space="preserve"> </w:t>
      </w:r>
      <w:r w:rsidRPr="0009290F">
        <w:rPr>
          <w:b/>
          <w:lang w:val="en-US"/>
        </w:rPr>
        <w:t>endpoints</w:t>
      </w:r>
    </w:p>
    <w:p w14:paraId="447B0AD0" w14:textId="45D4206D" w:rsidR="00401015" w:rsidRPr="0009290F" w:rsidRDefault="00401015" w:rsidP="00401015">
      <w:pPr>
        <w:spacing w:line="300" w:lineRule="auto"/>
        <w:rPr>
          <w:lang w:val="en-US"/>
        </w:rPr>
      </w:pPr>
      <w:r w:rsidRPr="0009290F">
        <w:rPr>
          <w:lang w:val="en-US"/>
        </w:rPr>
        <w:t xml:space="preserve">Based on knowledge of disease progression and manifestations from a previous study using similar </w:t>
      </w:r>
      <w:r w:rsidRPr="0009290F">
        <w:rPr>
          <w:i/>
          <w:iCs/>
          <w:lang w:val="en-US"/>
        </w:rPr>
        <w:t>Npc2-/-</w:t>
      </w:r>
      <w:r w:rsidRPr="0009290F">
        <w:rPr>
          <w:lang w:val="en-US"/>
        </w:rPr>
        <w:t xml:space="preserve"> mice</w:t>
      </w:r>
      <w:r w:rsidR="002D44E8" w:rsidRPr="0009290F">
        <w:rPr>
          <w:lang w:val="en-US"/>
        </w:rPr>
        <w:t xml:space="preserve"> (4)</w:t>
      </w:r>
      <w:r w:rsidRPr="0009290F">
        <w:rPr>
          <w:lang w:val="en-US"/>
        </w:rPr>
        <w:t xml:space="preserve">, the mice were euthanized at 12 weeks of age (six weeks post-injection) or whenever humane endpoints were reached. The humane endpoints were as follows: inability to drink or eat, dehydration, severe tremors, and ataxia resulting in repeated falling or reluctance to move, weighing 20 % less compared to WT mice of identical age and sex, and penile prolapse. </w:t>
      </w:r>
    </w:p>
    <w:p w14:paraId="112E422F" w14:textId="77777777" w:rsidR="00E53640" w:rsidRPr="0009290F" w:rsidRDefault="00E53640" w:rsidP="00401015">
      <w:pPr>
        <w:spacing w:line="300" w:lineRule="auto"/>
        <w:rPr>
          <w:strike/>
          <w:lang w:val="en-US"/>
        </w:rPr>
      </w:pPr>
    </w:p>
    <w:p w14:paraId="3F5AA42E" w14:textId="77777777" w:rsidR="00401015" w:rsidRPr="0009290F" w:rsidRDefault="00401015" w:rsidP="00401015">
      <w:pPr>
        <w:spacing w:line="300" w:lineRule="auto"/>
        <w:rPr>
          <w:b/>
          <w:lang w:val="en-US"/>
        </w:rPr>
      </w:pPr>
      <w:r w:rsidRPr="0009290F">
        <w:rPr>
          <w:b/>
          <w:lang w:val="en-US"/>
        </w:rPr>
        <w:t xml:space="preserve">Tissue collection and processing </w:t>
      </w:r>
    </w:p>
    <w:p w14:paraId="7DD2DECC" w14:textId="77777777" w:rsidR="00452C28" w:rsidRDefault="00401015" w:rsidP="00452C28">
      <w:pPr>
        <w:spacing w:line="300" w:lineRule="auto"/>
        <w:rPr>
          <w:lang w:val="en-US"/>
        </w:rPr>
      </w:pPr>
      <w:r w:rsidRPr="0009290F">
        <w:rPr>
          <w:lang w:val="en-US"/>
        </w:rPr>
        <w:t>At 12 weeks of age, the mice were deeply anesthetized with 5 % isoflurane (1L/min O</w:t>
      </w:r>
      <w:r w:rsidRPr="0009290F">
        <w:rPr>
          <w:vertAlign w:val="subscript"/>
          <w:lang w:val="en-US"/>
        </w:rPr>
        <w:t>2</w:t>
      </w:r>
      <w:r w:rsidRPr="0009290F">
        <w:rPr>
          <w:lang w:val="en-US"/>
        </w:rPr>
        <w:t xml:space="preserve">), and once reflexes were absent, the thoracic cavity was opened, and </w:t>
      </w:r>
      <w:r w:rsidR="008B2639" w:rsidRPr="0009290F">
        <w:rPr>
          <w:lang w:val="en-US"/>
        </w:rPr>
        <w:t>t</w:t>
      </w:r>
      <w:r w:rsidRPr="0009290F">
        <w:rPr>
          <w:lang w:val="en-US"/>
        </w:rPr>
        <w:t xml:space="preserve">he animals </w:t>
      </w:r>
      <w:proofErr w:type="spellStart"/>
      <w:r w:rsidRPr="0009290F">
        <w:rPr>
          <w:lang w:val="en-US"/>
        </w:rPr>
        <w:t>transcardially</w:t>
      </w:r>
      <w:proofErr w:type="spellEnd"/>
      <w:r w:rsidRPr="0009290F">
        <w:rPr>
          <w:lang w:val="en-US"/>
        </w:rPr>
        <w:t xml:space="preserve"> perfused with a manual injection of 20 ml cold PBS. Brain, liver, spleen, and lung tissue were harvested from every animal (n=10) and weighed using a precision scale. Afterward, the organs were divided in two; one half was snap-frozen on dry ice and stored at -70°C for biochemical analysis, and the other half was post-fixated in 4 % PFA overnight at 4°C. Post-fixated organs were subsequently thoroughly washed in </w:t>
      </w:r>
      <w:r w:rsidRPr="0009290F">
        <w:rPr>
          <w:lang w:val="en-GB"/>
        </w:rPr>
        <w:t>potassium-containing phosphate-buffered saline (</w:t>
      </w:r>
      <w:r w:rsidRPr="0009290F">
        <w:rPr>
          <w:lang w:val="en-US"/>
        </w:rPr>
        <w:t xml:space="preserve">PPBS) and stored at 4°C in PPBS with 0.1 % sodium </w:t>
      </w:r>
      <w:proofErr w:type="spellStart"/>
      <w:r w:rsidRPr="0009290F">
        <w:rPr>
          <w:lang w:val="en-US"/>
        </w:rPr>
        <w:t>azide</w:t>
      </w:r>
      <w:proofErr w:type="spellEnd"/>
      <w:r w:rsidRPr="0009290F">
        <w:rPr>
          <w:lang w:val="en-US"/>
        </w:rPr>
        <w:t>.</w:t>
      </w:r>
    </w:p>
    <w:p w14:paraId="0C12069C" w14:textId="77777777" w:rsidR="00452C28" w:rsidRDefault="00452C28" w:rsidP="00452C28">
      <w:pPr>
        <w:spacing w:line="300" w:lineRule="auto"/>
        <w:rPr>
          <w:lang w:val="en-US"/>
        </w:rPr>
      </w:pPr>
    </w:p>
    <w:p w14:paraId="6B8082B2" w14:textId="1DBA3864" w:rsidR="008A4750" w:rsidRPr="0009290F" w:rsidRDefault="008A4750" w:rsidP="00452C28">
      <w:pPr>
        <w:spacing w:line="300" w:lineRule="auto"/>
        <w:rPr>
          <w:lang w:val="en-US"/>
        </w:rPr>
      </w:pPr>
      <w:r w:rsidRPr="0009290F">
        <w:rPr>
          <w:b/>
          <w:lang w:val="en-US"/>
        </w:rPr>
        <w:t>Quantification of viral genomes in tissue</w:t>
      </w:r>
    </w:p>
    <w:p w14:paraId="3C22E4C5" w14:textId="77777777" w:rsidR="008A4750" w:rsidRPr="0009290F" w:rsidRDefault="008A4750" w:rsidP="008A4750">
      <w:pPr>
        <w:spacing w:line="300" w:lineRule="auto"/>
        <w:rPr>
          <w:lang w:val="en-US"/>
        </w:rPr>
      </w:pPr>
      <w:r w:rsidRPr="0009290F">
        <w:rPr>
          <w:lang w:val="en-US"/>
        </w:rPr>
        <w:t xml:space="preserve">Approximately 10-20 mg tissue from the cerebrum, lung, liver, and spleen was homogenized in RNeasy Lysis Buffer with </w:t>
      </w:r>
      <w:proofErr w:type="spellStart"/>
      <w:r w:rsidRPr="0009290F">
        <w:rPr>
          <w:lang w:val="en-US"/>
        </w:rPr>
        <w:t>mercaptoethanol</w:t>
      </w:r>
      <w:proofErr w:type="spellEnd"/>
      <w:r w:rsidRPr="0009290F">
        <w:rPr>
          <w:lang w:val="en-US"/>
        </w:rPr>
        <w:t xml:space="preserve">, and the DNA and RNA (gene expression analysis, see next section) were purified using the </w:t>
      </w:r>
      <w:proofErr w:type="spellStart"/>
      <w:r w:rsidRPr="0009290F">
        <w:rPr>
          <w:lang w:val="en-US"/>
        </w:rPr>
        <w:t>AllPrep</w:t>
      </w:r>
      <w:proofErr w:type="spellEnd"/>
      <w:r w:rsidRPr="0009290F">
        <w:rPr>
          <w:lang w:val="en-US"/>
        </w:rPr>
        <w:t xml:space="preserve"> DNA/RNA Mini Kit (Qiagen, #80204) according to the manufacturer’s protocol. The purity and quantity of the DNA and RNA were assessed by a spectrophotometer DS-11 (</w:t>
      </w:r>
      <w:proofErr w:type="spellStart"/>
      <w:r w:rsidRPr="0009290F">
        <w:rPr>
          <w:lang w:val="en-US"/>
        </w:rPr>
        <w:t>DeNovix</w:t>
      </w:r>
      <w:proofErr w:type="spellEnd"/>
      <w:r w:rsidRPr="0009290F">
        <w:rPr>
          <w:lang w:val="en-US"/>
        </w:rPr>
        <w:t xml:space="preserve">). To analyze the organ distribution of the AAV-BR1-NPC2 vector, absolute qPCR was used to quantify the number of vg. See the section “Production of recombinant viral vectors” for the qPCR protocol. 100 ng DNA was used for each sample, which was run in triplicates. The quantification of vg was generated using a standard curve based on plasmid DNA encoding the CAG promoter as previously described </w:t>
      </w:r>
      <w:r w:rsidRPr="0009290F">
        <w:rPr>
          <w:lang w:val="en-US"/>
        </w:rPr>
        <w:fldChar w:fldCharType="begin" w:fldLock="1"/>
      </w:r>
      <w:r w:rsidRPr="0009290F">
        <w:rPr>
          <w:lang w:val="en-US"/>
        </w:rPr>
        <w:instrText>ADDIN CSL_CITATION {"citationItems":[{"id":"ITEM-1","itemData":{"DOI":"10.1111/JNC.15621","ISSN":"1471-4159","author":[{"dropping-particle":"","family":"Rasmussen","given":"Charlotte L.M.","non-dropping-particle":"","parse-names":false,"suffix":""},{"dropping-particle":"","family":"Hede","given":"Eva","non-dropping-particle":"","parse-names":false,"suffix":""},{"dropping-particle":"","family":"Routhe","given":"Lisa Juul","non-dropping-particle":"","parse-names":false,"suffix":""},{"dropping-particle":"","family":"Körbelin","given":"Jakob","non-dropping-particle":"","parse-names":false,"suffix":""},{"dropping-particle":"","family":"Helgudottir","given":"Steinunn Sara","non-dropping-particle":"","parse-names":false,"suffix":""},{"dropping-particle":"","family":"Thomsen","given":"Louiza Bohn","non-dropping-particle":"","parse-names":false,"suffix":""},{"dropping-particle":"","family":"Schwaninger","given":"Markus","non-dropping-particle":"","parse-names":false,"suffix":""},{"dropping-particle":"","family":"Burkhart","given":"Annette","non-dropping-particle":"","parse-names":false,"suffix":""},{"dropping-particle":"","family":"Moos","given":"Torben","non-dropping-particle":"","parse-names":false,"suffix":""}],"container-title":"Journal of Neurochemistry","id":"ITEM-1","issued":{"date-parts":[["2023"]]},"page":"6-28","title":"A novel strategy for delivering Niemann-Pick type C2 proteins across the blood–brain barrier using the brain endothelial-specific AAV-BR1 virus","type":"article-journal","volume":"164"},"uris":["http://www.mendeley.com/documents/?uuid=7cd76c01-8b8d-3d2c-a501-d7a9d9623363"]}],"mendeley":{"formattedCitation":"(18)","plainTextFormattedCitation":"(18)","previouslyFormattedCitation":"(18)"},"properties":{"noteIndex":0},"schema":"https://github.com/citation-style-language/schema/raw/master/csl-citation.json"}</w:instrText>
      </w:r>
      <w:r w:rsidRPr="0009290F">
        <w:rPr>
          <w:lang w:val="en-US"/>
        </w:rPr>
        <w:fldChar w:fldCharType="separate"/>
      </w:r>
      <w:r w:rsidRPr="0009290F">
        <w:rPr>
          <w:noProof/>
          <w:lang w:val="en-US"/>
        </w:rPr>
        <w:t>(2)</w:t>
      </w:r>
      <w:r w:rsidRPr="0009290F">
        <w:rPr>
          <w:lang w:val="en-US"/>
        </w:rPr>
        <w:fldChar w:fldCharType="end"/>
      </w:r>
      <w:r w:rsidRPr="0009290F">
        <w:rPr>
          <w:lang w:val="en-US"/>
        </w:rPr>
        <w:t xml:space="preserve">. Data are reported as vg/100ng total DNA. </w:t>
      </w:r>
    </w:p>
    <w:p w14:paraId="21AF2805" w14:textId="77777777" w:rsidR="008A4750" w:rsidRPr="0009290F" w:rsidRDefault="008A4750" w:rsidP="008A4750">
      <w:pPr>
        <w:spacing w:line="300" w:lineRule="auto"/>
        <w:rPr>
          <w:lang w:val="en-US"/>
        </w:rPr>
      </w:pPr>
    </w:p>
    <w:p w14:paraId="579F021C" w14:textId="77777777" w:rsidR="008A4750" w:rsidRPr="0009290F" w:rsidRDefault="008A4750" w:rsidP="008A4750">
      <w:pPr>
        <w:spacing w:line="300" w:lineRule="auto"/>
        <w:rPr>
          <w:b/>
          <w:lang w:val="en-US"/>
        </w:rPr>
      </w:pPr>
      <w:r w:rsidRPr="0009290F">
        <w:rPr>
          <w:b/>
          <w:i/>
          <w:iCs/>
          <w:lang w:val="en-US"/>
        </w:rPr>
        <w:t xml:space="preserve">Npc2 </w:t>
      </w:r>
      <w:r w:rsidRPr="0009290F">
        <w:rPr>
          <w:b/>
          <w:lang w:val="en-US"/>
        </w:rPr>
        <w:t xml:space="preserve">gene expression analysis </w:t>
      </w:r>
    </w:p>
    <w:p w14:paraId="2D247B2B" w14:textId="578A3DA7" w:rsidR="004974B1" w:rsidRPr="0009290F" w:rsidRDefault="008A4750" w:rsidP="004974B1">
      <w:pPr>
        <w:spacing w:line="300" w:lineRule="auto"/>
        <w:rPr>
          <w:lang w:val="en-US"/>
        </w:rPr>
      </w:pPr>
      <w:r w:rsidRPr="0009290F">
        <w:rPr>
          <w:lang w:val="en-US"/>
        </w:rPr>
        <w:t xml:space="preserve">RNA, extracted from the cerebrum, liver, lung, and spleen as described above, was treated with DNase I enzyme (Thermo Fischer Scientific, #EN0521) to remove genomic DNA contamination. 100 ng DNA-free RNA was used as the template for the cDNA synthesis, which was performed as previously described </w:t>
      </w:r>
      <w:r w:rsidRPr="0009290F">
        <w:rPr>
          <w:lang w:val="en-US"/>
        </w:rPr>
        <w:fldChar w:fldCharType="begin" w:fldLock="1"/>
      </w:r>
      <w:r w:rsidRPr="0009290F">
        <w:rPr>
          <w:lang w:val="en-US"/>
        </w:rPr>
        <w:instrText>ADDIN CSL_CITATION {"citationItems":[{"id":"ITEM-1","itemData":{"DOI":"10.1111/JNC.15621","ISSN":"1471-4159","author":[{"dropping-particle":"","family":"Rasmussen","given":"Charlotte L.M.","non-dropping-particle":"","parse-names":false,"suffix":""},{"dropping-particle":"","family":"Hede","given":"Eva","non-dropping-particle":"","parse-names":false,"suffix":""},{"dropping-particle":"","family":"Routhe","given":"Lisa Juul","non-dropping-particle":"","parse-names":false,"suffix":""},{"dropping-particle":"","family":"Körbelin","given":"Jakob","non-dropping-particle":"","parse-names":false,"suffix":""},{"dropping-particle":"","family":"Helgudottir","given":"Steinunn Sara","non-dropping-particle":"","parse-names":false,"suffix":""},{"dropping-particle":"","family":"Thomsen","given":"Louiza Bohn","non-dropping-particle":"","parse-names":false,"suffix":""},{"dropping-particle":"","family":"Schwaninger","given":"Markus","non-dropping-particle":"","parse-names":false,"suffix":""},{"dropping-particle":"","family":"Burkhart","given":"Annette","non-dropping-particle":"","parse-names":false,"suffix":""},{"dropping-particle":"","family":"Moos","given":"Torben","non-dropping-particle":"","parse-names":false,"suffix":""}],"container-title":"Journal of Neurochemistry","id":"ITEM-1","issued":{"date-parts":[["2023"]]},"page":"6-28","title":"A novel strategy for delivering Niemann-Pick type C2 proteins across the blood–brain barrier using the brain endothelial-specific AAV-BR1 virus","type":"article-journal","volume":"164"},"uris":["http://www.mendeley.com/documents/?uuid=7cd76c01-8b8d-3d2c-a501-d7a9d9623363"]}],"mendeley":{"formattedCitation":"(18)","plainTextFormattedCitation":"(18)","previouslyFormattedCitation":"(18)"},"properties":{"noteIndex":0},"schema":"https://github.com/citation-style-language/schema/raw/master/csl-citation.json"}</w:instrText>
      </w:r>
      <w:r w:rsidRPr="0009290F">
        <w:rPr>
          <w:lang w:val="en-US"/>
        </w:rPr>
        <w:fldChar w:fldCharType="separate"/>
      </w:r>
      <w:r w:rsidRPr="0009290F">
        <w:rPr>
          <w:noProof/>
          <w:lang w:val="en-US"/>
        </w:rPr>
        <w:t>(2)</w:t>
      </w:r>
      <w:r w:rsidRPr="0009290F">
        <w:rPr>
          <w:lang w:val="en-US"/>
        </w:rPr>
        <w:fldChar w:fldCharType="end"/>
      </w:r>
      <w:r w:rsidRPr="0009290F">
        <w:rPr>
          <w:lang w:val="en-US"/>
        </w:rPr>
        <w:t xml:space="preserve">. The </w:t>
      </w:r>
      <w:r w:rsidRPr="0009290F">
        <w:rPr>
          <w:i/>
          <w:iCs/>
          <w:lang w:val="en-US"/>
        </w:rPr>
        <w:t>Npc2</w:t>
      </w:r>
      <w:r w:rsidRPr="0009290F">
        <w:rPr>
          <w:lang w:val="en-US"/>
        </w:rPr>
        <w:t xml:space="preserve"> gene expression was analyzed using a probe-based multiplex RT-qPCR with </w:t>
      </w:r>
      <w:proofErr w:type="spellStart"/>
      <w:r w:rsidRPr="0009290F">
        <w:rPr>
          <w:lang w:val="en-US"/>
        </w:rPr>
        <w:t>Taqman</w:t>
      </w:r>
      <w:proofErr w:type="spellEnd"/>
      <w:r w:rsidRPr="0009290F">
        <w:rPr>
          <w:lang w:val="en-US"/>
        </w:rPr>
        <w:t xml:space="preserve"> Fast Advanced Master Mix (Thermo Fischer Scientific, #4444556), FAM conjugated mouse</w:t>
      </w:r>
      <w:r w:rsidRPr="0009290F">
        <w:rPr>
          <w:i/>
          <w:iCs/>
          <w:lang w:val="en-US"/>
        </w:rPr>
        <w:t xml:space="preserve"> Npc2</w:t>
      </w:r>
      <w:r w:rsidRPr="0009290F">
        <w:rPr>
          <w:lang w:val="en-US"/>
        </w:rPr>
        <w:t xml:space="preserve"> primer-probe mix (Thermo Fischer Scientific, #4331182, assay ID: Mm00499230_m1), and VIC-conjugated mouse hypoxanthine </w:t>
      </w:r>
      <w:proofErr w:type="spellStart"/>
      <w:r w:rsidRPr="0009290F">
        <w:rPr>
          <w:lang w:val="en-US"/>
        </w:rPr>
        <w:t>phosphoribosyltransferase</w:t>
      </w:r>
      <w:proofErr w:type="spellEnd"/>
      <w:r w:rsidRPr="0009290F">
        <w:rPr>
          <w:lang w:val="en-US"/>
        </w:rPr>
        <w:t xml:space="preserve"> (</w:t>
      </w:r>
      <w:r w:rsidRPr="0009290F">
        <w:rPr>
          <w:i/>
          <w:iCs/>
          <w:lang w:val="en-US"/>
        </w:rPr>
        <w:t>Hprt1)</w:t>
      </w:r>
      <w:r w:rsidRPr="0009290F">
        <w:rPr>
          <w:lang w:val="en-US"/>
        </w:rPr>
        <w:t xml:space="preserve"> primer-probe mix (Thermo Fischer Scientific, #4448490, assay ID: Hs02800695_m1). </w:t>
      </w:r>
      <w:r w:rsidRPr="0009290F">
        <w:rPr>
          <w:i/>
          <w:iCs/>
          <w:lang w:val="en-US"/>
        </w:rPr>
        <w:t>Hprt1</w:t>
      </w:r>
      <w:r w:rsidRPr="0009290F">
        <w:rPr>
          <w:lang w:val="en-US"/>
        </w:rPr>
        <w:t xml:space="preserve"> was used as the reference gene. 5 ng cDNA was used in the PCR reaction</w:t>
      </w:r>
      <w:r w:rsidR="003F2E3E" w:rsidRPr="0009290F">
        <w:rPr>
          <w:lang w:val="en-US"/>
        </w:rPr>
        <w:t xml:space="preserve"> (F</w:t>
      </w:r>
      <w:r w:rsidRPr="0009290F">
        <w:rPr>
          <w:lang w:val="en-US"/>
        </w:rPr>
        <w:t xml:space="preserve">or qPCR specifications see </w:t>
      </w:r>
      <w:r w:rsidRPr="0009290F">
        <w:rPr>
          <w:lang w:val="en-US"/>
        </w:rPr>
        <w:fldChar w:fldCharType="begin" w:fldLock="1"/>
      </w:r>
      <w:r w:rsidRPr="0009290F">
        <w:rPr>
          <w:lang w:val="en-US"/>
        </w:rPr>
        <w:instrText>ADDIN CSL_CITATION {"citationItems":[{"id":"ITEM-1","itemData":{"DOI":"10.1111/JNC.15621","ISSN":"1471-4159","author":[{"dropping-particle":"","family":"Rasmussen","given":"Charlotte L.M.","non-dropping-particle":"","parse-names":false,"suffix":""},{"dropping-particle":"","family":"Hede","given":"Eva","non-dropping-particle":"","parse-names":false,"suffix":""},{"dropping-particle":"","family":"Routhe","given":"Lisa Juul","non-dropping-particle":"","parse-names":false,"suffix":""},{"dropping-particle":"","family":"Körbelin","given":"Jakob","non-dropping-particle":"","parse-names":false,"suffix":""},{"dropping-particle":"","family":"Helgudottir","given":"Steinunn Sara","non-dropping-particle":"","parse-names":false,"suffix":""},{"dropping-particle":"","family":"Thomsen","given":"Louiza Bohn","non-dropping-particle":"","parse-names":false,"suffix":""},{"dropping-particle":"","family":"Schwaninger","given":"Markus","non-dropping-particle":"","parse-names":false,"suffix":""},{"dropping-particle":"","family":"Burkhart","given":"Annette","non-dropping-particle":"","parse-names":false,"suffix":""},{"dropping-particle":"","family":"Moos","given":"Torben","non-dropping-particle":"","parse-names":false,"suffix":""}],"container-title":"Journal of Neurochemistry","id":"ITEM-1","issued":{"date-parts":[["2023"]]},"page":"6-28","title":"A novel strategy for delivering Niemann-Pick type C2 proteins across the blood–brain barrier using the brain endothelial-specific AAV-BR1 virus","type":"article-journal","volume":"164"},"uris":["http://www.mendeley.com/documents/?uuid=7cd76c01-8b8d-3d2c-a501-d7a9d9623363"]}],"mendeley":{"formattedCitation":"(18)","plainTextFormattedCitation":"(18)","previouslyFormattedCitation":"(18)"},"properties":{"noteIndex":0},"schema":"https://github.com/citation-style-language/schema/raw/master/csl-citation.json"}</w:instrText>
      </w:r>
      <w:r w:rsidRPr="0009290F">
        <w:rPr>
          <w:lang w:val="en-US"/>
        </w:rPr>
        <w:fldChar w:fldCharType="separate"/>
      </w:r>
      <w:r w:rsidRPr="0009290F">
        <w:rPr>
          <w:noProof/>
          <w:lang w:val="en-US"/>
        </w:rPr>
        <w:t>(2</w:t>
      </w:r>
      <w:r w:rsidR="003F2E3E" w:rsidRPr="0009290F">
        <w:rPr>
          <w:noProof/>
          <w:lang w:val="en-US"/>
        </w:rPr>
        <w:t>)</w:t>
      </w:r>
      <w:r w:rsidRPr="0009290F">
        <w:rPr>
          <w:noProof/>
          <w:lang w:val="en-US"/>
        </w:rPr>
        <w:t>)</w:t>
      </w:r>
      <w:r w:rsidRPr="0009290F">
        <w:rPr>
          <w:lang w:val="en-US"/>
        </w:rPr>
        <w:fldChar w:fldCharType="end"/>
      </w:r>
      <w:r w:rsidRPr="0009290F">
        <w:rPr>
          <w:lang w:val="en-US"/>
        </w:rPr>
        <w:t xml:space="preserve">. Finally, the relative gene </w:t>
      </w:r>
      <w:r w:rsidRPr="0009290F">
        <w:rPr>
          <w:lang w:val="en-US"/>
        </w:rPr>
        <w:lastRenderedPageBreak/>
        <w:t xml:space="preserve">expression ratios of </w:t>
      </w:r>
      <w:r w:rsidRPr="0009290F">
        <w:rPr>
          <w:i/>
          <w:iCs/>
          <w:lang w:val="en-US"/>
        </w:rPr>
        <w:t xml:space="preserve">Npc2 </w:t>
      </w:r>
      <w:r w:rsidRPr="0009290F">
        <w:rPr>
          <w:lang w:val="en-US"/>
        </w:rPr>
        <w:t>were calculated using the delta-delta threshold cycle (Ct) method with the WT control mice as the reference sample.</w:t>
      </w:r>
    </w:p>
    <w:p w14:paraId="704C79DA" w14:textId="77777777" w:rsidR="004974B1" w:rsidRPr="0009290F" w:rsidRDefault="004974B1" w:rsidP="004974B1">
      <w:pPr>
        <w:spacing w:line="300" w:lineRule="auto"/>
        <w:rPr>
          <w:lang w:val="en-US"/>
        </w:rPr>
      </w:pPr>
    </w:p>
    <w:p w14:paraId="649E3E72" w14:textId="6B95E3AE" w:rsidR="00401015" w:rsidRPr="0009290F" w:rsidRDefault="00401015" w:rsidP="004974B1">
      <w:pPr>
        <w:spacing w:line="300" w:lineRule="auto"/>
        <w:rPr>
          <w:b/>
          <w:lang w:val="en-US"/>
        </w:rPr>
      </w:pPr>
      <w:r w:rsidRPr="0009290F">
        <w:rPr>
          <w:b/>
          <w:lang w:val="en-US"/>
        </w:rPr>
        <w:t>Morphological investigations</w:t>
      </w:r>
    </w:p>
    <w:p w14:paraId="5D684836" w14:textId="4633A517" w:rsidR="00452C28" w:rsidRDefault="00401015" w:rsidP="00452C28">
      <w:pPr>
        <w:autoSpaceDE w:val="0"/>
        <w:autoSpaceDN w:val="0"/>
        <w:adjustRightInd w:val="0"/>
        <w:spacing w:line="300" w:lineRule="auto"/>
        <w:rPr>
          <w:rFonts w:eastAsia="Lato-Regular"/>
          <w:lang w:val="en-US"/>
        </w:rPr>
      </w:pPr>
      <w:r w:rsidRPr="0009290F">
        <w:rPr>
          <w:lang w:val="en-US"/>
        </w:rPr>
        <w:t xml:space="preserve">40 µm cryosections of brain tissue were prepared as previously described </w:t>
      </w:r>
      <w:r w:rsidRPr="0009290F">
        <w:rPr>
          <w:lang w:val="en-US"/>
        </w:rPr>
        <w:fldChar w:fldCharType="begin" w:fldLock="1"/>
      </w:r>
      <w:r w:rsidRPr="0009290F">
        <w:rPr>
          <w:lang w:val="en-US"/>
        </w:rPr>
        <w:instrText>ADDIN CSL_CITATION {"citationItems":[{"id":"ITEM-1","itemData":{"DOI":"10.1111/JNC.15621","ISSN":"1471-4159","author":[{"dropping-particle":"","family":"Rasmussen","given":"Charlotte L.M.","non-dropping-particle":"","parse-names":false,"suffix":""},{"dropping-particle":"","family":"Hede","given":"Eva","non-dropping-particle":"","parse-names":false,"suffix":""},{"dropping-particle":"","family":"Routhe","given":"Lisa Juul","non-dropping-particle":"","parse-names":false,"suffix":""},{"dropping-particle":"","family":"Körbelin","given":"Jakob","non-dropping-particle":"","parse-names":false,"suffix":""},{"dropping-particle":"","family":"Helgudottir","given":"Steinunn Sara","non-dropping-particle":"","parse-names":false,"suffix":""},{"dropping-particle":"","family":"Thomsen","given":"Louiza Bohn","non-dropping-particle":"","parse-names":false,"suffix":""},{"dropping-particle":"","family":"Schwaninger","given":"Markus","non-dropping-particle":"","parse-names":false,"suffix":""},{"dropping-particle":"","family":"Burkhart","given":"Annette","non-dropping-particle":"","parse-names":false,"suffix":""},{"dropping-particle":"","family":"Moos","given":"Torben","non-dropping-particle":"","parse-names":false,"suffix":""}],"container-title":"Journal of Neurochemistry","id":"ITEM-1","issued":{"date-parts":[["2023"]]},"page":"6-28","title":"A novel strategy for delivering Niemann-Pick type C2 proteins across the blood–brain barrier using the brain endothelial-specific AAV-BR1 virus","type":"article-journal","volume":"164"},"uris":["http://www.mendeley.com/documents/?uuid=7cd76c01-8b8d-3d2c-a501-d7a9d9623363"]}],"mendeley":{"formattedCitation":"(18)","plainTextFormattedCitation":"(18)","previouslyFormattedCitation":"(18)"},"properties":{"noteIndex":0},"schema":"https://github.com/citation-style-language/schema/raw/master/csl-citation.json"}</w:instrText>
      </w:r>
      <w:r w:rsidRPr="0009290F">
        <w:rPr>
          <w:lang w:val="en-US"/>
        </w:rPr>
        <w:fldChar w:fldCharType="separate"/>
      </w:r>
      <w:r w:rsidRPr="0009290F">
        <w:rPr>
          <w:noProof/>
          <w:lang w:val="en-US"/>
        </w:rPr>
        <w:t>(</w:t>
      </w:r>
      <w:r w:rsidR="005D4B4B" w:rsidRPr="0009290F">
        <w:rPr>
          <w:noProof/>
          <w:lang w:val="en-US"/>
        </w:rPr>
        <w:t>2</w:t>
      </w:r>
      <w:r w:rsidRPr="0009290F">
        <w:rPr>
          <w:noProof/>
          <w:lang w:val="en-US"/>
        </w:rPr>
        <w:t>)</w:t>
      </w:r>
      <w:r w:rsidRPr="0009290F">
        <w:rPr>
          <w:lang w:val="en-US"/>
        </w:rPr>
        <w:fldChar w:fldCharType="end"/>
      </w:r>
      <w:r w:rsidRPr="0009290F">
        <w:rPr>
          <w:lang w:val="en-US"/>
        </w:rPr>
        <w:t>. Free-floating brain sections were incubated in 3 % porcine serum with 0.3 % Triton X-100 diluted in 0.1 M PPBS (blocking buffer) for 30 minutes at room temperature to block unspecific binding and permeabilize cell membranes. Then the sections were incubated overnight at 4°C with the following primary antibodies diluted in blocking buffer</w:t>
      </w:r>
      <w:r w:rsidR="007D6A13">
        <w:rPr>
          <w:lang w:val="en-US"/>
        </w:rPr>
        <w:t xml:space="preserve">: </w:t>
      </w:r>
      <w:r w:rsidRPr="0009290F">
        <w:rPr>
          <w:lang w:val="en-GB"/>
        </w:rPr>
        <w:t>N</w:t>
      </w:r>
      <w:proofErr w:type="spellStart"/>
      <w:r w:rsidRPr="0009290F">
        <w:rPr>
          <w:rFonts w:eastAsia="Lato-Regular"/>
          <w:lang w:val="en-US"/>
        </w:rPr>
        <w:t>euronal</w:t>
      </w:r>
      <w:proofErr w:type="spellEnd"/>
      <w:r w:rsidRPr="0009290F">
        <w:rPr>
          <w:rFonts w:eastAsia="Lato-Regular"/>
          <w:lang w:val="en-US"/>
        </w:rPr>
        <w:t xml:space="preserve"> nuclei antigen (N</w:t>
      </w:r>
      <w:proofErr w:type="spellStart"/>
      <w:r w:rsidRPr="0009290F">
        <w:rPr>
          <w:lang w:val="en-GB"/>
        </w:rPr>
        <w:t>euN</w:t>
      </w:r>
      <w:proofErr w:type="spellEnd"/>
      <w:r w:rsidRPr="0009290F">
        <w:rPr>
          <w:lang w:val="en-GB"/>
        </w:rPr>
        <w:t>) (</w:t>
      </w:r>
      <w:proofErr w:type="spellStart"/>
      <w:r w:rsidRPr="0009290F">
        <w:rPr>
          <w:lang w:val="en-GB"/>
        </w:rPr>
        <w:t>Chemicon</w:t>
      </w:r>
      <w:proofErr w:type="spellEnd"/>
      <w:r w:rsidRPr="0009290F">
        <w:rPr>
          <w:lang w:val="en-GB"/>
        </w:rPr>
        <w:t>, #MAB377) (1:500) and anti-bovine NPC2 (</w:t>
      </w:r>
      <w:r w:rsidRPr="0009290F">
        <w:rPr>
          <w:lang w:val="en-US"/>
        </w:rPr>
        <w:t>Immuno-affinity purified antibody derived from anti-NPC2 IgG positive rabbit serum produced by subcutaneous injections of native bovine NPC2</w:t>
      </w:r>
      <w:r w:rsidR="00A5561B" w:rsidRPr="0009290F">
        <w:rPr>
          <w:lang w:val="en-US"/>
        </w:rPr>
        <w:t xml:space="preserve"> (4) </w:t>
      </w:r>
      <w:r w:rsidRPr="0009290F">
        <w:rPr>
          <w:lang w:val="en-US"/>
        </w:rPr>
        <w:t>(1:2,000)</w:t>
      </w:r>
      <w:r w:rsidR="003B0899" w:rsidRPr="0009290F">
        <w:rPr>
          <w:lang w:val="en-US"/>
        </w:rPr>
        <w:t>)</w:t>
      </w:r>
      <w:r w:rsidRPr="0009290F">
        <w:rPr>
          <w:lang w:val="en-GB"/>
        </w:rPr>
        <w:t>. After three washes in blocking buffer diluted 1:50 in PPBS (washing buffer), most sections were incubated with biotinylated goat anti-rabbit IgG (Vector, #BA-1000) diluted 1:200 in blocking buffer for one hour. Sections were washed twice in washing buffer and once in PPBS. For visualization, the sections were incubated in an Avidin-Biotin Complex (</w:t>
      </w:r>
      <w:proofErr w:type="spellStart"/>
      <w:r w:rsidRPr="0009290F">
        <w:rPr>
          <w:lang w:val="en-GB"/>
        </w:rPr>
        <w:t>ABComplex</w:t>
      </w:r>
      <w:proofErr w:type="spellEnd"/>
      <w:r w:rsidRPr="0009290F">
        <w:rPr>
          <w:lang w:val="en-GB"/>
        </w:rPr>
        <w:t xml:space="preserve">)-system (VECTASTAIN® Elite ABC-HRP Kit, Vector laboratories, #PK6100) diluted in PPBS and finally in 3,3′-diaminobenzidine tetrahydrochloride (DAB). The sections were mounted with </w:t>
      </w:r>
      <w:proofErr w:type="spellStart"/>
      <w:r w:rsidRPr="0009290F">
        <w:rPr>
          <w:lang w:val="en-GB"/>
        </w:rPr>
        <w:t>Pertex</w:t>
      </w:r>
      <w:proofErr w:type="spellEnd"/>
      <w:r w:rsidRPr="0009290F">
        <w:rPr>
          <w:lang w:val="en-GB"/>
        </w:rPr>
        <w:t xml:space="preserve">. Section </w:t>
      </w:r>
      <w:r w:rsidR="00A1389B" w:rsidRPr="0009290F">
        <w:rPr>
          <w:lang w:val="en-GB"/>
        </w:rPr>
        <w:t>double stained</w:t>
      </w:r>
      <w:r w:rsidRPr="0009290F">
        <w:rPr>
          <w:lang w:val="en-GB"/>
        </w:rPr>
        <w:t xml:space="preserve"> for NeuN and NPC2 were visualized using </w:t>
      </w:r>
      <w:r w:rsidRPr="0009290F">
        <w:rPr>
          <w:lang w:val="en-US"/>
        </w:rPr>
        <w:t xml:space="preserve">goat anti-mouse Alexa 594 (Invitrogen #A11032) (1:200), and biotinylated goat anti-rabbit (1:200). For tyramide enhancement of NPC2 </w:t>
      </w:r>
      <w:r w:rsidRPr="0009290F">
        <w:rPr>
          <w:lang w:val="en-US"/>
        </w:rPr>
        <w:fldChar w:fldCharType="begin" w:fldLock="1"/>
      </w:r>
      <w:r w:rsidRPr="0009290F">
        <w:rPr>
          <w:lang w:val="en-US"/>
        </w:rPr>
        <w:instrText>ADDIN CSL_CITATION {"citationItems":[{"id":"ITEM-1","itemData":{"DOI":"10.1111/JNC.15621","ISSN":"1471-4159","author":[{"dropping-particle":"","family":"Rasmussen","given":"Charlotte L.M.","non-dropping-particle":"","parse-names":false,"suffix":""},{"dropping-particle":"","family":"Hede","given":"Eva","non-dropping-particle":"","parse-names":false,"suffix":""},{"dropping-particle":"","family":"Routhe","given":"Lisa Juul","non-dropping-particle":"","parse-names":false,"suffix":""},{"dropping-particle":"","family":"Körbelin","given":"Jakob","non-dropping-particle":"","parse-names":false,"suffix":""},{"dropping-particle":"","family":"Helgudottir","given":"Steinunn Sara","non-dropping-particle":"","parse-names":false,"suffix":""},{"dropping-particle":"","family":"Thomsen","given":"Louiza Bohn","non-dropping-particle":"","parse-names":false,"suffix":""},{"dropping-particle":"","family":"Schwaninger","given":"Markus","non-dropping-particle":"","parse-names":false,"suffix":""},{"dropping-particle":"","family":"Burkhart","given":"Annette","non-dropping-particle":"","parse-names":false,"suffix":""},{"dropping-particle":"","family":"Moos","given":"Torben","non-dropping-particle":"","parse-names":false,"suffix":""}],"container-title":"Journal of Neurochemistry","id":"ITEM-1","issued":{"date-parts":[["2023"]]},"page":"6-28","title":"A novel strategy for delivering Niemann-Pick type C2 proteins across the blood–brain barrier using the brain endothelial-specific AAV-BR1 virus","type":"article-journal","volume":"164"},"uris":["http://www.mendeley.com/documents/?uuid=7cd76c01-8b8d-3d2c-a501-d7a9d9623363"]}],"mendeley":{"formattedCitation":"(18)","plainTextFormattedCitation":"(18)","previouslyFormattedCitation":"(18)"},"properties":{"noteIndex":0},"schema":"https://github.com/citation-style-language/schema/raw/master/csl-citation.json"}</w:instrText>
      </w:r>
      <w:r w:rsidRPr="0009290F">
        <w:rPr>
          <w:lang w:val="en-US"/>
        </w:rPr>
        <w:fldChar w:fldCharType="separate"/>
      </w:r>
      <w:r w:rsidRPr="0009290F">
        <w:rPr>
          <w:noProof/>
          <w:lang w:val="en-US"/>
        </w:rPr>
        <w:t>(</w:t>
      </w:r>
      <w:r w:rsidR="005D4B4B" w:rsidRPr="0009290F">
        <w:rPr>
          <w:noProof/>
          <w:lang w:val="en-US"/>
        </w:rPr>
        <w:t>2</w:t>
      </w:r>
      <w:r w:rsidRPr="0009290F">
        <w:rPr>
          <w:noProof/>
          <w:lang w:val="en-US"/>
        </w:rPr>
        <w:t>)</w:t>
      </w:r>
      <w:r w:rsidRPr="0009290F">
        <w:rPr>
          <w:lang w:val="en-US"/>
        </w:rPr>
        <w:fldChar w:fldCharType="end"/>
      </w:r>
      <w:r w:rsidRPr="0009290F">
        <w:rPr>
          <w:lang w:val="en-US"/>
        </w:rPr>
        <w:t>,</w:t>
      </w:r>
      <w:r w:rsidRPr="0009290F">
        <w:rPr>
          <w:rFonts w:eastAsia="Lato-Regular"/>
          <w:lang w:val="en-US"/>
        </w:rPr>
        <w:t xml:space="preserve"> </w:t>
      </w:r>
      <w:proofErr w:type="spellStart"/>
      <w:r w:rsidRPr="0009290F">
        <w:rPr>
          <w:rFonts w:eastAsia="Lato-Regular"/>
          <w:lang w:val="en-US"/>
        </w:rPr>
        <w:t>ABComplex</w:t>
      </w:r>
      <w:proofErr w:type="spellEnd"/>
      <w:r w:rsidRPr="0009290F">
        <w:rPr>
          <w:rFonts w:eastAsia="Lato-Regular"/>
          <w:lang w:val="en-US"/>
        </w:rPr>
        <w:t xml:space="preserve"> </w:t>
      </w:r>
      <w:proofErr w:type="spellStart"/>
      <w:r w:rsidRPr="0009290F">
        <w:rPr>
          <w:rFonts w:eastAsia="Lato-Regular"/>
          <w:lang w:val="en-US"/>
        </w:rPr>
        <w:t>Vectastain</w:t>
      </w:r>
      <w:proofErr w:type="spellEnd"/>
      <w:r w:rsidRPr="0009290F">
        <w:rPr>
          <w:rFonts w:eastAsia="Lato-Regular"/>
          <w:lang w:val="en-US"/>
        </w:rPr>
        <w:t xml:space="preserve"> were added for 30 minutes and washed in PPBS. The Tyramide Signal Amplification (TSA) Biotin kit (AKOYA Biosciences, #NEL700A001KT) was added for five minutes, and the sections were washed in PPBS and incubated with the </w:t>
      </w:r>
      <w:proofErr w:type="spellStart"/>
      <w:r w:rsidRPr="0009290F">
        <w:rPr>
          <w:rFonts w:eastAsia="Lato-Regular"/>
          <w:lang w:val="en-US"/>
        </w:rPr>
        <w:t>ABComplex</w:t>
      </w:r>
      <w:proofErr w:type="spellEnd"/>
      <w:r w:rsidRPr="0009290F">
        <w:rPr>
          <w:rFonts w:eastAsia="Lato-Regular"/>
          <w:lang w:val="en-US"/>
        </w:rPr>
        <w:t xml:space="preserve"> </w:t>
      </w:r>
      <w:proofErr w:type="spellStart"/>
      <w:r w:rsidRPr="0009290F">
        <w:rPr>
          <w:rFonts w:eastAsia="Lato-Regular"/>
          <w:lang w:val="en-US"/>
        </w:rPr>
        <w:t>Vectastain</w:t>
      </w:r>
      <w:proofErr w:type="spellEnd"/>
      <w:r w:rsidRPr="0009290F">
        <w:rPr>
          <w:rFonts w:eastAsia="Lato-Regular"/>
          <w:lang w:val="en-US"/>
        </w:rPr>
        <w:t xml:space="preserve"> for 30 minutes. The sections were again washed in PPBS and visualized using an anti-streptavidin Alexa 488 (Invitrogen, #S32354) (1:200) antibody for one hour. These sections were subsequently stained with Filipin, as explained below.</w:t>
      </w:r>
    </w:p>
    <w:p w14:paraId="1BD8AB8A" w14:textId="77777777" w:rsidR="00452C28" w:rsidRDefault="00452C28" w:rsidP="00452C28">
      <w:pPr>
        <w:autoSpaceDE w:val="0"/>
        <w:autoSpaceDN w:val="0"/>
        <w:adjustRightInd w:val="0"/>
        <w:spacing w:line="300" w:lineRule="auto"/>
        <w:rPr>
          <w:rFonts w:eastAsia="Lato-Regular"/>
          <w:lang w:val="en-US"/>
        </w:rPr>
      </w:pPr>
    </w:p>
    <w:p w14:paraId="1CE98609" w14:textId="04A728E6" w:rsidR="00401015" w:rsidRPr="0009290F" w:rsidRDefault="00401015" w:rsidP="00452C28">
      <w:pPr>
        <w:autoSpaceDE w:val="0"/>
        <w:autoSpaceDN w:val="0"/>
        <w:adjustRightInd w:val="0"/>
        <w:spacing w:line="300" w:lineRule="auto"/>
        <w:rPr>
          <w:lang w:val="en-GB"/>
        </w:rPr>
      </w:pPr>
      <w:r w:rsidRPr="0009290F">
        <w:rPr>
          <w:lang w:val="en-US"/>
        </w:rPr>
        <w:t xml:space="preserve">Cholesterol staining on brain sections was performed using filipin complex III (Sigma-Aldrich, #F4767) modified from </w:t>
      </w:r>
      <w:r w:rsidRPr="0009290F">
        <w:rPr>
          <w:lang w:val="en-US"/>
        </w:rPr>
        <w:fldChar w:fldCharType="begin" w:fldLock="1"/>
      </w:r>
      <w:r w:rsidRPr="0009290F">
        <w:rPr>
          <w:lang w:val="en-US"/>
        </w:rPr>
        <w:instrText>ADDIN CSL_CITATION {"citationItems":[{"id":"ITEM-1","itemData":{"ISSN":"00144886","PMID":"29655638","abstract":"Niemann-Pick type C2 (NPC2) disease is a rare, neurodegenerative disorder caused by mutations in the NPC2 gene, leading to lysosomal accumulation of unesterified cholesterol and other lipids. It is characterized by hepatosplenomegaly, liver dysfunction and severe neurological manifestations, resulting in early death. There is no effective therapy for NPC2 disease. Here, we evaluated the effectiveness of an adeno-associated virus (AAV), serotype rh.10 gene transfer vector expressing the mouse Npc2 gene (AAVrh.10-mNpc2-HA, HA tagged to facilitate analysis) to treat the disease in an Npc2-/- mouse model. A single intracisternal administration of the AAVrh.10-mNpc2-HA to 6 week old Npc2-/- mice mediated vector DNA, transgene mRNA and protein expression in brain and other organs. Compared to untreated Npc2-/- mice, AAV-treated Npc2-/- mice demonstrated amelioration of disease pathology in the brain, reduced lysosomal storage, reduced Purkinje cell death, decreased gliosis, and improved performance in behavioral tasks. Treatment-related reduction in serum disease markers was detected early and this effect persisted. Liver and spleen pathology were improved with significant reduction of liver cholesterol and sphingomyelin levels in treated Npc2-/- mice. Finally, administration of AAVrh.10-mNpc2-HA significantly extended life-span. Taken together, these data demonstrate the benefit of a one-time intracisternal administration of AAVrh.10-mNpc2-HA as a life-long treatment for NPC2 disease.","author":[{"dropping-particle":"","family":"Markmann","given":"Sandra","non-dropping-particle":"","parse-names":false,"suffix":""},{"dropping-particle":"","family":"J. Christie-Reid","given":"Jasmine","non-dropping-particle":"","parse-names":false,"suffix":""},{"dropping-particle":"","family":"Rosenberg","given":"Jonathan B.","non-dropping-particle":"","parse-names":false,"suffix":""},{"dropping-particle":"","family":"De","given":"Bishnu P.","non-dropping-particle":"","parse-names":false,"suffix":""},{"dropping-particle":"","family":"Kaminsky","given":"Stephen M.","non-dropping-particle":"","parse-names":false,"suffix":""},{"dropping-particle":"","family":"Crystal","given":"Ronald G.","non-dropping-particle":"","parse-names":false,"suffix":""},{"dropping-particle":"","family":"Sondhi","given":"Dolan","non-dropping-particle":"","parse-names":false,"suffix":""}],"container-title":"Experimental Neurology","id":"ITEM-1","issued":{"date-parts":[["2018"]]},"page":"22-33","title":"Attenuation of the Niemann-Pick type C2 disease phenotype by intracisternal administration of an AAVrh.10 vector expressing Npc2","type":"article-journal","volume":"306"},"uris":["http://www.mendeley.com/documents/?uuid=4630fc08-90e1-3cfb-8f81-cfe4096cc473"]}],"mendeley":{"formattedCitation":"(21)","plainTextFormattedCitation":"(21)","previouslyFormattedCitation":"(21)"},"properties":{"noteIndex":0},"schema":"https://github.com/citation-style-language/schema/raw/master/csl-citation.json"}</w:instrText>
      </w:r>
      <w:r w:rsidRPr="0009290F">
        <w:rPr>
          <w:lang w:val="en-US"/>
        </w:rPr>
        <w:fldChar w:fldCharType="separate"/>
      </w:r>
      <w:r w:rsidRPr="0009290F">
        <w:rPr>
          <w:noProof/>
          <w:lang w:val="en-US"/>
        </w:rPr>
        <w:t>(</w:t>
      </w:r>
      <w:r w:rsidR="00A5561B" w:rsidRPr="0009290F">
        <w:rPr>
          <w:noProof/>
          <w:lang w:val="en-US"/>
        </w:rPr>
        <w:t>8</w:t>
      </w:r>
      <w:r w:rsidRPr="0009290F">
        <w:rPr>
          <w:noProof/>
          <w:lang w:val="en-US"/>
        </w:rPr>
        <w:t>)</w:t>
      </w:r>
      <w:r w:rsidRPr="0009290F">
        <w:rPr>
          <w:lang w:val="en-US"/>
        </w:rPr>
        <w:fldChar w:fldCharType="end"/>
      </w:r>
      <w:r w:rsidRPr="0009290F">
        <w:rPr>
          <w:lang w:val="en-US"/>
        </w:rPr>
        <w:t xml:space="preserve">. </w:t>
      </w:r>
      <w:r w:rsidR="00B149DD" w:rsidRPr="0009290F">
        <w:rPr>
          <w:lang w:val="en-US"/>
        </w:rPr>
        <w:t xml:space="preserve">Filipin is a fluorescent antibiotic that specifically binds unesterified cholesterol </w:t>
      </w:r>
      <w:r w:rsidR="00B149DD" w:rsidRPr="0009290F">
        <w:rPr>
          <w:lang w:val="en-US"/>
        </w:rPr>
        <w:fldChar w:fldCharType="begin" w:fldLock="1"/>
      </w:r>
      <w:r w:rsidR="00B149DD" w:rsidRPr="0009290F">
        <w:rPr>
          <w:lang w:val="en-US"/>
        </w:rPr>
        <w:instrText>ADDIN CSL_CITATION {"citationItems":[{"id":"ITEM-1","itemData":{"DOI":"10.1016/B978-0-12-386487-1.00017-1","ISSN":"0091-679X","PMID":"22325611","abstract":"Cholesterol plays an important role in determining the biophysical properties of biological membranes, and its concentration is tightly controlled by homeostatic processes. The intracellular transport of cholesterol among organelles is a key part of the homeostatic mechanism, but sterol transport processes are not well understood. Fluorescence microscopy is a valuable tool for studying intracellular transport processes, but this method can be challenging for lipid molecules because addition of a fluorophore may alter the properties of the molecule greatly. We discuss the use of fluorescent molecules that can bind to cholesterol to reveal its distribution in cells. We also discuss the use of intrinsically fluorescent sterols that closely mimic cholesterol, as well as some minimally modified fluorophore-labeled sterols. Methods for imaging these sterols by conventional fluorescence microscopy and by multiphoton microscopy are described. Some label-free methods for imaging cholesterol itself are also discussed briefly. © 2012 Elsevier Inc.","author":[{"dropping-particle":"","family":"Maxfield","given":"Frederick R.","non-dropping-particle":"","parse-names":false,"suffix":""},{"dropping-particle":"","family":"Wüstner","given":"Daniel","non-dropping-particle":"","parse-names":false,"suffix":""}],"container-title":"Methods in Cell Biology","id":"ITEM-1","issued":{"date-parts":[["2012"]]},"page":"367-393","title":"Analysis of Cholesterol Trafficking with Fluorescent Probes","type":"article-journal","volume":"108"},"uris":["http://www.mendeley.com/documents/?uuid=7dfbf6be-a08b-3693-b1dd-9f09c77f409c"]}],"mendeley":{"formattedCitation":"(50)","plainTextFormattedCitation":"(50)","previouslyFormattedCitation":"(49)"},"properties":{"noteIndex":0},"schema":"https://github.com/citation-style-language/schema/raw/master/csl-citation.json"}</w:instrText>
      </w:r>
      <w:r w:rsidR="00B149DD" w:rsidRPr="0009290F">
        <w:rPr>
          <w:lang w:val="en-US"/>
        </w:rPr>
        <w:fldChar w:fldCharType="separate"/>
      </w:r>
      <w:r w:rsidR="00B149DD" w:rsidRPr="0009290F">
        <w:rPr>
          <w:noProof/>
          <w:lang w:val="en-US"/>
        </w:rPr>
        <w:t>(</w:t>
      </w:r>
      <w:r w:rsidR="00A5561B" w:rsidRPr="0009290F">
        <w:rPr>
          <w:noProof/>
          <w:lang w:val="en-US"/>
        </w:rPr>
        <w:t>9</w:t>
      </w:r>
      <w:r w:rsidR="00B149DD" w:rsidRPr="0009290F">
        <w:rPr>
          <w:noProof/>
          <w:lang w:val="en-US"/>
        </w:rPr>
        <w:t>)</w:t>
      </w:r>
      <w:r w:rsidR="00B149DD" w:rsidRPr="0009290F">
        <w:rPr>
          <w:lang w:val="en-US"/>
        </w:rPr>
        <w:fldChar w:fldCharType="end"/>
      </w:r>
      <w:r w:rsidR="00B149DD" w:rsidRPr="0009290F">
        <w:rPr>
          <w:lang w:val="en-US"/>
        </w:rPr>
        <w:t xml:space="preserve">. </w:t>
      </w:r>
      <w:r w:rsidRPr="0009290F">
        <w:rPr>
          <w:lang w:val="en-US"/>
        </w:rPr>
        <w:t xml:space="preserve">Filipin stock solution in dimethyl sulfoxide (1mg/ml) was diluted in PBS for a final working solution of 50 µg/ml. The free-floating brain sections were washed twice in PPBS, followed by two times washing in 0.02 % saponin in PBS. Sections were then incubated in a quenching solution consisting of 1.5 mg/ml glycine, 1 % bovine serum albumin, and 0.02 % saponin/PBS at room temperature for 30 minutes. Finally, the sections were incubated in Filipin working solution for three hours in the dark under agitation, washed twice in 0.02 % saponin in PBS, and mounted with DAKO fluorescent mounting media (#S3023). Images of DAB stains were acquired using an </w:t>
      </w:r>
      <w:proofErr w:type="spellStart"/>
      <w:r w:rsidRPr="0009290F">
        <w:rPr>
          <w:lang w:val="en-US"/>
        </w:rPr>
        <w:t>Axioplan</w:t>
      </w:r>
      <w:proofErr w:type="spellEnd"/>
      <w:r w:rsidRPr="0009290F">
        <w:rPr>
          <w:lang w:val="en-US"/>
        </w:rPr>
        <w:t xml:space="preserve"> 2 microscope equipped with an </w:t>
      </w:r>
      <w:proofErr w:type="spellStart"/>
      <w:r w:rsidRPr="0009290F">
        <w:rPr>
          <w:lang w:val="en-US"/>
        </w:rPr>
        <w:t>Axiocam</w:t>
      </w:r>
      <w:proofErr w:type="spellEnd"/>
      <w:r w:rsidRPr="0009290F">
        <w:rPr>
          <w:lang w:val="en-US"/>
        </w:rPr>
        <w:t xml:space="preserve"> </w:t>
      </w:r>
      <w:proofErr w:type="spellStart"/>
      <w:r w:rsidRPr="0009290F">
        <w:rPr>
          <w:lang w:val="en-US"/>
        </w:rPr>
        <w:t>MRc</w:t>
      </w:r>
      <w:proofErr w:type="spellEnd"/>
      <w:r w:rsidRPr="0009290F">
        <w:rPr>
          <w:lang w:val="en-US"/>
        </w:rPr>
        <w:t xml:space="preserve"> camera (Carl Zeiss). Filipin </w:t>
      </w:r>
      <w:r w:rsidRPr="0009290F">
        <w:rPr>
          <w:lang w:val="en-GB"/>
        </w:rPr>
        <w:t xml:space="preserve">stain were imaged using an Olympus IX83 inverted microscope with a Yokogawa confocal CSU-W1 spinning disk unit equipped with a Hamamatsu </w:t>
      </w:r>
      <w:proofErr w:type="spellStart"/>
      <w:r w:rsidRPr="0009290F">
        <w:rPr>
          <w:lang w:val="en-GB"/>
        </w:rPr>
        <w:t>ORCAFlash</w:t>
      </w:r>
      <w:proofErr w:type="spellEnd"/>
      <w:r w:rsidRPr="0009290F">
        <w:rPr>
          <w:lang w:val="en-GB"/>
        </w:rPr>
        <w:t xml:space="preserve"> 4.0 v3 grayscale camera using an Olympus </w:t>
      </w:r>
      <w:proofErr w:type="spellStart"/>
      <w:r w:rsidRPr="0009290F">
        <w:rPr>
          <w:lang w:val="en-GB"/>
        </w:rPr>
        <w:t>UPlanSApo</w:t>
      </w:r>
      <w:proofErr w:type="spellEnd"/>
      <w:r w:rsidRPr="0009290F">
        <w:rPr>
          <w:lang w:val="en-GB"/>
        </w:rPr>
        <w:t xml:space="preserve"> 60x/1.35na oil </w:t>
      </w:r>
      <w:r w:rsidR="00A5561B" w:rsidRPr="0009290F">
        <w:rPr>
          <w:lang w:val="en-GB"/>
        </w:rPr>
        <w:t>o</w:t>
      </w:r>
      <w:r w:rsidRPr="0009290F">
        <w:rPr>
          <w:lang w:val="en-GB"/>
        </w:rPr>
        <w:t xml:space="preserve">bjective. All images were generated using the same acquisition settings, </w:t>
      </w:r>
      <w:proofErr w:type="spellStart"/>
      <w:r w:rsidRPr="0009290F">
        <w:rPr>
          <w:lang w:val="en-GB"/>
        </w:rPr>
        <w:t>analyzed</w:t>
      </w:r>
      <w:proofErr w:type="spellEnd"/>
      <w:r w:rsidRPr="0009290F">
        <w:rPr>
          <w:lang w:val="en-GB"/>
        </w:rPr>
        <w:t xml:space="preserve"> with ImageJ software </w:t>
      </w:r>
      <w:r w:rsidRPr="0009290F">
        <w:rPr>
          <w:lang w:val="en-GB"/>
        </w:rPr>
        <w:fldChar w:fldCharType="begin" w:fldLock="1"/>
      </w:r>
      <w:r w:rsidRPr="0009290F">
        <w:rPr>
          <w:lang w:val="en-GB"/>
        </w:rPr>
        <w:instrText>ADDIN CSL_CITATION {"citationItems":[{"id":"ITEM-1","itemData":{"DOI":"10.1038/nmeth.2019","ISSN":"1548-7105","PMID":"22743772","abstract":"Presented is an overview of the image-analysis software platform Fiji, a distribution of ImageJ that updates the underlying ImageJ architecture and adds modern software design elements to expand the capabilities of the platform and facilitate collaboration between biologists and computer scientists. Fiji is a distribution of the popular open-source software ImageJ focused on biological-image analysis. Fiji uses modern software engineering practices to combine powerful software libraries with a broad range of scripting languages to enable rapid prototyping of image-processing algorithms. Fiji facilitates the transformation of new algorithms into ImageJ plugins that can be shared with end users through an integrated update system. We propose Fiji as a platform for productive collaboration between computer science and biology research communities.","author":[{"dropping-particle":"","family":"Schindelin","given":"Johannes","non-dropping-particle":"","parse-names":false,"suffix":""},{"dropping-particle":"","family":"Arganda-Carreras","given":"Ignacio","non-dropping-particle":"","parse-names":false,"suffix":""},{"dropping-particle":"","family":"Frise","given":"Erwin","non-dropping-particle":"","parse-names":false,"suffix":""},{"dropping-particle":"","family":"Kaynig","given":"Verena","non-dropping-particle":"","parse-names":false,"suffix":""},{"dropping-particle":"","family":"Longair","given":"Mark","non-dropping-particle":"","parse-names":false,"suffix":""},{"dropping-particle":"","family":"Pietzsch","given":"Tobias","non-dropping-particle":"","parse-names":false,"suffix":""},{"dropping-particle":"","family":"Preibisch","given":"Stephan","non-dropping-particle":"","parse-names":false,"suffix":""},{"dropping-particle":"","family":"Rueden","given":"Curtis","non-dropping-particle":"","parse-names":false,"suffix":""},{"dropping-particle":"","family":"Saalfeld","given":"Stephan","non-dropping-particle":"","parse-names":false,"suffix":""},{"dropping-particle":"","family":"Schmid","given":"Benjamin","non-dropping-particle":"","parse-names":false,"suffix":""},{"dropping-particle":"","family":"Tinevez","given":"Jean Yves","non-dropping-particle":"","parse-names":false,"suffix":""},{"dropping-particle":"","family":"White","given":"Daniel James","non-dropping-particle":"","parse-names":false,"suffix":""},{"dropping-particle":"","family":"Hartenstein","given":"Volker","non-dropping-particle":"","parse-names":false,"suffix":""},{"dropping-particle":"","family":"Eliceiri","given":"Kevin","non-dropping-particle":"","parse-names":false,"suffix":""},{"dropping-particle":"","family":"Tomancak","given":"Pavel","non-dropping-particle":"","parse-names":false,"suffix":""},{"dropping-particle":"","family":"Cardona","given":"Albert","non-dropping-particle":"","parse-names":false,"suffix":""}],"container-title":"Nature Methods","id":"ITEM-1","issued":{"date-parts":[["2012"]]},"page":"676-682","title":"Fiji: an open-source platform for biological-image analysis","type":"article-journal","volume":"9"},"uris":["http://www.mendeley.com/documents/?uuid=ee3515f5-62d2-3967-b99a-1fba62c4de36"]}],"mendeley":{"formattedCitation":"(40)","plainTextFormattedCitation":"(40)","previouslyFormattedCitation":"(40)"},"properties":{"noteIndex":0},"schema":"https://github.com/citation-style-language/schema/raw/master/csl-citation.json"}</w:instrText>
      </w:r>
      <w:r w:rsidRPr="0009290F">
        <w:rPr>
          <w:lang w:val="en-GB"/>
        </w:rPr>
        <w:fldChar w:fldCharType="separate"/>
      </w:r>
      <w:r w:rsidRPr="0009290F">
        <w:rPr>
          <w:noProof/>
          <w:lang w:val="en-GB"/>
        </w:rPr>
        <w:t>(</w:t>
      </w:r>
      <w:r w:rsidR="00A5561B" w:rsidRPr="0009290F">
        <w:rPr>
          <w:noProof/>
          <w:lang w:val="en-GB"/>
        </w:rPr>
        <w:t>10</w:t>
      </w:r>
      <w:r w:rsidRPr="0009290F">
        <w:rPr>
          <w:noProof/>
          <w:lang w:val="en-GB"/>
        </w:rPr>
        <w:t>)</w:t>
      </w:r>
      <w:r w:rsidRPr="0009290F">
        <w:rPr>
          <w:lang w:val="en-GB"/>
        </w:rPr>
        <w:fldChar w:fldCharType="end"/>
      </w:r>
      <w:r w:rsidRPr="0009290F">
        <w:rPr>
          <w:lang w:val="en-GB"/>
        </w:rPr>
        <w:t>, and adjusted for brightness and contrast.</w:t>
      </w:r>
    </w:p>
    <w:p w14:paraId="24428754" w14:textId="77777777" w:rsidR="00401015" w:rsidRPr="0009290F" w:rsidRDefault="00401015" w:rsidP="00401015">
      <w:pPr>
        <w:spacing w:line="300" w:lineRule="auto"/>
        <w:rPr>
          <w:b/>
          <w:lang w:val="en-US"/>
        </w:rPr>
      </w:pPr>
      <w:r w:rsidRPr="0009290F">
        <w:rPr>
          <w:b/>
          <w:lang w:val="en-US"/>
        </w:rPr>
        <w:lastRenderedPageBreak/>
        <w:t xml:space="preserve">Statistical analysis </w:t>
      </w:r>
    </w:p>
    <w:p w14:paraId="274E5DAF" w14:textId="409B65C6" w:rsidR="00401015" w:rsidRPr="0009290F" w:rsidRDefault="00401015" w:rsidP="00401015">
      <w:pPr>
        <w:spacing w:line="300" w:lineRule="auto"/>
        <w:rPr>
          <w:lang w:val="en-US"/>
        </w:rPr>
      </w:pPr>
      <w:r w:rsidRPr="0009290F">
        <w:rPr>
          <w:lang w:val="en-US"/>
        </w:rPr>
        <w:t xml:space="preserve">The sample size was calculated by power analysis using the G*Power software (version 3.1.9.2). The sample size was calculated using an effect size of 1.5, which was based on previous studies evaluating the effect of gene therapy in NP-C mice </w:t>
      </w:r>
      <w:r w:rsidRPr="0009290F">
        <w:rPr>
          <w:lang w:val="en-US"/>
        </w:rPr>
        <w:fldChar w:fldCharType="begin" w:fldLock="1"/>
      </w:r>
      <w:r w:rsidRPr="0009290F">
        <w:rPr>
          <w:lang w:val="en-US"/>
        </w:rPr>
        <w:instrText>ADDIN CSL_CITATION {"citationItems":[{"id":"ITEM-1","itemData":{"ISSN":"00144886","PMID":"29655638","abstract":"Niemann-Pick type C2 (NPC2) disease is a rare, neurodegenerative disorder caused by mutations in the NPC2 gene, leading to lysosomal accumulation of unesterified cholesterol and other lipids. It is characterized by hepatosplenomegaly, liver dysfunction and severe neurological manifestations, resulting in early death. There is no effective therapy for NPC2 disease. Here, we evaluated the effectiveness of an adeno-associated virus (AAV), serotype rh.10 gene transfer vector expressing the mouse Npc2 gene (AAVrh.10-mNpc2-HA, HA tagged to facilitate analysis) to treat the disease in an Npc2-/- mouse model. A single intracisternal administration of the AAVrh.10-mNpc2-HA to 6 week old Npc2-/- mice mediated vector DNA, transgene mRNA and protein expression in brain and other organs. Compared to untreated Npc2-/- mice, AAV-treated Npc2-/- mice demonstrated amelioration of disease pathology in the brain, reduced lysosomal storage, reduced Purkinje cell death, decreased gliosis, and improved performance in behavioral tasks. Treatment-related reduction in serum disease markers was detected early and this effect persisted. Liver and spleen pathology were improved with significant reduction of liver cholesterol and sphingomyelin levels in treated Npc2-/- mice. Finally, administration of AAVrh.10-mNpc2-HA significantly extended life-span. Taken together, these data demonstrate the benefit of a one-time intracisternal administration of AAVrh.10-mNpc2-HA as a life-long treatment for NPC2 disease.","author":[{"dropping-particle":"","family":"Markmann","given":"Sandra","non-dropping-particle":"","parse-names":false,"suffix":""},{"dropping-particle":"","family":"J. Christie-Reid","given":"Jasmine","non-dropping-particle":"","parse-names":false,"suffix":""},{"dropping-particle":"","family":"Rosenberg","given":"Jonathan B.","non-dropping-particle":"","parse-names":false,"suffix":""},{"dropping-particle":"","family":"De","given":"Bishnu P.","non-dropping-particle":"","parse-names":false,"suffix":""},{"dropping-particle":"","family":"Kaminsky","given":"Stephen M.","non-dropping-particle":"","parse-names":false,"suffix":""},{"dropping-particle":"","family":"Crystal","given":"Ronald G.","non-dropping-particle":"","parse-names":false,"suffix":""},{"dropping-particle":"","family":"Sondhi","given":"Dolan","non-dropping-particle":"","parse-names":false,"suffix":""}],"container-title":"Experimental Neurology","id":"ITEM-1","issued":{"date-parts":[["2018"]]},"page":"22-33","title":"Attenuation of the Niemann-Pick type C2 disease phenotype by intracisternal administration of an AAVrh.10 vector expressing Npc2","type":"article-journal","volume":"306"},"uris":["http://www.mendeley.com/documents/?uuid=4630fc08-90e1-3cfb-8f81-cfe4096cc473"]},{"id":"ITEM-2","itemData":{"DOI":"10.1194/jlr.M071274","ISSN":"0022-2275","PMID":"28053186","abstract":"Niemann-Pick type C (NPC) disease is a fatal inherited neurodegenerative disorder caused by loss-of-function mutations in the NPC1 or NPC2 gene. There is no effective way to treat NPC disease. In this study, we used adeno-associated virus (AAV) serotype 9 (AAV9) to deliver a functional NPC1 gene systemically into NPC1-/- mice at postnatal day 4. One single AAV9-NPC1 injection resulted in robust NPC1 expression in various tissues, including brain, heart, and lung. Strikingly, AAV9-mediated NPC1 delivery significantly promoted Purkinje cell survival, restored locomotor activity and coordination, and increased the lifespan of NPC1-/- mice. Our work suggests that AAV-based gene therapy is a promising means to treat NPC disease.","author":[{"dropping-particle":"","family":"Xie","given":"Chang","non-dropping-particle":"","parse-names":false,"suffix":""},{"dropping-particle":"","family":"Gong","given":"Xue-Min","non-dropping-particle":"","parse-names":false,"suffix":""},{"dropping-particle":"","family":"Luo","given":"Jie","non-dropping-particle":"","parse-names":false,"suffix":""},{"dropping-particle":"","family":"Li","given":"Bo-Liang","non-dropping-particle":"","parse-names":false,"suffix":""},{"dropping-particle":"","family":"Song","given":"Bao-Liang","non-dropping-particle":"","parse-names":false,"suffix":""}],"container-title":"Journal of Lipid Research","id":"ITEM-2","issue":"3","issued":{"date-parts":[["2017"]]},"page":"512-518","title":"AAV9-NPC1 significantly ameliorates Purkinje cell death and behavioral abnormalities in mouse NPC disease","type":"article-journal","volume":"58"},"uris":["http://www.mendeley.com/documents/?uuid=940650cb-fc83-323d-b562-245968bb2ef2"]}],"mendeley":{"formattedCitation":"(21,42)","plainTextFormattedCitation":"(21,42)","previouslyFormattedCitation":"(21,41)"},"properties":{"noteIndex":0},"schema":"https://github.com/citation-style-language/schema/raw/master/csl-citation.json"}</w:instrText>
      </w:r>
      <w:r w:rsidRPr="0009290F">
        <w:rPr>
          <w:lang w:val="en-US"/>
        </w:rPr>
        <w:fldChar w:fldCharType="separate"/>
      </w:r>
      <w:r w:rsidRPr="0009290F">
        <w:rPr>
          <w:noProof/>
          <w:lang w:val="en-US"/>
        </w:rPr>
        <w:t>(</w:t>
      </w:r>
      <w:r w:rsidR="00A5561B" w:rsidRPr="0009290F">
        <w:rPr>
          <w:noProof/>
          <w:lang w:val="en-US"/>
        </w:rPr>
        <w:t>8</w:t>
      </w:r>
      <w:r w:rsidRPr="0009290F">
        <w:rPr>
          <w:noProof/>
          <w:lang w:val="en-US"/>
        </w:rPr>
        <w:t>)</w:t>
      </w:r>
      <w:r w:rsidRPr="0009290F">
        <w:rPr>
          <w:lang w:val="en-US"/>
        </w:rPr>
        <w:fldChar w:fldCharType="end"/>
      </w:r>
      <w:r w:rsidRPr="0009290F">
        <w:rPr>
          <w:lang w:val="en-US"/>
        </w:rPr>
        <w:t xml:space="preserve">. The power and significance level of the experiment was set to 80 % and 0.05, respectively. A loss of 10 % of the mice was expected based on the humane endpoints, and therefore 10 mice were included in each group. All data sets were analyzed by the D’Agostino-Pearson test to verify if the data followed a Gaussian distribution and tested for equal variances by the Brown-Forsythe test. If the data sets passed these tests, a one-way ANOVA with Tukey’s post hoc analysis was applied. Otherwise, the data sets were log-transformed. If the data sets still did not pass the parametric criteria, the Kruskal-Wallis test with Dunn’s multiple comparisons was applied. The details of the specific statistical analysis used are reported in </w:t>
      </w:r>
      <w:r w:rsidR="009C0F77" w:rsidRPr="0009290F">
        <w:rPr>
          <w:lang w:val="en-US"/>
        </w:rPr>
        <w:t xml:space="preserve">the </w:t>
      </w:r>
      <w:r w:rsidRPr="0009290F">
        <w:rPr>
          <w:lang w:val="en-US"/>
        </w:rPr>
        <w:t>figure legends. All statistical analyses were two-sided. A p-value of ≤ 0.05 was considered statistically significant. Data are reported as mean ± standard deviation (SD) if not stated</w:t>
      </w:r>
      <w:r w:rsidR="00FC33E2" w:rsidRPr="0009290F">
        <w:rPr>
          <w:lang w:val="en-US"/>
        </w:rPr>
        <w:t xml:space="preserve"> otherwise</w:t>
      </w:r>
      <w:r w:rsidRPr="0009290F">
        <w:rPr>
          <w:lang w:val="en-US"/>
        </w:rPr>
        <w:t>.</w:t>
      </w:r>
    </w:p>
    <w:bookmarkEnd w:id="0"/>
    <w:p w14:paraId="2D3C5F1E" w14:textId="77777777" w:rsidR="005F422B" w:rsidRPr="0009290F" w:rsidRDefault="005F422B">
      <w:pPr>
        <w:spacing w:after="160" w:line="259" w:lineRule="auto"/>
        <w:rPr>
          <w:b/>
          <w:bCs/>
          <w:lang w:val="en-US"/>
        </w:rPr>
      </w:pPr>
    </w:p>
    <w:p w14:paraId="2C084BE0" w14:textId="77777777" w:rsidR="00E07303" w:rsidRPr="0009290F" w:rsidRDefault="00E07303">
      <w:pPr>
        <w:spacing w:after="160" w:line="259" w:lineRule="auto"/>
        <w:rPr>
          <w:b/>
          <w:bCs/>
          <w:lang w:val="en-US"/>
        </w:rPr>
      </w:pPr>
      <w:r w:rsidRPr="0009290F">
        <w:rPr>
          <w:b/>
          <w:bCs/>
          <w:lang w:val="en-US"/>
        </w:rPr>
        <w:br w:type="page"/>
      </w:r>
    </w:p>
    <w:p w14:paraId="38CA38E4" w14:textId="6206701F" w:rsidR="001964D0" w:rsidRPr="00452C28" w:rsidRDefault="001964D0">
      <w:pPr>
        <w:spacing w:after="160" w:line="259" w:lineRule="auto"/>
        <w:rPr>
          <w:b/>
          <w:bCs/>
          <w:sz w:val="28"/>
          <w:szCs w:val="28"/>
          <w:lang w:val="en-US"/>
        </w:rPr>
      </w:pPr>
      <w:r w:rsidRPr="00452C28">
        <w:rPr>
          <w:b/>
          <w:bCs/>
          <w:sz w:val="28"/>
          <w:szCs w:val="28"/>
          <w:lang w:val="en-US"/>
        </w:rPr>
        <w:lastRenderedPageBreak/>
        <w:t>Supplementa</w:t>
      </w:r>
      <w:r w:rsidR="00570DC3" w:rsidRPr="00452C28">
        <w:rPr>
          <w:b/>
          <w:bCs/>
          <w:sz w:val="28"/>
          <w:szCs w:val="28"/>
          <w:lang w:val="en-US"/>
        </w:rPr>
        <w:t>ry</w:t>
      </w:r>
      <w:r w:rsidRPr="00452C28">
        <w:rPr>
          <w:b/>
          <w:bCs/>
          <w:sz w:val="28"/>
          <w:szCs w:val="28"/>
          <w:lang w:val="en-US"/>
        </w:rPr>
        <w:t xml:space="preserve"> References</w:t>
      </w:r>
    </w:p>
    <w:p w14:paraId="0B15D7C0" w14:textId="2ADF713C" w:rsidR="005D4B4B" w:rsidRPr="0009290F" w:rsidRDefault="005D4B4B" w:rsidP="00431794">
      <w:pPr>
        <w:widowControl w:val="0"/>
        <w:autoSpaceDE w:val="0"/>
        <w:autoSpaceDN w:val="0"/>
        <w:adjustRightInd w:val="0"/>
        <w:spacing w:line="288" w:lineRule="auto"/>
        <w:ind w:left="641" w:hanging="641"/>
        <w:rPr>
          <w:noProof/>
          <w:lang w:val="en-US"/>
        </w:rPr>
      </w:pPr>
      <w:r w:rsidRPr="0009290F">
        <w:rPr>
          <w:noProof/>
        </w:rPr>
        <w:t xml:space="preserve">1. </w:t>
      </w:r>
      <w:r w:rsidRPr="0009290F">
        <w:rPr>
          <w:noProof/>
        </w:rPr>
        <w:tab/>
        <w:t xml:space="preserve">Körbelin J, Dogbevia G, Michelfelder S, Ridder DA, Hunger A, Wenzel J, et al. </w:t>
      </w:r>
      <w:r w:rsidRPr="0009290F">
        <w:rPr>
          <w:noProof/>
          <w:lang w:val="en-US"/>
        </w:rPr>
        <w:t>A brain microvasculature endothelial cell</w:t>
      </w:r>
      <w:r w:rsidRPr="0009290F">
        <w:rPr>
          <w:rFonts w:ascii="Cambria Math" w:hAnsi="Cambria Math" w:cs="Cambria Math"/>
          <w:noProof/>
          <w:lang w:val="en-US"/>
        </w:rPr>
        <w:t>‐</w:t>
      </w:r>
      <w:r w:rsidRPr="0009290F">
        <w:rPr>
          <w:noProof/>
          <w:lang w:val="en-US"/>
        </w:rPr>
        <w:t xml:space="preserve">specific viral vector with the potential to treat neurovascular and neurological diseases. EMBO Mol Med. 2016;8(6):609–25. </w:t>
      </w:r>
    </w:p>
    <w:p w14:paraId="788D9982" w14:textId="12B52EDE" w:rsidR="00676F96" w:rsidRPr="0009290F" w:rsidRDefault="005D4B4B" w:rsidP="00431794">
      <w:pPr>
        <w:widowControl w:val="0"/>
        <w:autoSpaceDE w:val="0"/>
        <w:autoSpaceDN w:val="0"/>
        <w:adjustRightInd w:val="0"/>
        <w:spacing w:line="288" w:lineRule="auto"/>
        <w:ind w:left="641" w:hanging="641"/>
        <w:rPr>
          <w:noProof/>
          <w:lang w:val="en-US"/>
        </w:rPr>
      </w:pPr>
      <w:r w:rsidRPr="0009290F">
        <w:rPr>
          <w:noProof/>
          <w:lang w:val="en-US"/>
        </w:rPr>
        <w:t>2</w:t>
      </w:r>
      <w:r w:rsidR="00676F96" w:rsidRPr="0009290F">
        <w:rPr>
          <w:noProof/>
          <w:lang w:val="en-US"/>
        </w:rPr>
        <w:t xml:space="preserve">. </w:t>
      </w:r>
      <w:r w:rsidR="00676F96" w:rsidRPr="0009290F">
        <w:rPr>
          <w:noProof/>
          <w:lang w:val="en-US"/>
        </w:rPr>
        <w:tab/>
        <w:t xml:space="preserve">Rasmussen CLM, Hede E, Routhe LJ, Körbelin J, Helgudottir SS, Thomsen LB, et al. A novel strategy for delivering Niemann-Pick type C2 proteins across the blood–brain barrier using the brain endothelial-specific AAV-BR1 virus. J Neurochem. 2023;164:6–28. </w:t>
      </w:r>
    </w:p>
    <w:p w14:paraId="7262F4DC" w14:textId="0AB09210" w:rsidR="00676F96" w:rsidRPr="0009290F" w:rsidRDefault="005D4B4B" w:rsidP="00431794">
      <w:pPr>
        <w:widowControl w:val="0"/>
        <w:autoSpaceDE w:val="0"/>
        <w:autoSpaceDN w:val="0"/>
        <w:adjustRightInd w:val="0"/>
        <w:spacing w:line="288" w:lineRule="auto"/>
        <w:ind w:left="641" w:hanging="641"/>
        <w:rPr>
          <w:noProof/>
        </w:rPr>
      </w:pPr>
      <w:r w:rsidRPr="0009290F">
        <w:rPr>
          <w:noProof/>
          <w:lang w:val="en-US"/>
        </w:rPr>
        <w:t>3</w:t>
      </w:r>
      <w:r w:rsidR="00676F96" w:rsidRPr="0009290F">
        <w:rPr>
          <w:noProof/>
          <w:lang w:val="en-US"/>
        </w:rPr>
        <w:t xml:space="preserve">. </w:t>
      </w:r>
      <w:r w:rsidR="00676F96" w:rsidRPr="0009290F">
        <w:rPr>
          <w:noProof/>
          <w:lang w:val="en-US"/>
        </w:rPr>
        <w:tab/>
        <w:t xml:space="preserve">Percie du Sert N, Hurst V, Ahluwalia A, Alam S, Avey MT, Baker M, et al. The ARRIVE guidelines 2.0: updated guidelines for reporting animal research. </w:t>
      </w:r>
      <w:r w:rsidR="00676F96" w:rsidRPr="002F2979">
        <w:rPr>
          <w:noProof/>
          <w:lang w:val="da-DK"/>
        </w:rPr>
        <w:t xml:space="preserve">J Physiol. </w:t>
      </w:r>
      <w:r w:rsidR="00676F96" w:rsidRPr="0009290F">
        <w:rPr>
          <w:noProof/>
        </w:rPr>
        <w:t xml:space="preserve">2020;598(18):3793–801. </w:t>
      </w:r>
    </w:p>
    <w:p w14:paraId="59589E4C" w14:textId="27D8652D" w:rsidR="00676F96" w:rsidRPr="0009290F" w:rsidRDefault="005D4B4B" w:rsidP="00431794">
      <w:pPr>
        <w:widowControl w:val="0"/>
        <w:autoSpaceDE w:val="0"/>
        <w:autoSpaceDN w:val="0"/>
        <w:adjustRightInd w:val="0"/>
        <w:spacing w:line="288" w:lineRule="auto"/>
        <w:ind w:left="641" w:hanging="641"/>
        <w:rPr>
          <w:noProof/>
          <w:lang w:val="en-US"/>
        </w:rPr>
      </w:pPr>
      <w:r w:rsidRPr="0009290F">
        <w:rPr>
          <w:noProof/>
        </w:rPr>
        <w:t>4</w:t>
      </w:r>
      <w:r w:rsidR="00676F96" w:rsidRPr="0009290F">
        <w:rPr>
          <w:noProof/>
        </w:rPr>
        <w:t xml:space="preserve">. </w:t>
      </w:r>
      <w:r w:rsidR="00676F96" w:rsidRPr="0009290F">
        <w:rPr>
          <w:noProof/>
        </w:rPr>
        <w:tab/>
        <w:t xml:space="preserve">Nielsen GK, Dagnaes-Hansen F, Holm IE, Meaney S, Symula D, Andersen NT, et al. </w:t>
      </w:r>
      <w:r w:rsidR="00676F96" w:rsidRPr="0009290F">
        <w:rPr>
          <w:noProof/>
          <w:lang w:val="en-US"/>
        </w:rPr>
        <w:t xml:space="preserve">Protein replacement therapy partially corrects the cholesterol-storage phenotype in a mouse model of Niemann-Pick type C2 disease. PLoS One. 2011;6(11):e27287. </w:t>
      </w:r>
    </w:p>
    <w:p w14:paraId="37BDA58C" w14:textId="078CA485" w:rsidR="00676F96" w:rsidRPr="0009290F" w:rsidRDefault="005D4B4B" w:rsidP="00431794">
      <w:pPr>
        <w:widowControl w:val="0"/>
        <w:autoSpaceDE w:val="0"/>
        <w:autoSpaceDN w:val="0"/>
        <w:adjustRightInd w:val="0"/>
        <w:spacing w:line="288" w:lineRule="auto"/>
        <w:ind w:left="641" w:hanging="641"/>
        <w:rPr>
          <w:noProof/>
          <w:lang w:val="en-US"/>
        </w:rPr>
      </w:pPr>
      <w:r w:rsidRPr="0009290F">
        <w:rPr>
          <w:noProof/>
          <w:lang w:val="en-US"/>
        </w:rPr>
        <w:t>5</w:t>
      </w:r>
      <w:r w:rsidR="00676F96" w:rsidRPr="0009290F">
        <w:rPr>
          <w:noProof/>
          <w:lang w:val="en-US"/>
        </w:rPr>
        <w:t xml:space="preserve">. </w:t>
      </w:r>
      <w:r w:rsidR="00676F96" w:rsidRPr="0009290F">
        <w:rPr>
          <w:noProof/>
          <w:lang w:val="en-US"/>
        </w:rPr>
        <w:tab/>
        <w:t xml:space="preserve">Rasmussen CLM, Thomsen LB, Heegaard CW, Moos T, Burkhart A. The Npc2Gt(LST105)BygNya mouse signifies pathological changes comparable to human Niemann-Pick type C2 disease. Mol Cell Neurosci. 2023;126:103880. </w:t>
      </w:r>
    </w:p>
    <w:p w14:paraId="0184C0D5" w14:textId="0B10A012" w:rsidR="00676F96" w:rsidRPr="0009290F" w:rsidRDefault="005D4B4B" w:rsidP="00431794">
      <w:pPr>
        <w:widowControl w:val="0"/>
        <w:autoSpaceDE w:val="0"/>
        <w:autoSpaceDN w:val="0"/>
        <w:adjustRightInd w:val="0"/>
        <w:spacing w:line="288" w:lineRule="auto"/>
        <w:ind w:left="641" w:hanging="641"/>
        <w:rPr>
          <w:noProof/>
          <w:lang w:val="en-US"/>
        </w:rPr>
      </w:pPr>
      <w:r w:rsidRPr="0009290F">
        <w:rPr>
          <w:noProof/>
          <w:lang w:val="en-US"/>
        </w:rPr>
        <w:t>6</w:t>
      </w:r>
      <w:r w:rsidR="00676F96" w:rsidRPr="0009290F">
        <w:rPr>
          <w:noProof/>
          <w:lang w:val="en-US"/>
        </w:rPr>
        <w:t xml:space="preserve">. </w:t>
      </w:r>
      <w:r w:rsidR="00676F96" w:rsidRPr="0009290F">
        <w:rPr>
          <w:noProof/>
          <w:lang w:val="en-US"/>
        </w:rPr>
        <w:tab/>
        <w:t xml:space="preserve">Berard M, Feinstein R, Gallagher A, Illgen-Wilcke B, Pritchett-Corning K, Raspa M. FELASA recommendations for the health monitoring of mouse, rat, hamster, guinea pig and rabbit colonies in breeding and experimental units. Lab Anim. 2014;48(3):178–92. </w:t>
      </w:r>
    </w:p>
    <w:p w14:paraId="5CE65E1B" w14:textId="136FE3F3" w:rsidR="00676F96" w:rsidRPr="0009290F" w:rsidRDefault="005D4B4B" w:rsidP="00431794">
      <w:pPr>
        <w:widowControl w:val="0"/>
        <w:autoSpaceDE w:val="0"/>
        <w:autoSpaceDN w:val="0"/>
        <w:adjustRightInd w:val="0"/>
        <w:spacing w:line="288" w:lineRule="auto"/>
        <w:ind w:left="641" w:hanging="641"/>
        <w:rPr>
          <w:noProof/>
          <w:lang w:val="en-US"/>
        </w:rPr>
      </w:pPr>
      <w:r w:rsidRPr="0009290F">
        <w:rPr>
          <w:noProof/>
          <w:lang w:val="en-US"/>
        </w:rPr>
        <w:t>7</w:t>
      </w:r>
      <w:r w:rsidR="00676F96" w:rsidRPr="0009290F">
        <w:rPr>
          <w:noProof/>
          <w:lang w:val="en-US"/>
        </w:rPr>
        <w:t xml:space="preserve">. </w:t>
      </w:r>
      <w:r w:rsidR="00676F96" w:rsidRPr="0009290F">
        <w:rPr>
          <w:noProof/>
          <w:lang w:val="en-US"/>
        </w:rPr>
        <w:tab/>
        <w:t xml:space="preserve">Urbaniak GC, Plous S. Research Randomizer. 2013. </w:t>
      </w:r>
    </w:p>
    <w:p w14:paraId="392A12B1" w14:textId="58AFA1EF" w:rsidR="005D4B4B" w:rsidRPr="0009290F" w:rsidRDefault="00A5561B" w:rsidP="00431794">
      <w:pPr>
        <w:widowControl w:val="0"/>
        <w:autoSpaceDE w:val="0"/>
        <w:autoSpaceDN w:val="0"/>
        <w:adjustRightInd w:val="0"/>
        <w:spacing w:line="288" w:lineRule="auto"/>
        <w:ind w:left="641" w:hanging="641"/>
        <w:rPr>
          <w:noProof/>
          <w:lang w:val="en-US"/>
        </w:rPr>
      </w:pPr>
      <w:r w:rsidRPr="0009290F">
        <w:rPr>
          <w:noProof/>
          <w:lang w:val="en-US"/>
        </w:rPr>
        <w:t>8</w:t>
      </w:r>
      <w:r w:rsidR="005D4B4B" w:rsidRPr="0009290F">
        <w:rPr>
          <w:noProof/>
          <w:lang w:val="en-US"/>
        </w:rPr>
        <w:t xml:space="preserve">. </w:t>
      </w:r>
      <w:r w:rsidR="005D4B4B" w:rsidRPr="0009290F">
        <w:rPr>
          <w:noProof/>
          <w:lang w:val="en-US"/>
        </w:rPr>
        <w:tab/>
      </w:r>
      <w:r w:rsidR="005D4B4B" w:rsidRPr="002F2979">
        <w:rPr>
          <w:noProof/>
          <w:lang w:val="en-US"/>
        </w:rPr>
        <w:t xml:space="preserve">Markmann S, J. Christie-Reid J, Rosenberg JB, De BP, Kaminsky SM, Crystal RG, et al. </w:t>
      </w:r>
      <w:r w:rsidR="005D4B4B" w:rsidRPr="0009290F">
        <w:rPr>
          <w:noProof/>
          <w:lang w:val="en-US"/>
        </w:rPr>
        <w:t xml:space="preserve">Attenuation of the Niemann-Pick type C2 disease phenotype by intracisternal administration of an AAVrh.10 vector expressing Npc2. Exp Neurol. 2018;306:22–33. </w:t>
      </w:r>
    </w:p>
    <w:p w14:paraId="225099B9" w14:textId="77777777" w:rsidR="00A5561B" w:rsidRPr="0009290F" w:rsidRDefault="00A5561B" w:rsidP="00A5561B">
      <w:pPr>
        <w:widowControl w:val="0"/>
        <w:autoSpaceDE w:val="0"/>
        <w:autoSpaceDN w:val="0"/>
        <w:adjustRightInd w:val="0"/>
        <w:spacing w:line="288" w:lineRule="auto"/>
        <w:ind w:left="641" w:hanging="641"/>
      </w:pPr>
      <w:r w:rsidRPr="0009290F">
        <w:rPr>
          <w:noProof/>
          <w:lang w:val="en-US"/>
        </w:rPr>
        <w:t xml:space="preserve">9. </w:t>
      </w:r>
      <w:r w:rsidRPr="0009290F">
        <w:rPr>
          <w:noProof/>
          <w:lang w:val="en-US"/>
        </w:rPr>
        <w:tab/>
      </w:r>
      <w:r w:rsidRPr="0009290F">
        <w:t>Maxfield</w:t>
      </w:r>
      <w:r w:rsidRPr="0009290F">
        <w:rPr>
          <w:spacing w:val="-2"/>
        </w:rPr>
        <w:t xml:space="preserve"> </w:t>
      </w:r>
      <w:r w:rsidRPr="0009290F">
        <w:t>FR,</w:t>
      </w:r>
      <w:r w:rsidRPr="0009290F">
        <w:rPr>
          <w:spacing w:val="-5"/>
        </w:rPr>
        <w:t xml:space="preserve"> </w:t>
      </w:r>
      <w:r w:rsidRPr="0009290F">
        <w:t>Wüstner</w:t>
      </w:r>
      <w:r w:rsidRPr="0009290F">
        <w:rPr>
          <w:spacing w:val="-2"/>
        </w:rPr>
        <w:t xml:space="preserve"> </w:t>
      </w:r>
      <w:r w:rsidRPr="0009290F">
        <w:t>D.</w:t>
      </w:r>
      <w:r w:rsidRPr="0009290F">
        <w:rPr>
          <w:spacing w:val="-5"/>
        </w:rPr>
        <w:t xml:space="preserve"> </w:t>
      </w:r>
      <w:r w:rsidRPr="0009290F">
        <w:t>Analysis</w:t>
      </w:r>
      <w:r w:rsidRPr="0009290F">
        <w:rPr>
          <w:spacing w:val="-1"/>
        </w:rPr>
        <w:t xml:space="preserve"> </w:t>
      </w:r>
      <w:r w:rsidRPr="0009290F">
        <w:t>of</w:t>
      </w:r>
      <w:r w:rsidRPr="0009290F">
        <w:rPr>
          <w:spacing w:val="-2"/>
        </w:rPr>
        <w:t xml:space="preserve"> </w:t>
      </w:r>
      <w:r w:rsidRPr="0009290F">
        <w:t>Cholesterol</w:t>
      </w:r>
      <w:r w:rsidRPr="0009290F">
        <w:rPr>
          <w:spacing w:val="-4"/>
        </w:rPr>
        <w:t xml:space="preserve"> </w:t>
      </w:r>
      <w:r w:rsidRPr="0009290F">
        <w:t>Trafficking</w:t>
      </w:r>
      <w:r w:rsidRPr="0009290F">
        <w:rPr>
          <w:spacing w:val="-5"/>
        </w:rPr>
        <w:t xml:space="preserve"> </w:t>
      </w:r>
      <w:r w:rsidRPr="0009290F">
        <w:t>with</w:t>
      </w:r>
      <w:r w:rsidRPr="0009290F">
        <w:rPr>
          <w:spacing w:val="-2"/>
        </w:rPr>
        <w:t xml:space="preserve"> </w:t>
      </w:r>
      <w:r w:rsidRPr="0009290F">
        <w:t xml:space="preserve">Fluorescent Probes.Methods </w:t>
      </w:r>
      <w:r w:rsidRPr="0009290F">
        <w:rPr>
          <w:spacing w:val="-2"/>
        </w:rPr>
        <w:t>C</w:t>
      </w:r>
      <w:r w:rsidRPr="0009290F">
        <w:t>ell Biol.</w:t>
      </w:r>
      <w:r w:rsidRPr="0009290F">
        <w:rPr>
          <w:spacing w:val="-3"/>
        </w:rPr>
        <w:t xml:space="preserve"> </w:t>
      </w:r>
      <w:r w:rsidRPr="0009290F">
        <w:t>2012;108:367–93.</w:t>
      </w:r>
    </w:p>
    <w:p w14:paraId="43A9999B" w14:textId="39EF8A9E" w:rsidR="00676F96" w:rsidRPr="0009290F" w:rsidRDefault="00A5561B" w:rsidP="00431794">
      <w:pPr>
        <w:widowControl w:val="0"/>
        <w:autoSpaceDE w:val="0"/>
        <w:autoSpaceDN w:val="0"/>
        <w:adjustRightInd w:val="0"/>
        <w:spacing w:line="288" w:lineRule="auto"/>
        <w:ind w:left="641" w:hanging="641"/>
        <w:rPr>
          <w:noProof/>
          <w:lang w:val="en-US"/>
        </w:rPr>
      </w:pPr>
      <w:r w:rsidRPr="0009290F">
        <w:rPr>
          <w:noProof/>
        </w:rPr>
        <w:t>10</w:t>
      </w:r>
      <w:r w:rsidR="00676F96" w:rsidRPr="0009290F">
        <w:rPr>
          <w:noProof/>
        </w:rPr>
        <w:t xml:space="preserve">. </w:t>
      </w:r>
      <w:r w:rsidR="00676F96" w:rsidRPr="0009290F">
        <w:rPr>
          <w:noProof/>
        </w:rPr>
        <w:tab/>
        <w:t xml:space="preserve">Schindelin J, Arganda-Carreras I, Frise E, Kaynig V, Longair M, Pietzsch T, et al. Fiji: an open-source platform for biological-image analysis. </w:t>
      </w:r>
      <w:r w:rsidR="00676F96" w:rsidRPr="0009290F">
        <w:rPr>
          <w:noProof/>
          <w:lang w:val="en-US"/>
        </w:rPr>
        <w:t xml:space="preserve">Nat Methods. 2012;9:676–82. </w:t>
      </w:r>
    </w:p>
    <w:p w14:paraId="50F7E0F3" w14:textId="507DAFBB" w:rsidR="00341535" w:rsidRDefault="00341535" w:rsidP="004974B1">
      <w:pPr>
        <w:widowControl w:val="0"/>
        <w:autoSpaceDE w:val="0"/>
        <w:autoSpaceDN w:val="0"/>
        <w:adjustRightInd w:val="0"/>
        <w:spacing w:line="288" w:lineRule="auto"/>
        <w:ind w:left="641" w:hanging="641"/>
        <w:rPr>
          <w:sz w:val="22"/>
          <w:szCs w:val="22"/>
        </w:rPr>
      </w:pPr>
    </w:p>
    <w:p w14:paraId="00CB7087" w14:textId="0554B96C" w:rsidR="00341535" w:rsidRPr="004974B1" w:rsidRDefault="00341535" w:rsidP="004974B1">
      <w:pPr>
        <w:widowControl w:val="0"/>
        <w:autoSpaceDE w:val="0"/>
        <w:autoSpaceDN w:val="0"/>
        <w:adjustRightInd w:val="0"/>
        <w:spacing w:line="288" w:lineRule="auto"/>
        <w:ind w:left="641" w:hanging="641"/>
        <w:rPr>
          <w:sz w:val="22"/>
          <w:szCs w:val="22"/>
        </w:rPr>
      </w:pPr>
      <w:r w:rsidRPr="00B001B1">
        <w:rPr>
          <w:noProof/>
        </w:rPr>
        <w:tab/>
      </w:r>
    </w:p>
    <w:p w14:paraId="0ED11EF3" w14:textId="591E9358" w:rsidR="004974B1" w:rsidRDefault="004974B1" w:rsidP="004974B1">
      <w:pPr>
        <w:pStyle w:val="Brdtekst"/>
        <w:spacing w:before="11"/>
        <w:ind w:left="20"/>
      </w:pPr>
    </w:p>
    <w:p w14:paraId="516E0256" w14:textId="7BD6C8C0" w:rsidR="008E71EE" w:rsidRDefault="00BD2AF2">
      <w:pPr>
        <w:spacing w:after="160" w:line="259" w:lineRule="auto"/>
        <w:rPr>
          <w:b/>
          <w:bCs/>
          <w:sz w:val="32"/>
          <w:szCs w:val="32"/>
          <w:lang w:val="en-US"/>
        </w:rPr>
      </w:pPr>
      <w:r>
        <w:rPr>
          <w:noProof/>
          <w:lang w:val="en-US"/>
        </w:rPr>
        <w:br w:type="page"/>
      </w:r>
      <w:r w:rsidR="008E71EE" w:rsidRPr="00F35798">
        <w:rPr>
          <w:b/>
          <w:bCs/>
          <w:sz w:val="32"/>
          <w:szCs w:val="32"/>
          <w:lang w:val="en-US"/>
        </w:rPr>
        <w:lastRenderedPageBreak/>
        <w:t>Supplementary Table</w:t>
      </w:r>
      <w:r w:rsidR="00452C28">
        <w:rPr>
          <w:b/>
          <w:bCs/>
          <w:sz w:val="32"/>
          <w:szCs w:val="32"/>
          <w:lang w:val="en-US"/>
        </w:rPr>
        <w:t xml:space="preserve"> </w:t>
      </w:r>
    </w:p>
    <w:p w14:paraId="1733C1A1" w14:textId="77777777" w:rsidR="00341535" w:rsidRDefault="00341535">
      <w:pPr>
        <w:spacing w:after="160" w:line="259" w:lineRule="auto"/>
        <w:rPr>
          <w:b/>
          <w:bCs/>
          <w:sz w:val="32"/>
          <w:szCs w:val="32"/>
          <w:lang w:val="en-US"/>
        </w:rPr>
      </w:pPr>
    </w:p>
    <w:p w14:paraId="358F17FA" w14:textId="77777777" w:rsidR="00CA6E81" w:rsidRPr="00C16916" w:rsidRDefault="00CA6E81" w:rsidP="00CA6E81">
      <w:pPr>
        <w:spacing w:after="160" w:line="259" w:lineRule="auto"/>
        <w:rPr>
          <w:b/>
          <w:spacing w:val="-7"/>
          <w:lang w:val="en-US"/>
        </w:rPr>
      </w:pPr>
      <w:r w:rsidRPr="00C16916">
        <w:rPr>
          <w:b/>
          <w:lang w:val="en-US"/>
        </w:rPr>
        <w:t>Table</w:t>
      </w:r>
      <w:r w:rsidRPr="00C16916">
        <w:rPr>
          <w:b/>
          <w:spacing w:val="-7"/>
          <w:lang w:val="en-US"/>
        </w:rPr>
        <w:t xml:space="preserve"> S</w:t>
      </w:r>
      <w:r>
        <w:rPr>
          <w:b/>
          <w:spacing w:val="-7"/>
          <w:lang w:val="en-US"/>
        </w:rPr>
        <w:t>1</w:t>
      </w:r>
      <w:r w:rsidRPr="00C16916">
        <w:rPr>
          <w:b/>
          <w:spacing w:val="-7"/>
          <w:lang w:val="en-US"/>
        </w:rPr>
        <w:t xml:space="preserve">. </w:t>
      </w:r>
      <w:r w:rsidRPr="00C16916">
        <w:rPr>
          <w:b/>
        </w:rPr>
        <w:t>Overview of</w:t>
      </w:r>
      <w:r w:rsidRPr="00C16916">
        <w:rPr>
          <w:b/>
          <w:spacing w:val="-1"/>
        </w:rPr>
        <w:t xml:space="preserve"> </w:t>
      </w:r>
      <w:r w:rsidRPr="00C16916">
        <w:rPr>
          <w:b/>
        </w:rPr>
        <w:t>the</w:t>
      </w:r>
      <w:r w:rsidRPr="00C16916">
        <w:rPr>
          <w:b/>
          <w:spacing w:val="-1"/>
        </w:rPr>
        <w:t xml:space="preserve"> </w:t>
      </w:r>
      <w:r w:rsidRPr="00C16916">
        <w:rPr>
          <w:b/>
        </w:rPr>
        <w:t>primers</w:t>
      </w:r>
      <w:r w:rsidRPr="00C16916">
        <w:rPr>
          <w:b/>
          <w:spacing w:val="-3"/>
        </w:rPr>
        <w:t xml:space="preserve"> </w:t>
      </w:r>
      <w:r w:rsidRPr="00C16916">
        <w:rPr>
          <w:b/>
        </w:rPr>
        <w:t>used</w:t>
      </w:r>
      <w:r w:rsidRPr="00C16916">
        <w:rPr>
          <w:b/>
          <w:spacing w:val="-2"/>
        </w:rPr>
        <w:t xml:space="preserve"> </w:t>
      </w:r>
      <w:r w:rsidRPr="00C16916">
        <w:rPr>
          <w:b/>
        </w:rPr>
        <w:t>in</w:t>
      </w:r>
      <w:r w:rsidRPr="00C16916">
        <w:rPr>
          <w:b/>
          <w:spacing w:val="-2"/>
        </w:rPr>
        <w:t xml:space="preserve"> </w:t>
      </w:r>
      <w:r w:rsidRPr="00C16916">
        <w:rPr>
          <w:b/>
        </w:rPr>
        <w:t>the</w:t>
      </w:r>
      <w:r w:rsidRPr="00C16916">
        <w:rPr>
          <w:b/>
          <w:spacing w:val="2"/>
        </w:rPr>
        <w:t xml:space="preserve"> </w:t>
      </w:r>
      <w:r w:rsidRPr="00C16916">
        <w:rPr>
          <w:b/>
        </w:rPr>
        <w:t>study.</w:t>
      </w:r>
    </w:p>
    <w:tbl>
      <w:tblPr>
        <w:tblStyle w:val="Tabel-Gitter"/>
        <w:tblpPr w:leftFromText="141" w:rightFromText="141" w:vertAnchor="text" w:horzAnchor="margin" w:tblpY="-9"/>
        <w:tblW w:w="10060" w:type="dxa"/>
        <w:tblLook w:val="04A0" w:firstRow="1" w:lastRow="0" w:firstColumn="1" w:lastColumn="0" w:noHBand="0" w:noVBand="1"/>
      </w:tblPr>
      <w:tblGrid>
        <w:gridCol w:w="1838"/>
        <w:gridCol w:w="3967"/>
        <w:gridCol w:w="4255"/>
      </w:tblGrid>
      <w:tr w:rsidR="00CA6E81" w:rsidRPr="00401015" w14:paraId="2C2084C7" w14:textId="77777777" w:rsidTr="00737C5A">
        <w:tc>
          <w:tcPr>
            <w:tcW w:w="1838" w:type="dxa"/>
            <w:shd w:val="clear" w:color="auto" w:fill="FFFFFF" w:themeFill="background1"/>
          </w:tcPr>
          <w:p w14:paraId="4D97A849" w14:textId="77777777" w:rsidR="00CA6E81" w:rsidRPr="00401015" w:rsidRDefault="00CA6E81" w:rsidP="00737C5A">
            <w:pPr>
              <w:spacing w:line="480" w:lineRule="auto"/>
              <w:jc w:val="both"/>
              <w:rPr>
                <w:b/>
                <w:lang w:val="en-US"/>
              </w:rPr>
            </w:pPr>
            <w:r w:rsidRPr="00401015">
              <w:rPr>
                <w:b/>
                <w:lang w:val="en-US"/>
              </w:rPr>
              <w:t>Gene</w:t>
            </w:r>
          </w:p>
        </w:tc>
        <w:tc>
          <w:tcPr>
            <w:tcW w:w="3967" w:type="dxa"/>
            <w:shd w:val="clear" w:color="auto" w:fill="FFFFFF" w:themeFill="background1"/>
          </w:tcPr>
          <w:p w14:paraId="4E1FE9E3" w14:textId="77777777" w:rsidR="00CA6E81" w:rsidRPr="00401015" w:rsidRDefault="00CA6E81" w:rsidP="00737C5A">
            <w:pPr>
              <w:spacing w:line="480" w:lineRule="auto"/>
              <w:jc w:val="both"/>
              <w:rPr>
                <w:b/>
                <w:lang w:val="en-US"/>
              </w:rPr>
            </w:pPr>
            <w:r w:rsidRPr="00401015">
              <w:rPr>
                <w:b/>
                <w:lang w:val="en-US"/>
              </w:rPr>
              <w:t>Forward</w:t>
            </w:r>
          </w:p>
        </w:tc>
        <w:tc>
          <w:tcPr>
            <w:tcW w:w="4255" w:type="dxa"/>
            <w:shd w:val="clear" w:color="auto" w:fill="FFFFFF" w:themeFill="background1"/>
          </w:tcPr>
          <w:p w14:paraId="395C7C7C" w14:textId="77777777" w:rsidR="00CA6E81" w:rsidRPr="00401015" w:rsidRDefault="00CA6E81" w:rsidP="00737C5A">
            <w:pPr>
              <w:spacing w:line="480" w:lineRule="auto"/>
              <w:jc w:val="both"/>
              <w:rPr>
                <w:b/>
                <w:lang w:val="en-US"/>
              </w:rPr>
            </w:pPr>
            <w:r w:rsidRPr="00401015">
              <w:rPr>
                <w:b/>
                <w:lang w:val="en-US"/>
              </w:rPr>
              <w:t>Reverse</w:t>
            </w:r>
          </w:p>
        </w:tc>
      </w:tr>
    </w:tbl>
    <w:tbl>
      <w:tblPr>
        <w:tblStyle w:val="Tabel-Gitter"/>
        <w:tblpPr w:leftFromText="141" w:rightFromText="141" w:vertAnchor="text" w:horzAnchor="margin" w:tblpY="663"/>
        <w:tblW w:w="10060" w:type="dxa"/>
        <w:tblLook w:val="04A0" w:firstRow="1" w:lastRow="0" w:firstColumn="1" w:lastColumn="0" w:noHBand="0" w:noVBand="1"/>
      </w:tblPr>
      <w:tblGrid>
        <w:gridCol w:w="1830"/>
        <w:gridCol w:w="3951"/>
        <w:gridCol w:w="4279"/>
      </w:tblGrid>
      <w:tr w:rsidR="00CA6E81" w:rsidRPr="00525CFB" w14:paraId="391BE3AD" w14:textId="77777777" w:rsidTr="00737C5A">
        <w:trPr>
          <w:trHeight w:val="572"/>
        </w:trPr>
        <w:tc>
          <w:tcPr>
            <w:tcW w:w="1830" w:type="dxa"/>
          </w:tcPr>
          <w:p w14:paraId="76929710" w14:textId="77777777" w:rsidR="00CA6E81" w:rsidRPr="00525CFB" w:rsidRDefault="00CA6E81" w:rsidP="00737C5A">
            <w:pPr>
              <w:spacing w:line="480" w:lineRule="auto"/>
              <w:jc w:val="both"/>
              <w:rPr>
                <w:i/>
                <w:lang w:val="en-US"/>
              </w:rPr>
            </w:pPr>
            <w:r w:rsidRPr="00525CFB">
              <w:rPr>
                <w:i/>
                <w:lang w:val="en-US"/>
              </w:rPr>
              <w:t>CAG</w:t>
            </w:r>
          </w:p>
        </w:tc>
        <w:tc>
          <w:tcPr>
            <w:tcW w:w="3951" w:type="dxa"/>
          </w:tcPr>
          <w:p w14:paraId="70BA39AB" w14:textId="77777777" w:rsidR="00CA6E81" w:rsidRPr="00525CFB" w:rsidRDefault="00CA6E81" w:rsidP="00737C5A">
            <w:pPr>
              <w:spacing w:line="480" w:lineRule="auto"/>
              <w:jc w:val="both"/>
              <w:rPr>
                <w:lang w:val="en-US"/>
              </w:rPr>
            </w:pPr>
            <w:r w:rsidRPr="00525CFB">
              <w:rPr>
                <w:lang w:val="en-US"/>
              </w:rPr>
              <w:t>AACGCCAATAGGGACTTTC</w:t>
            </w:r>
          </w:p>
        </w:tc>
        <w:tc>
          <w:tcPr>
            <w:tcW w:w="4279" w:type="dxa"/>
          </w:tcPr>
          <w:p w14:paraId="334354E0" w14:textId="77777777" w:rsidR="00CA6E81" w:rsidRPr="00525CFB" w:rsidRDefault="00CA6E81" w:rsidP="00737C5A">
            <w:pPr>
              <w:spacing w:line="480" w:lineRule="auto"/>
              <w:jc w:val="both"/>
              <w:rPr>
                <w:lang w:val="en-US"/>
              </w:rPr>
            </w:pPr>
            <w:r w:rsidRPr="00525CFB">
              <w:rPr>
                <w:lang w:val="en-US"/>
              </w:rPr>
              <w:t>GTAGGAAAGTCCCATAAGGTC</w:t>
            </w:r>
          </w:p>
        </w:tc>
      </w:tr>
      <w:tr w:rsidR="00CA6E81" w:rsidRPr="00525CFB" w14:paraId="2B030CA6" w14:textId="77777777" w:rsidTr="00737C5A">
        <w:trPr>
          <w:trHeight w:val="572"/>
        </w:trPr>
        <w:tc>
          <w:tcPr>
            <w:tcW w:w="1830" w:type="dxa"/>
          </w:tcPr>
          <w:p w14:paraId="7DFA3691" w14:textId="77777777" w:rsidR="00CA6E81" w:rsidRPr="00525CFB" w:rsidRDefault="00CA6E81" w:rsidP="00737C5A">
            <w:pPr>
              <w:spacing w:line="480" w:lineRule="auto"/>
              <w:jc w:val="both"/>
              <w:rPr>
                <w:i/>
                <w:lang w:val="en-US"/>
              </w:rPr>
            </w:pPr>
            <w:r w:rsidRPr="00525CFB">
              <w:rPr>
                <w:i/>
                <w:lang w:val="en-US"/>
              </w:rPr>
              <w:t>Npc2 mutant</w:t>
            </w:r>
          </w:p>
        </w:tc>
        <w:tc>
          <w:tcPr>
            <w:tcW w:w="3951" w:type="dxa"/>
          </w:tcPr>
          <w:p w14:paraId="030C46E6" w14:textId="77777777" w:rsidR="00CA6E81" w:rsidRPr="00525CFB" w:rsidRDefault="00CA6E81" w:rsidP="00737C5A">
            <w:pPr>
              <w:spacing w:line="480" w:lineRule="auto"/>
              <w:jc w:val="both"/>
              <w:rPr>
                <w:lang w:val="en-US"/>
              </w:rPr>
            </w:pPr>
            <w:r w:rsidRPr="00525CFB">
              <w:rPr>
                <w:lang w:val="en-US"/>
              </w:rPr>
              <w:t>CCAGGCAGCACGGATGTC</w:t>
            </w:r>
          </w:p>
        </w:tc>
        <w:tc>
          <w:tcPr>
            <w:tcW w:w="4279" w:type="dxa"/>
          </w:tcPr>
          <w:p w14:paraId="0908A087" w14:textId="77777777" w:rsidR="00CA6E81" w:rsidRPr="00525CFB" w:rsidRDefault="00CA6E81" w:rsidP="00737C5A">
            <w:pPr>
              <w:spacing w:line="480" w:lineRule="auto"/>
              <w:jc w:val="both"/>
              <w:rPr>
                <w:lang w:val="en-US"/>
              </w:rPr>
            </w:pPr>
            <w:r w:rsidRPr="00525CFB">
              <w:rPr>
                <w:lang w:val="en-US"/>
              </w:rPr>
              <w:t>GCCAGGGTTTTCCCAGTCA</w:t>
            </w:r>
          </w:p>
        </w:tc>
      </w:tr>
      <w:tr w:rsidR="00CA6E81" w:rsidRPr="00525CFB" w14:paraId="0FF91585" w14:textId="77777777" w:rsidTr="00737C5A">
        <w:trPr>
          <w:trHeight w:val="66"/>
        </w:trPr>
        <w:tc>
          <w:tcPr>
            <w:tcW w:w="1830" w:type="dxa"/>
          </w:tcPr>
          <w:p w14:paraId="2F091037" w14:textId="77777777" w:rsidR="00CA6E81" w:rsidRPr="00525CFB" w:rsidRDefault="00CA6E81" w:rsidP="00737C5A">
            <w:pPr>
              <w:spacing w:line="480" w:lineRule="auto"/>
              <w:jc w:val="both"/>
              <w:rPr>
                <w:i/>
                <w:lang w:val="en-US"/>
              </w:rPr>
            </w:pPr>
            <w:r w:rsidRPr="00525CFB">
              <w:rPr>
                <w:i/>
                <w:lang w:val="en-US"/>
              </w:rPr>
              <w:t>Npc2 wild-type</w:t>
            </w:r>
          </w:p>
        </w:tc>
        <w:tc>
          <w:tcPr>
            <w:tcW w:w="3951" w:type="dxa"/>
          </w:tcPr>
          <w:p w14:paraId="09BFE95C" w14:textId="77777777" w:rsidR="00CA6E81" w:rsidRPr="00525CFB" w:rsidRDefault="00CA6E81" w:rsidP="00737C5A">
            <w:pPr>
              <w:spacing w:line="480" w:lineRule="auto"/>
              <w:jc w:val="both"/>
              <w:rPr>
                <w:lang w:val="en-US"/>
              </w:rPr>
            </w:pPr>
            <w:r w:rsidRPr="00525CFB">
              <w:rPr>
                <w:lang w:val="en-US"/>
              </w:rPr>
              <w:t>TGTGGCTCAGTGGCTTAGG</w:t>
            </w:r>
          </w:p>
        </w:tc>
        <w:tc>
          <w:tcPr>
            <w:tcW w:w="4279" w:type="dxa"/>
          </w:tcPr>
          <w:p w14:paraId="22682250" w14:textId="77777777" w:rsidR="00CA6E81" w:rsidRPr="00525CFB" w:rsidRDefault="00CA6E81" w:rsidP="00737C5A">
            <w:pPr>
              <w:spacing w:line="480" w:lineRule="auto"/>
              <w:jc w:val="both"/>
              <w:rPr>
                <w:lang w:val="en-US"/>
              </w:rPr>
            </w:pPr>
            <w:r w:rsidRPr="00525CFB">
              <w:rPr>
                <w:lang w:val="en-US"/>
              </w:rPr>
              <w:t>CCAGGAAGGGATTTCACACA</w:t>
            </w:r>
          </w:p>
        </w:tc>
      </w:tr>
    </w:tbl>
    <w:p w14:paraId="3774E95C" w14:textId="36F2E9D6" w:rsidR="00341535" w:rsidRDefault="00341535" w:rsidP="007D6A13">
      <w:pPr>
        <w:spacing w:after="160" w:line="259" w:lineRule="auto"/>
        <w:rPr>
          <w:b/>
          <w:bCs/>
          <w:sz w:val="32"/>
          <w:szCs w:val="32"/>
          <w:lang w:val="en-US"/>
        </w:rPr>
      </w:pPr>
    </w:p>
    <w:sectPr w:rsidR="00341535" w:rsidSect="0086068A">
      <w:footerReference w:type="even" r:id="rId7"/>
      <w:footerReference w:type="default" r:id="rId8"/>
      <w:pgSz w:w="11906" w:h="16838"/>
      <w:pgMar w:top="1701" w:right="849" w:bottom="1701"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6C7FE9F" w16cex:dateUtc="2024-04-05T05:33:00Z"/>
  <w16cex:commentExtensible w16cex:durableId="42EE93FA" w16cex:dateUtc="2024-04-08T11:28:00Z"/>
  <w16cex:commentExtensible w16cex:durableId="633D3098" w16cex:dateUtc="2024-04-08T12:25:00Z"/>
  <w16cex:commentExtensible w16cex:durableId="0D715468" w16cex:dateUtc="2024-04-08T11:32:00Z"/>
  <w16cex:commentExtensible w16cex:durableId="474C6A0D" w16cex:dateUtc="2024-04-08T12: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367C2" w14:textId="77777777" w:rsidR="00DD3CDC" w:rsidRDefault="00DD3CDC" w:rsidP="009703D4">
      <w:r>
        <w:separator/>
      </w:r>
    </w:p>
  </w:endnote>
  <w:endnote w:type="continuationSeparator" w:id="0">
    <w:p w14:paraId="1EF99537" w14:textId="77777777" w:rsidR="00DD3CDC" w:rsidRDefault="00DD3CDC" w:rsidP="00970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ato-Regular">
    <w:altName w:val="MS Gothic"/>
    <w:panose1 w:val="00000000000000000000"/>
    <w:charset w:val="80"/>
    <w:family w:val="auto"/>
    <w:notTrueType/>
    <w:pitch w:val="default"/>
    <w:sig w:usb0="00000001" w:usb1="08070000" w:usb2="00000010" w:usb3="00000000" w:csb0="0002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
      </w:rPr>
      <w:id w:val="1139996490"/>
      <w:docPartObj>
        <w:docPartGallery w:val="Page Numbers (Bottom of Page)"/>
        <w:docPartUnique/>
      </w:docPartObj>
    </w:sdtPr>
    <w:sdtEndPr>
      <w:rPr>
        <w:rStyle w:val="Sidetal"/>
      </w:rPr>
    </w:sdtEndPr>
    <w:sdtContent>
      <w:p w14:paraId="23419D03" w14:textId="26AF8BB1" w:rsidR="00401015" w:rsidRDefault="00401015" w:rsidP="00501C8C">
        <w:pPr>
          <w:pStyle w:val="Sidefod"/>
          <w:framePr w:wrap="none" w:vAnchor="text" w:hAnchor="margin" w:xAlign="center" w:y="1"/>
          <w:rPr>
            <w:rStyle w:val="Sidetal"/>
          </w:rPr>
        </w:pPr>
        <w:r>
          <w:rPr>
            <w:rStyle w:val="Sidetal"/>
          </w:rPr>
          <w:fldChar w:fldCharType="begin"/>
        </w:r>
        <w:r>
          <w:rPr>
            <w:rStyle w:val="Sidetal"/>
          </w:rPr>
          <w:instrText xml:space="preserve"> PAGE </w:instrText>
        </w:r>
        <w:r>
          <w:rPr>
            <w:rStyle w:val="Sidetal"/>
          </w:rPr>
          <w:fldChar w:fldCharType="end"/>
        </w:r>
      </w:p>
    </w:sdtContent>
  </w:sdt>
  <w:p w14:paraId="7434A8EE" w14:textId="77777777" w:rsidR="00401015" w:rsidRDefault="0040101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
      </w:rPr>
      <w:id w:val="-83294718"/>
      <w:docPartObj>
        <w:docPartGallery w:val="Page Numbers (Bottom of Page)"/>
        <w:docPartUnique/>
      </w:docPartObj>
    </w:sdtPr>
    <w:sdtEndPr>
      <w:rPr>
        <w:rStyle w:val="Sidetal"/>
      </w:rPr>
    </w:sdtEndPr>
    <w:sdtContent>
      <w:p w14:paraId="2BECF082" w14:textId="33BFADD7" w:rsidR="00401015" w:rsidRDefault="00401015" w:rsidP="00501C8C">
        <w:pPr>
          <w:pStyle w:val="Sidefod"/>
          <w:framePr w:wrap="none" w:vAnchor="text" w:hAnchor="margin" w:xAlign="center"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10</w:t>
        </w:r>
        <w:r>
          <w:rPr>
            <w:rStyle w:val="Sidetal"/>
          </w:rPr>
          <w:fldChar w:fldCharType="end"/>
        </w:r>
      </w:p>
    </w:sdtContent>
  </w:sdt>
  <w:p w14:paraId="500005D7" w14:textId="77777777" w:rsidR="00401015" w:rsidRDefault="0040101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AE1B3" w14:textId="77777777" w:rsidR="00DD3CDC" w:rsidRDefault="00DD3CDC" w:rsidP="009703D4">
      <w:r>
        <w:separator/>
      </w:r>
    </w:p>
  </w:footnote>
  <w:footnote w:type="continuationSeparator" w:id="0">
    <w:p w14:paraId="5EACDBDA" w14:textId="77777777" w:rsidR="00DD3CDC" w:rsidRDefault="00DD3CDC" w:rsidP="009703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bordersDoNotSurroundHeader/>
  <w:bordersDoNotSurroundFooter/>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M3MDcxMTOxMDUxMTFV0lEKTi0uzszPAykwqgUAe3KWgCwAAAA="/>
  </w:docVars>
  <w:rsids>
    <w:rsidRoot w:val="00F11231"/>
    <w:rsid w:val="00025964"/>
    <w:rsid w:val="00045907"/>
    <w:rsid w:val="00060D36"/>
    <w:rsid w:val="000755D7"/>
    <w:rsid w:val="00077B5E"/>
    <w:rsid w:val="00087B51"/>
    <w:rsid w:val="0009290F"/>
    <w:rsid w:val="00092DD5"/>
    <w:rsid w:val="000A1585"/>
    <w:rsid w:val="000B43E1"/>
    <w:rsid w:val="000B4B2E"/>
    <w:rsid w:val="000B6F82"/>
    <w:rsid w:val="000E51FF"/>
    <w:rsid w:val="000E5ECB"/>
    <w:rsid w:val="000F534C"/>
    <w:rsid w:val="00112F2F"/>
    <w:rsid w:val="00144D51"/>
    <w:rsid w:val="00176ADA"/>
    <w:rsid w:val="001964D0"/>
    <w:rsid w:val="001C1E8F"/>
    <w:rsid w:val="0021260D"/>
    <w:rsid w:val="002376D3"/>
    <w:rsid w:val="00253C10"/>
    <w:rsid w:val="00254B0D"/>
    <w:rsid w:val="00263C36"/>
    <w:rsid w:val="002877B0"/>
    <w:rsid w:val="002A165A"/>
    <w:rsid w:val="002A212E"/>
    <w:rsid w:val="002A26C2"/>
    <w:rsid w:val="002C1B5B"/>
    <w:rsid w:val="002C6980"/>
    <w:rsid w:val="002D44E8"/>
    <w:rsid w:val="002E2E2C"/>
    <w:rsid w:val="002F2979"/>
    <w:rsid w:val="00312096"/>
    <w:rsid w:val="003217A7"/>
    <w:rsid w:val="00324B0F"/>
    <w:rsid w:val="003273FD"/>
    <w:rsid w:val="00341535"/>
    <w:rsid w:val="00367597"/>
    <w:rsid w:val="003B0899"/>
    <w:rsid w:val="003B2F2D"/>
    <w:rsid w:val="003D1DFC"/>
    <w:rsid w:val="003E2E3D"/>
    <w:rsid w:val="003E2F8D"/>
    <w:rsid w:val="003F1D8B"/>
    <w:rsid w:val="003F2E3E"/>
    <w:rsid w:val="00401015"/>
    <w:rsid w:val="00401B47"/>
    <w:rsid w:val="00431794"/>
    <w:rsid w:val="004518AA"/>
    <w:rsid w:val="00452C28"/>
    <w:rsid w:val="00454537"/>
    <w:rsid w:val="004556E6"/>
    <w:rsid w:val="0045635D"/>
    <w:rsid w:val="0046189F"/>
    <w:rsid w:val="00492E1E"/>
    <w:rsid w:val="004974B1"/>
    <w:rsid w:val="004B3999"/>
    <w:rsid w:val="004D0EF2"/>
    <w:rsid w:val="004E60EA"/>
    <w:rsid w:val="004F41D4"/>
    <w:rsid w:val="00501C8C"/>
    <w:rsid w:val="00517177"/>
    <w:rsid w:val="00522994"/>
    <w:rsid w:val="00533F64"/>
    <w:rsid w:val="0055352E"/>
    <w:rsid w:val="00557F5C"/>
    <w:rsid w:val="00562800"/>
    <w:rsid w:val="00570DC3"/>
    <w:rsid w:val="005A006C"/>
    <w:rsid w:val="005C6912"/>
    <w:rsid w:val="005D2330"/>
    <w:rsid w:val="005D4B4B"/>
    <w:rsid w:val="005D6DDC"/>
    <w:rsid w:val="005E44E5"/>
    <w:rsid w:val="005F422B"/>
    <w:rsid w:val="005F4E72"/>
    <w:rsid w:val="00600A8F"/>
    <w:rsid w:val="00603575"/>
    <w:rsid w:val="00610C61"/>
    <w:rsid w:val="00611E96"/>
    <w:rsid w:val="00626009"/>
    <w:rsid w:val="00653785"/>
    <w:rsid w:val="00660799"/>
    <w:rsid w:val="00673A14"/>
    <w:rsid w:val="00676F96"/>
    <w:rsid w:val="006946D7"/>
    <w:rsid w:val="006A006B"/>
    <w:rsid w:val="006C48D5"/>
    <w:rsid w:val="006D79F8"/>
    <w:rsid w:val="00732EA3"/>
    <w:rsid w:val="00775EBD"/>
    <w:rsid w:val="007B718E"/>
    <w:rsid w:val="007C35C1"/>
    <w:rsid w:val="007D6A13"/>
    <w:rsid w:val="007F7AF1"/>
    <w:rsid w:val="00822033"/>
    <w:rsid w:val="0086068A"/>
    <w:rsid w:val="0086650D"/>
    <w:rsid w:val="00883558"/>
    <w:rsid w:val="00884CF9"/>
    <w:rsid w:val="008A43C6"/>
    <w:rsid w:val="008A4750"/>
    <w:rsid w:val="008A630B"/>
    <w:rsid w:val="008A6E91"/>
    <w:rsid w:val="008B2639"/>
    <w:rsid w:val="008B69CE"/>
    <w:rsid w:val="008D2FC4"/>
    <w:rsid w:val="008E3E2F"/>
    <w:rsid w:val="008E494B"/>
    <w:rsid w:val="008E71EE"/>
    <w:rsid w:val="009149B0"/>
    <w:rsid w:val="0094010B"/>
    <w:rsid w:val="009411D6"/>
    <w:rsid w:val="00943CEE"/>
    <w:rsid w:val="00953AF7"/>
    <w:rsid w:val="009564DD"/>
    <w:rsid w:val="0096268A"/>
    <w:rsid w:val="009703D4"/>
    <w:rsid w:val="00971699"/>
    <w:rsid w:val="009720B6"/>
    <w:rsid w:val="00982E81"/>
    <w:rsid w:val="00985E46"/>
    <w:rsid w:val="009A0B55"/>
    <w:rsid w:val="009A349E"/>
    <w:rsid w:val="009A551A"/>
    <w:rsid w:val="009B3330"/>
    <w:rsid w:val="009C0F77"/>
    <w:rsid w:val="009D56EB"/>
    <w:rsid w:val="009D6FC3"/>
    <w:rsid w:val="00A01833"/>
    <w:rsid w:val="00A1389B"/>
    <w:rsid w:val="00A22752"/>
    <w:rsid w:val="00A24AC5"/>
    <w:rsid w:val="00A5561B"/>
    <w:rsid w:val="00A57CB0"/>
    <w:rsid w:val="00AA2FF1"/>
    <w:rsid w:val="00AD7396"/>
    <w:rsid w:val="00AE46C2"/>
    <w:rsid w:val="00B067BE"/>
    <w:rsid w:val="00B149DD"/>
    <w:rsid w:val="00B21239"/>
    <w:rsid w:val="00B63B22"/>
    <w:rsid w:val="00B73017"/>
    <w:rsid w:val="00B82A74"/>
    <w:rsid w:val="00B939A3"/>
    <w:rsid w:val="00BA1563"/>
    <w:rsid w:val="00BB6A16"/>
    <w:rsid w:val="00BC5300"/>
    <w:rsid w:val="00BD2AF2"/>
    <w:rsid w:val="00C16916"/>
    <w:rsid w:val="00C4265B"/>
    <w:rsid w:val="00C706FA"/>
    <w:rsid w:val="00C74FD0"/>
    <w:rsid w:val="00C76A53"/>
    <w:rsid w:val="00C91E7B"/>
    <w:rsid w:val="00C95D59"/>
    <w:rsid w:val="00CA0703"/>
    <w:rsid w:val="00CA6E81"/>
    <w:rsid w:val="00CC6074"/>
    <w:rsid w:val="00CF5E4D"/>
    <w:rsid w:val="00D05C2B"/>
    <w:rsid w:val="00D146BE"/>
    <w:rsid w:val="00D26627"/>
    <w:rsid w:val="00D32866"/>
    <w:rsid w:val="00D350CD"/>
    <w:rsid w:val="00D37DBC"/>
    <w:rsid w:val="00D47E3B"/>
    <w:rsid w:val="00D5268E"/>
    <w:rsid w:val="00D53320"/>
    <w:rsid w:val="00D65C5B"/>
    <w:rsid w:val="00D6757E"/>
    <w:rsid w:val="00D7126F"/>
    <w:rsid w:val="00D76EE3"/>
    <w:rsid w:val="00DC7098"/>
    <w:rsid w:val="00DD0DC2"/>
    <w:rsid w:val="00DD3CDC"/>
    <w:rsid w:val="00DE6764"/>
    <w:rsid w:val="00E07303"/>
    <w:rsid w:val="00E53022"/>
    <w:rsid w:val="00E5315C"/>
    <w:rsid w:val="00E53640"/>
    <w:rsid w:val="00E733E2"/>
    <w:rsid w:val="00E92E20"/>
    <w:rsid w:val="00EA0F83"/>
    <w:rsid w:val="00EC6A32"/>
    <w:rsid w:val="00ED071E"/>
    <w:rsid w:val="00F01B7A"/>
    <w:rsid w:val="00F06315"/>
    <w:rsid w:val="00F11231"/>
    <w:rsid w:val="00F23023"/>
    <w:rsid w:val="00F24514"/>
    <w:rsid w:val="00F34BB1"/>
    <w:rsid w:val="00F354B5"/>
    <w:rsid w:val="00F35798"/>
    <w:rsid w:val="00F5031E"/>
    <w:rsid w:val="00F510A0"/>
    <w:rsid w:val="00F6663A"/>
    <w:rsid w:val="00F702A1"/>
    <w:rsid w:val="00F80394"/>
    <w:rsid w:val="00F80D76"/>
    <w:rsid w:val="00F922E2"/>
    <w:rsid w:val="00FA40D7"/>
    <w:rsid w:val="00FB2DCB"/>
    <w:rsid w:val="00FB54BB"/>
    <w:rsid w:val="00FC33E2"/>
    <w:rsid w:val="00FC40EA"/>
    <w:rsid w:val="00FF0207"/>
    <w:rsid w:val="00FF0536"/>
    <w:rsid w:val="00FF5EE2"/>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8D435"/>
  <w15:chartTrackingRefBased/>
  <w15:docId w15:val="{976E6CC2-F0E3-4D44-9D5C-7A48BA800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231"/>
    <w:pPr>
      <w:spacing w:after="0" w:line="240" w:lineRule="auto"/>
    </w:pPr>
    <w:rPr>
      <w:rFonts w:ascii="Times New Roman" w:eastAsia="Times New Roman" w:hAnsi="Times New Roman" w:cs="Times New Roman"/>
      <w:sz w:val="24"/>
      <w:szCs w:val="24"/>
      <w:lang w:eastAsia="it-IT"/>
    </w:rPr>
  </w:style>
  <w:style w:type="paragraph" w:styleId="Overskrift1">
    <w:name w:val="heading 1"/>
    <w:basedOn w:val="Normal"/>
    <w:link w:val="Overskrift1Tegn"/>
    <w:uiPriority w:val="9"/>
    <w:qFormat/>
    <w:rsid w:val="00FF5EE2"/>
    <w:pPr>
      <w:widowControl w:val="0"/>
      <w:autoSpaceDE w:val="0"/>
      <w:autoSpaceDN w:val="0"/>
      <w:ind w:left="113"/>
      <w:outlineLvl w:val="0"/>
    </w:pPr>
    <w:rPr>
      <w:b/>
      <w:bCs/>
      <w:sz w:val="22"/>
      <w:szCs w:val="22"/>
      <w:lang w:val="en-US"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F11231"/>
    <w:pPr>
      <w:spacing w:before="100" w:beforeAutospacing="1" w:after="100" w:afterAutospacing="1"/>
    </w:pPr>
  </w:style>
  <w:style w:type="paragraph" w:styleId="Markeringsbobletekst">
    <w:name w:val="Balloon Text"/>
    <w:basedOn w:val="Normal"/>
    <w:link w:val="MarkeringsbobletekstTegn"/>
    <w:uiPriority w:val="99"/>
    <w:semiHidden/>
    <w:unhideWhenUsed/>
    <w:rsid w:val="00C74FD0"/>
    <w:rPr>
      <w:sz w:val="18"/>
      <w:szCs w:val="18"/>
    </w:rPr>
  </w:style>
  <w:style w:type="character" w:customStyle="1" w:styleId="MarkeringsbobletekstTegn">
    <w:name w:val="Markeringsbobletekst Tegn"/>
    <w:basedOn w:val="Standardskrifttypeiafsnit"/>
    <w:link w:val="Markeringsbobletekst"/>
    <w:uiPriority w:val="99"/>
    <w:semiHidden/>
    <w:rsid w:val="00C74FD0"/>
    <w:rPr>
      <w:rFonts w:ascii="Times New Roman" w:eastAsia="Times New Roman" w:hAnsi="Times New Roman" w:cs="Times New Roman"/>
      <w:sz w:val="18"/>
      <w:szCs w:val="18"/>
      <w:lang w:eastAsia="it-IT"/>
    </w:rPr>
  </w:style>
  <w:style w:type="character" w:styleId="Kommentarhenvisning">
    <w:name w:val="annotation reference"/>
    <w:basedOn w:val="Standardskrifttypeiafsnit"/>
    <w:uiPriority w:val="99"/>
    <w:semiHidden/>
    <w:unhideWhenUsed/>
    <w:rsid w:val="000E5ECB"/>
    <w:rPr>
      <w:sz w:val="16"/>
      <w:szCs w:val="16"/>
    </w:rPr>
  </w:style>
  <w:style w:type="paragraph" w:styleId="Kommentartekst">
    <w:name w:val="annotation text"/>
    <w:basedOn w:val="Normal"/>
    <w:link w:val="KommentartekstTegn"/>
    <w:uiPriority w:val="99"/>
    <w:unhideWhenUsed/>
    <w:rsid w:val="000E5ECB"/>
    <w:rPr>
      <w:sz w:val="20"/>
      <w:szCs w:val="20"/>
    </w:rPr>
  </w:style>
  <w:style w:type="character" w:customStyle="1" w:styleId="KommentartekstTegn">
    <w:name w:val="Kommentartekst Tegn"/>
    <w:basedOn w:val="Standardskrifttypeiafsnit"/>
    <w:link w:val="Kommentartekst"/>
    <w:uiPriority w:val="99"/>
    <w:rsid w:val="000E5ECB"/>
    <w:rPr>
      <w:rFonts w:ascii="Times New Roman" w:eastAsia="Times New Roman" w:hAnsi="Times New Roman" w:cs="Times New Roman"/>
      <w:sz w:val="20"/>
      <w:szCs w:val="20"/>
      <w:lang w:eastAsia="it-IT"/>
    </w:rPr>
  </w:style>
  <w:style w:type="paragraph" w:styleId="Kommentaremne">
    <w:name w:val="annotation subject"/>
    <w:basedOn w:val="Kommentartekst"/>
    <w:next w:val="Kommentartekst"/>
    <w:link w:val="KommentaremneTegn"/>
    <w:uiPriority w:val="99"/>
    <w:semiHidden/>
    <w:unhideWhenUsed/>
    <w:rsid w:val="000E5ECB"/>
    <w:rPr>
      <w:b/>
      <w:bCs/>
    </w:rPr>
  </w:style>
  <w:style w:type="character" w:customStyle="1" w:styleId="KommentaremneTegn">
    <w:name w:val="Kommentaremne Tegn"/>
    <w:basedOn w:val="KommentartekstTegn"/>
    <w:link w:val="Kommentaremne"/>
    <w:uiPriority w:val="99"/>
    <w:semiHidden/>
    <w:rsid w:val="000E5ECB"/>
    <w:rPr>
      <w:rFonts w:ascii="Times New Roman" w:eastAsia="Times New Roman" w:hAnsi="Times New Roman" w:cs="Times New Roman"/>
      <w:b/>
      <w:bCs/>
      <w:sz w:val="20"/>
      <w:szCs w:val="20"/>
      <w:lang w:eastAsia="it-IT"/>
    </w:rPr>
  </w:style>
  <w:style w:type="paragraph" w:styleId="Korrektur">
    <w:name w:val="Revision"/>
    <w:hidden/>
    <w:uiPriority w:val="99"/>
    <w:semiHidden/>
    <w:rsid w:val="000E5ECB"/>
    <w:pPr>
      <w:spacing w:after="0" w:line="240" w:lineRule="auto"/>
    </w:pPr>
    <w:rPr>
      <w:rFonts w:ascii="Times New Roman" w:eastAsia="Times New Roman" w:hAnsi="Times New Roman" w:cs="Times New Roman"/>
      <w:sz w:val="24"/>
      <w:szCs w:val="24"/>
      <w:lang w:eastAsia="it-IT"/>
    </w:rPr>
  </w:style>
  <w:style w:type="paragraph" w:styleId="Sidefod">
    <w:name w:val="footer"/>
    <w:basedOn w:val="Normal"/>
    <w:link w:val="SidefodTegn"/>
    <w:uiPriority w:val="99"/>
    <w:unhideWhenUsed/>
    <w:rsid w:val="009703D4"/>
    <w:pPr>
      <w:tabs>
        <w:tab w:val="center" w:pos="4819"/>
        <w:tab w:val="right" w:pos="9638"/>
      </w:tabs>
    </w:pPr>
  </w:style>
  <w:style w:type="character" w:customStyle="1" w:styleId="SidefodTegn">
    <w:name w:val="Sidefod Tegn"/>
    <w:basedOn w:val="Standardskrifttypeiafsnit"/>
    <w:link w:val="Sidefod"/>
    <w:uiPriority w:val="99"/>
    <w:rsid w:val="009703D4"/>
    <w:rPr>
      <w:rFonts w:ascii="Times New Roman" w:eastAsia="Times New Roman" w:hAnsi="Times New Roman" w:cs="Times New Roman"/>
      <w:sz w:val="24"/>
      <w:szCs w:val="24"/>
      <w:lang w:eastAsia="it-IT"/>
    </w:rPr>
  </w:style>
  <w:style w:type="character" w:styleId="Sidetal">
    <w:name w:val="page number"/>
    <w:basedOn w:val="Standardskrifttypeiafsnit"/>
    <w:uiPriority w:val="99"/>
    <w:semiHidden/>
    <w:unhideWhenUsed/>
    <w:rsid w:val="009703D4"/>
  </w:style>
  <w:style w:type="character" w:customStyle="1" w:styleId="normaltextrun">
    <w:name w:val="normaltextrun"/>
    <w:basedOn w:val="Standardskrifttypeiafsnit"/>
    <w:rsid w:val="00401015"/>
  </w:style>
  <w:style w:type="character" w:customStyle="1" w:styleId="spellingerror">
    <w:name w:val="spellingerror"/>
    <w:basedOn w:val="Standardskrifttypeiafsnit"/>
    <w:rsid w:val="00401015"/>
  </w:style>
  <w:style w:type="paragraph" w:customStyle="1" w:styleId="Default">
    <w:name w:val="Default"/>
    <w:rsid w:val="00401015"/>
    <w:pPr>
      <w:autoSpaceDE w:val="0"/>
      <w:autoSpaceDN w:val="0"/>
      <w:adjustRightInd w:val="0"/>
      <w:spacing w:after="0" w:line="240" w:lineRule="auto"/>
    </w:pPr>
    <w:rPr>
      <w:rFonts w:ascii="Times New Roman" w:eastAsiaTheme="minorHAnsi" w:hAnsi="Times New Roman" w:cs="Times New Roman"/>
      <w:color w:val="000000"/>
      <w:sz w:val="24"/>
      <w:szCs w:val="24"/>
      <w:lang w:val="da-DK"/>
    </w:rPr>
  </w:style>
  <w:style w:type="table" w:styleId="Tabel-Gitter">
    <w:name w:val="Table Grid"/>
    <w:basedOn w:val="Tabel-Normal"/>
    <w:uiPriority w:val="39"/>
    <w:rsid w:val="00401015"/>
    <w:pPr>
      <w:spacing w:after="0" w:line="240" w:lineRule="auto"/>
    </w:pPr>
    <w:rPr>
      <w:rFonts w:eastAsiaTheme="minorHAnsi"/>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link w:val="BrdtekstTegn"/>
    <w:uiPriority w:val="1"/>
    <w:qFormat/>
    <w:rsid w:val="00401015"/>
    <w:pPr>
      <w:widowControl w:val="0"/>
      <w:autoSpaceDE w:val="0"/>
      <w:autoSpaceDN w:val="0"/>
    </w:pPr>
    <w:rPr>
      <w:sz w:val="20"/>
      <w:szCs w:val="20"/>
      <w:lang w:val="en-US" w:eastAsia="en-US"/>
    </w:rPr>
  </w:style>
  <w:style w:type="character" w:customStyle="1" w:styleId="BrdtekstTegn">
    <w:name w:val="Brødtekst Tegn"/>
    <w:basedOn w:val="Standardskrifttypeiafsnit"/>
    <w:link w:val="Brdtekst"/>
    <w:uiPriority w:val="1"/>
    <w:rsid w:val="00401015"/>
    <w:rPr>
      <w:rFonts w:ascii="Times New Roman" w:eastAsia="Times New Roman" w:hAnsi="Times New Roman" w:cs="Times New Roman"/>
      <w:sz w:val="20"/>
      <w:szCs w:val="20"/>
      <w:lang w:val="en-US"/>
    </w:rPr>
  </w:style>
  <w:style w:type="table" w:customStyle="1" w:styleId="TableNormal">
    <w:name w:val="Table Normal"/>
    <w:uiPriority w:val="2"/>
    <w:semiHidden/>
    <w:unhideWhenUsed/>
    <w:qFormat/>
    <w:rsid w:val="00401015"/>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01015"/>
    <w:pPr>
      <w:widowControl w:val="0"/>
      <w:autoSpaceDE w:val="0"/>
      <w:autoSpaceDN w:val="0"/>
      <w:ind w:left="108"/>
    </w:pPr>
    <w:rPr>
      <w:sz w:val="22"/>
      <w:szCs w:val="22"/>
      <w:lang w:val="en-US" w:eastAsia="en-US"/>
    </w:rPr>
  </w:style>
  <w:style w:type="character" w:customStyle="1" w:styleId="Overskrift1Tegn">
    <w:name w:val="Overskrift 1 Tegn"/>
    <w:basedOn w:val="Standardskrifttypeiafsnit"/>
    <w:link w:val="Overskrift1"/>
    <w:uiPriority w:val="9"/>
    <w:rsid w:val="00FF5EE2"/>
    <w:rPr>
      <w:rFonts w:ascii="Times New Roman" w:eastAsia="Times New Roman" w:hAnsi="Times New Roman" w:cs="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3E85B-DF7E-447E-8944-072EBFEC2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9413</Words>
  <Characters>57423</Characters>
  <Application>Microsoft Office Word</Application>
  <DocSecurity>0</DocSecurity>
  <Lines>478</Lines>
  <Paragraphs>133</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Bigi</dc:creator>
  <cp:keywords/>
  <dc:description/>
  <cp:lastModifiedBy>Torben</cp:lastModifiedBy>
  <cp:revision>8</cp:revision>
  <cp:lastPrinted>2024-03-15T23:23:00Z</cp:lastPrinted>
  <dcterms:created xsi:type="dcterms:W3CDTF">2024-04-08T22:22:00Z</dcterms:created>
  <dcterms:modified xsi:type="dcterms:W3CDTF">2024-04-08T22:47:00Z</dcterms:modified>
</cp:coreProperties>
</file>