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B36B2B" w14:textId="77777777" w:rsidR="00516C65" w:rsidRDefault="00516C65" w:rsidP="00516C65">
      <w:pPr>
        <w:spacing w:line="360" w:lineRule="auto"/>
        <w:jc w:val="center"/>
        <w:rPr>
          <w:b/>
          <w:lang w:val="en-GB"/>
        </w:rPr>
      </w:pPr>
      <w:bookmarkStart w:id="0" w:name="OLE_LINK3"/>
      <w:bookmarkStart w:id="1" w:name="OLE_LINK4"/>
      <w:r>
        <w:rPr>
          <w:b/>
          <w:noProof/>
          <w:lang w:val="en-US" w:eastAsia="en-US"/>
        </w:rPr>
        <w:drawing>
          <wp:inline distT="0" distB="0" distL="0" distR="0" wp14:anchorId="6C5A85A2" wp14:editId="4BF65FA8">
            <wp:extent cx="4471035" cy="8893810"/>
            <wp:effectExtent l="0" t="0" r="0" b="0"/>
            <wp:docPr id="5" name="Picture 5" descr="A close-up of a black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 close-up of a black background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71035" cy="8893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22FAF5" w14:textId="77777777" w:rsidR="00516C65" w:rsidRDefault="00516C65" w:rsidP="00516C65">
      <w:pPr>
        <w:spacing w:line="360" w:lineRule="auto"/>
        <w:jc w:val="both"/>
        <w:rPr>
          <w:lang w:val="en-GB"/>
        </w:rPr>
      </w:pPr>
      <w:r w:rsidRPr="005445E9">
        <w:rPr>
          <w:b/>
          <w:lang w:val="en-GB"/>
        </w:rPr>
        <w:lastRenderedPageBreak/>
        <w:t xml:space="preserve">Supplementary Figure 1 </w:t>
      </w:r>
      <w:bookmarkStart w:id="2" w:name="OLE_LINK1"/>
      <w:bookmarkStart w:id="3" w:name="OLE_LINK2"/>
      <w:r w:rsidRPr="005445E9">
        <w:rPr>
          <w:color w:val="000000"/>
          <w:lang w:val="en-GB"/>
        </w:rPr>
        <w:t>|</w:t>
      </w:r>
      <w:bookmarkEnd w:id="2"/>
      <w:bookmarkEnd w:id="3"/>
      <w:r w:rsidRPr="005445E9">
        <w:rPr>
          <w:b/>
          <w:lang w:val="en-GB"/>
        </w:rPr>
        <w:t xml:space="preserve"> </w:t>
      </w:r>
      <w:bookmarkEnd w:id="0"/>
      <w:bookmarkEnd w:id="1"/>
      <w:r>
        <w:rPr>
          <w:lang w:val="en-GB"/>
        </w:rPr>
        <w:t>Simulated distributions</w:t>
      </w:r>
      <w:r w:rsidRPr="0013566E">
        <w:rPr>
          <w:lang w:val="en-GB"/>
        </w:rPr>
        <w:t xml:space="preserve"> of </w:t>
      </w:r>
      <w:r>
        <w:rPr>
          <w:lang w:val="en-GB"/>
        </w:rPr>
        <w:t xml:space="preserve">protein </w:t>
      </w:r>
      <w:r w:rsidRPr="0013566E">
        <w:rPr>
          <w:lang w:val="en-GB"/>
        </w:rPr>
        <w:t xml:space="preserve">molecules </w:t>
      </w:r>
      <w:r>
        <w:rPr>
          <w:lang w:val="en-GB"/>
        </w:rPr>
        <w:t>after subtraction of a membrane marker.</w:t>
      </w:r>
      <w:r>
        <w:rPr>
          <w:b/>
          <w:lang w:val="en-GB"/>
        </w:rPr>
        <w:t xml:space="preserve"> </w:t>
      </w:r>
      <w:r>
        <w:rPr>
          <w:lang w:val="en-GB"/>
        </w:rPr>
        <w:t xml:space="preserve">Simulated </w:t>
      </w:r>
      <w:r w:rsidRPr="00F746E4">
        <w:rPr>
          <w:lang w:val="en-GB"/>
        </w:rPr>
        <w:t xml:space="preserve">2048x2048 pixel </w:t>
      </w:r>
      <w:r>
        <w:rPr>
          <w:lang w:val="en-GB"/>
        </w:rPr>
        <w:t xml:space="preserve">datasets with a constant number of localizations of a protein marker (ClusA) split between the designated clustered (marked circles, covering 4% of the total area) and non-clustered areas (96%). The localization density difference (ratio) between the clustered and non-clustered areas was incrementally increased while keeping the total number of localizations constant. The clusters were randomly positioned within the borders and without any overlap. Note the ratio of 1 means that the image does not contain areas of deliberate localisation enrichment, only those arising randomly. The numbers are the ratios of the localization density between the clustered and non-clustered areas. The datasets are displayed after Gaussian filtering (sigma 20 pixels). Rand is a membrane molecule randomly distributed in a flat and smooth membrane. ClusB is a membrane marker partitioning at the same ratios to the cluster areas as the protein marker (ClusA). Smaller cluster-rich parts of the datasets (marked with squares) are shown in Figure 2. </w:t>
      </w:r>
    </w:p>
    <w:p w14:paraId="53025488" w14:textId="77777777" w:rsidR="00516C65" w:rsidRDefault="00516C65" w:rsidP="00516C65">
      <w:pPr>
        <w:rPr>
          <w:lang w:val="en-GB"/>
        </w:rPr>
      </w:pPr>
      <w:r>
        <w:rPr>
          <w:lang w:val="en-GB"/>
        </w:rPr>
        <w:br w:type="page"/>
      </w:r>
    </w:p>
    <w:p w14:paraId="1B71C2D8" w14:textId="77777777" w:rsidR="00516C65" w:rsidRDefault="00516C65" w:rsidP="00516C65">
      <w:pPr>
        <w:spacing w:line="360" w:lineRule="auto"/>
        <w:jc w:val="center"/>
        <w:rPr>
          <w:lang w:val="en-GB"/>
        </w:rPr>
      </w:pPr>
      <w:r>
        <w:rPr>
          <w:noProof/>
          <w:lang w:val="en-US" w:eastAsia="en-US"/>
        </w:rPr>
        <w:lastRenderedPageBreak/>
        <w:drawing>
          <wp:inline distT="0" distB="0" distL="0" distR="0" wp14:anchorId="220E06C5" wp14:editId="0F267342">
            <wp:extent cx="4018788" cy="3785616"/>
            <wp:effectExtent l="0" t="0" r="0" b="0"/>
            <wp:docPr id="2" name="Bildobjekt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ementary Figure 2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18788" cy="37856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4C9F59" w14:textId="77777777" w:rsidR="00516C65" w:rsidRPr="005445E9" w:rsidRDefault="00516C65" w:rsidP="00516C65">
      <w:pPr>
        <w:spacing w:line="360" w:lineRule="auto"/>
        <w:jc w:val="both"/>
        <w:rPr>
          <w:lang w:val="en-GB"/>
        </w:rPr>
      </w:pPr>
    </w:p>
    <w:p w14:paraId="748A1316" w14:textId="77777777" w:rsidR="00516C65" w:rsidRDefault="00516C65" w:rsidP="00516C65">
      <w:pPr>
        <w:spacing w:line="360" w:lineRule="auto"/>
        <w:jc w:val="both"/>
        <w:rPr>
          <w:lang w:val="en-GB"/>
        </w:rPr>
      </w:pPr>
      <w:r>
        <w:rPr>
          <w:b/>
          <w:lang w:val="en-GB"/>
        </w:rPr>
        <w:t xml:space="preserve">Supplementary </w:t>
      </w:r>
      <w:r w:rsidRPr="00A52950">
        <w:rPr>
          <w:b/>
          <w:lang w:val="en-GB"/>
        </w:rPr>
        <w:t xml:space="preserve">Figure </w:t>
      </w:r>
      <w:r>
        <w:rPr>
          <w:b/>
          <w:lang w:val="en-GB"/>
        </w:rPr>
        <w:t>2</w:t>
      </w:r>
      <w:r w:rsidRPr="00A52950">
        <w:rPr>
          <w:b/>
          <w:lang w:val="en-GB"/>
        </w:rPr>
        <w:t xml:space="preserve"> </w:t>
      </w:r>
      <w:r w:rsidRPr="00A52950">
        <w:rPr>
          <w:color w:val="000000"/>
          <w:lang w:val="en-GB"/>
        </w:rPr>
        <w:t>|</w:t>
      </w:r>
      <w:r w:rsidRPr="00A52950">
        <w:rPr>
          <w:b/>
          <w:lang w:val="en-GB"/>
        </w:rPr>
        <w:t xml:space="preserve"> </w:t>
      </w:r>
      <w:r>
        <w:rPr>
          <w:lang w:val="en-GB"/>
        </w:rPr>
        <w:t>PC-PALM analysis identifies DiI-C12, CD59 and the TfR as genuinely clustered</w:t>
      </w:r>
      <w:r w:rsidRPr="00A52950">
        <w:rPr>
          <w:lang w:val="en-GB"/>
        </w:rPr>
        <w:t>.</w:t>
      </w:r>
      <w:r>
        <w:rPr>
          <w:lang w:val="en-GB"/>
        </w:rPr>
        <w:t xml:space="preserve"> </w:t>
      </w:r>
      <w:r w:rsidRPr="00AE34C4">
        <w:rPr>
          <w:lang w:val="en-GB"/>
        </w:rPr>
        <w:t>PC-PALM</w:t>
      </w:r>
      <w:r w:rsidRPr="00A52950">
        <w:rPr>
          <w:lang w:val="en-GB"/>
        </w:rPr>
        <w:t xml:space="preserve"> </w:t>
      </w:r>
      <w:r>
        <w:rPr>
          <w:lang w:val="en-GB"/>
        </w:rPr>
        <w:t>analysis, designed to eliminate the clustering contribution of repeated detections of the same fluorophores, was applied to the live cell SMLM-data displayed in Figure 3.</w:t>
      </w:r>
      <w:r w:rsidRPr="00B405A9">
        <w:rPr>
          <w:lang w:val="en-GB"/>
        </w:rPr>
        <w:t xml:space="preserve"> 10 out of 25 snapshots from the entire dataset are displayed.</w:t>
      </w:r>
      <w:r>
        <w:rPr>
          <w:lang w:val="en-GB"/>
        </w:rPr>
        <w:t xml:space="preserve"> For the TfR-DiI combination, nine out of the ten datasets form a straight line at the value of one.</w:t>
      </w:r>
    </w:p>
    <w:p w14:paraId="700B39A3" w14:textId="77777777" w:rsidR="00516C65" w:rsidRDefault="00516C65" w:rsidP="00516C65">
      <w:pPr>
        <w:spacing w:line="360" w:lineRule="auto"/>
        <w:jc w:val="both"/>
        <w:rPr>
          <w:lang w:val="en-GB"/>
        </w:rPr>
      </w:pPr>
    </w:p>
    <w:p w14:paraId="79AF0BC9" w14:textId="77777777" w:rsidR="00516C65" w:rsidRDefault="00516C65" w:rsidP="00516C65">
      <w:pPr>
        <w:rPr>
          <w:b/>
          <w:lang w:val="en-GB"/>
        </w:rPr>
      </w:pPr>
      <w:r>
        <w:rPr>
          <w:b/>
          <w:lang w:val="en-GB"/>
        </w:rPr>
        <w:br w:type="page"/>
      </w:r>
    </w:p>
    <w:p w14:paraId="4B641BAD" w14:textId="77777777" w:rsidR="00516C65" w:rsidRDefault="00516C65" w:rsidP="00516C65">
      <w:pPr>
        <w:spacing w:line="360" w:lineRule="auto"/>
        <w:jc w:val="center"/>
        <w:rPr>
          <w:b/>
          <w:lang w:val="en-GB"/>
        </w:rPr>
      </w:pPr>
      <w:r>
        <w:rPr>
          <w:b/>
          <w:noProof/>
          <w:lang w:val="en-US" w:eastAsia="en-US"/>
        </w:rPr>
        <w:lastRenderedPageBreak/>
        <w:drawing>
          <wp:inline distT="0" distB="0" distL="0" distR="0" wp14:anchorId="51206D96" wp14:editId="086CAB5A">
            <wp:extent cx="5756910" cy="7995920"/>
            <wp:effectExtent l="0" t="0" r="8890" b="508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ementary Figure 3 pink &amp; abc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7995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8686D9" w14:textId="77777777" w:rsidR="00516C65" w:rsidRDefault="00516C65" w:rsidP="00516C65">
      <w:pPr>
        <w:spacing w:line="360" w:lineRule="auto"/>
        <w:jc w:val="both"/>
        <w:rPr>
          <w:lang w:val="en-GB"/>
        </w:rPr>
      </w:pPr>
      <w:r>
        <w:rPr>
          <w:b/>
          <w:lang w:val="en-GB"/>
        </w:rPr>
        <w:lastRenderedPageBreak/>
        <w:t xml:space="preserve">Supplementary </w:t>
      </w:r>
      <w:r w:rsidRPr="00CC1452">
        <w:rPr>
          <w:b/>
          <w:lang w:val="en-GB"/>
        </w:rPr>
        <w:t xml:space="preserve">Figure </w:t>
      </w:r>
      <w:r>
        <w:rPr>
          <w:b/>
          <w:lang w:val="en-GB"/>
        </w:rPr>
        <w:t>3</w:t>
      </w:r>
      <w:r w:rsidRPr="00CC1452">
        <w:rPr>
          <w:b/>
          <w:lang w:val="en-GB"/>
        </w:rPr>
        <w:t xml:space="preserve"> </w:t>
      </w:r>
      <w:r w:rsidRPr="00CC1452">
        <w:rPr>
          <w:color w:val="000000"/>
          <w:lang w:val="en-GB"/>
        </w:rPr>
        <w:t>|</w:t>
      </w:r>
      <w:r w:rsidRPr="00CC1452">
        <w:rPr>
          <w:b/>
          <w:lang w:val="en-GB"/>
        </w:rPr>
        <w:t xml:space="preserve"> </w:t>
      </w:r>
      <w:r w:rsidRPr="00CC1452">
        <w:rPr>
          <w:lang w:val="en-GB"/>
        </w:rPr>
        <w:t>Live cell dual colour SMLM with a protein (CD59 or TfR) and the membrane probe DiI to identify clusters caused by membrane topography</w:t>
      </w:r>
      <w:r>
        <w:rPr>
          <w:lang w:val="en-GB"/>
        </w:rPr>
        <w:t xml:space="preserve"> variations</w:t>
      </w:r>
      <w:r w:rsidRPr="00CC1452">
        <w:rPr>
          <w:lang w:val="en-GB"/>
        </w:rPr>
        <w:t xml:space="preserve">. </w:t>
      </w:r>
      <w:r>
        <w:rPr>
          <w:lang w:val="en-GB"/>
        </w:rPr>
        <w:t>(</w:t>
      </w:r>
      <w:r w:rsidRPr="00522892">
        <w:rPr>
          <w:b/>
          <w:bCs/>
          <w:lang w:val="en-GB"/>
        </w:rPr>
        <w:t>a</w:t>
      </w:r>
      <w:r>
        <w:rPr>
          <w:lang w:val="en-GB"/>
        </w:rPr>
        <w:t xml:space="preserve">) Four </w:t>
      </w:r>
      <w:r w:rsidRPr="00CC1452">
        <w:rPr>
          <w:lang w:val="en-GB"/>
        </w:rPr>
        <w:t xml:space="preserve">2.5x2.5 </w:t>
      </w:r>
      <w:r w:rsidRPr="00CC1452">
        <w:rPr>
          <w:rFonts w:ascii="Symbol" w:hAnsi="Symbol"/>
        </w:rPr>
        <w:t></w:t>
      </w:r>
      <w:r w:rsidRPr="00CC1452">
        <w:rPr>
          <w:lang w:val="en-GB"/>
        </w:rPr>
        <w:t xml:space="preserve">m SMLM 7s snapshots </w:t>
      </w:r>
      <w:r>
        <w:rPr>
          <w:lang w:val="en-GB"/>
        </w:rPr>
        <w:t>of different cells stained with</w:t>
      </w:r>
      <w:r w:rsidRPr="00CC1452">
        <w:rPr>
          <w:lang w:val="en-GB"/>
        </w:rPr>
        <w:t xml:space="preserve"> DiI and CD59 or the TfR </w:t>
      </w:r>
      <w:r>
        <w:rPr>
          <w:lang w:val="en-GB"/>
        </w:rPr>
        <w:t>visualised</w:t>
      </w:r>
      <w:r w:rsidRPr="00CC1452">
        <w:rPr>
          <w:lang w:val="en-GB"/>
        </w:rPr>
        <w:t xml:space="preserve"> with Alexa Fluor-647 conjugated antibodies. </w:t>
      </w:r>
      <w:r>
        <w:rPr>
          <w:lang w:val="en-GB"/>
        </w:rPr>
        <w:t>(</w:t>
      </w:r>
      <w:r w:rsidRPr="00522892">
        <w:rPr>
          <w:b/>
          <w:bCs/>
          <w:lang w:val="en-GB"/>
        </w:rPr>
        <w:t>b</w:t>
      </w:r>
      <w:r>
        <w:rPr>
          <w:lang w:val="en-GB"/>
        </w:rPr>
        <w:t xml:space="preserve">) </w:t>
      </w:r>
      <w:r w:rsidRPr="00217F62">
        <w:rPr>
          <w:lang w:val="en-GB"/>
        </w:rPr>
        <w:t>Gaussian filter (sigma 8 nm) versions of the snapshots.</w:t>
      </w:r>
      <w:r>
        <w:rPr>
          <w:sz w:val="20"/>
          <w:szCs w:val="20"/>
          <w:lang w:val="en-GB"/>
        </w:rPr>
        <w:t xml:space="preserve"> </w:t>
      </w:r>
      <w:r w:rsidRPr="00CC1452">
        <w:rPr>
          <w:lang w:val="en-GB"/>
        </w:rPr>
        <w:t xml:space="preserve">All </w:t>
      </w:r>
      <w:r>
        <w:rPr>
          <w:lang w:val="en-GB"/>
        </w:rPr>
        <w:t>eight</w:t>
      </w:r>
      <w:r w:rsidRPr="00CC1452">
        <w:rPr>
          <w:lang w:val="en-GB"/>
        </w:rPr>
        <w:t xml:space="preserve"> images were normalised to the same mean intensity</w:t>
      </w:r>
      <w:r w:rsidRPr="00CC1452" w:rsidDel="008F548B">
        <w:rPr>
          <w:lang w:val="en-GB"/>
        </w:rPr>
        <w:t xml:space="preserve"> </w:t>
      </w:r>
      <w:r w:rsidRPr="00CC1452">
        <w:rPr>
          <w:lang w:val="en-GB"/>
        </w:rPr>
        <w:t>and the DiI image</w:t>
      </w:r>
      <w:r>
        <w:rPr>
          <w:lang w:val="en-GB"/>
        </w:rPr>
        <w:t>s</w:t>
      </w:r>
      <w:r w:rsidRPr="00CC1452">
        <w:rPr>
          <w:lang w:val="en-GB"/>
        </w:rPr>
        <w:t xml:space="preserve"> subtracted from those of the proteins. The two </w:t>
      </w:r>
      <w:r>
        <w:rPr>
          <w:lang w:val="en-GB"/>
        </w:rPr>
        <w:t>d</w:t>
      </w:r>
      <w:r w:rsidRPr="00CC1452">
        <w:rPr>
          <w:lang w:val="en-GB"/>
        </w:rPr>
        <w:t>ifference images use the same intensity range without any contrast alteration and the intensity scale is symmetrical around 0 with intensities below 0 shown with a gr</w:t>
      </w:r>
      <w:r>
        <w:rPr>
          <w:lang w:val="en-GB"/>
        </w:rPr>
        <w:t>e</w:t>
      </w:r>
      <w:r w:rsidRPr="00CC1452">
        <w:rPr>
          <w:lang w:val="en-GB"/>
        </w:rPr>
        <w:t xml:space="preserve">yscale. </w:t>
      </w:r>
      <w:r>
        <w:rPr>
          <w:lang w:val="en-GB"/>
        </w:rPr>
        <w:t>(</w:t>
      </w:r>
      <w:r w:rsidRPr="00522892">
        <w:rPr>
          <w:b/>
          <w:bCs/>
          <w:lang w:val="en-GB"/>
        </w:rPr>
        <w:t>c</w:t>
      </w:r>
      <w:r>
        <w:rPr>
          <w:lang w:val="en-GB"/>
        </w:rPr>
        <w:t xml:space="preserve">) </w:t>
      </w:r>
      <w:r w:rsidRPr="00CC1452">
        <w:rPr>
          <w:lang w:val="en-GB"/>
        </w:rPr>
        <w:t xml:space="preserve">Nearest neighbour analysis and pair correlation analysis of the protein molecule to itself, to DiI and DiI-DiI. The NN analysis is from the entire dataset. For PC analysis the </w:t>
      </w:r>
      <w:r>
        <w:rPr>
          <w:lang w:val="en-GB"/>
        </w:rPr>
        <w:t xml:space="preserve">representative </w:t>
      </w:r>
      <w:r w:rsidRPr="00CC1452">
        <w:rPr>
          <w:lang w:val="en-GB"/>
        </w:rPr>
        <w:t>results from 10 out of 25 snapshots from the entire dataset are displayed. Note that five of the six PC graphs use the same y-axis range but the TfR prot-prot</w:t>
      </w:r>
      <w:r>
        <w:rPr>
          <w:lang w:val="en-GB"/>
        </w:rPr>
        <w:t xml:space="preserve"> graph</w:t>
      </w:r>
      <w:r w:rsidRPr="00CC1452">
        <w:rPr>
          <w:lang w:val="en-GB"/>
        </w:rPr>
        <w:t xml:space="preserve"> uses a much wider range.</w:t>
      </w:r>
    </w:p>
    <w:p w14:paraId="75F02C37" w14:textId="77777777" w:rsidR="00516C65" w:rsidRDefault="00516C65" w:rsidP="00516C65">
      <w:pPr>
        <w:rPr>
          <w:lang w:val="en-GB"/>
        </w:rPr>
      </w:pPr>
      <w:r>
        <w:rPr>
          <w:lang w:val="en-GB"/>
        </w:rPr>
        <w:br w:type="page"/>
      </w:r>
    </w:p>
    <w:p w14:paraId="19DD1DB6" w14:textId="77777777" w:rsidR="00516C65" w:rsidRDefault="00516C65" w:rsidP="00516C65">
      <w:pPr>
        <w:spacing w:line="360" w:lineRule="auto"/>
        <w:jc w:val="center"/>
        <w:rPr>
          <w:lang w:val="en-GB"/>
        </w:rPr>
      </w:pPr>
      <w:r>
        <w:rPr>
          <w:noProof/>
          <w:lang w:val="en-US" w:eastAsia="en-US"/>
        </w:rPr>
        <w:lastRenderedPageBreak/>
        <w:drawing>
          <wp:inline distT="0" distB="0" distL="0" distR="0" wp14:anchorId="2E15E7DE" wp14:editId="5EB95E8A">
            <wp:extent cx="5756910" cy="5288915"/>
            <wp:effectExtent l="0" t="0" r="889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Fig 4 pink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5288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C99FF7" w14:textId="77777777" w:rsidR="00516C65" w:rsidRPr="00A52950" w:rsidRDefault="00516C65" w:rsidP="00516C65">
      <w:pPr>
        <w:spacing w:line="360" w:lineRule="auto"/>
        <w:jc w:val="both"/>
        <w:rPr>
          <w:lang w:val="en-GB"/>
        </w:rPr>
      </w:pPr>
    </w:p>
    <w:p w14:paraId="1C0AA033" w14:textId="77777777" w:rsidR="00516C65" w:rsidRDefault="00516C65" w:rsidP="00516C65">
      <w:pPr>
        <w:spacing w:line="360" w:lineRule="auto"/>
        <w:jc w:val="both"/>
        <w:rPr>
          <w:lang w:val="en-GB"/>
        </w:rPr>
      </w:pPr>
      <w:r>
        <w:rPr>
          <w:b/>
          <w:lang w:val="en-GB"/>
        </w:rPr>
        <w:t xml:space="preserve">Supplementary </w:t>
      </w:r>
      <w:r w:rsidRPr="00CC1452">
        <w:rPr>
          <w:b/>
          <w:lang w:val="en-GB"/>
        </w:rPr>
        <w:t xml:space="preserve">Figure </w:t>
      </w:r>
      <w:r>
        <w:rPr>
          <w:b/>
          <w:lang w:val="en-GB"/>
        </w:rPr>
        <w:t>4</w:t>
      </w:r>
      <w:r w:rsidRPr="00CC1452">
        <w:rPr>
          <w:b/>
          <w:lang w:val="en-GB"/>
        </w:rPr>
        <w:t xml:space="preserve"> </w:t>
      </w:r>
      <w:r w:rsidRPr="00CC1452">
        <w:rPr>
          <w:color w:val="000000"/>
          <w:lang w:val="en-GB"/>
        </w:rPr>
        <w:t>|</w:t>
      </w:r>
      <w:r w:rsidRPr="00CC1452">
        <w:rPr>
          <w:b/>
          <w:lang w:val="en-GB"/>
        </w:rPr>
        <w:t xml:space="preserve"> </w:t>
      </w:r>
      <w:r>
        <w:rPr>
          <w:lang w:val="en-GB"/>
        </w:rPr>
        <w:t>The effect of image smoothing on cluster identification. 2.5</w:t>
      </w:r>
      <w:r w:rsidRPr="00CC1452">
        <w:rPr>
          <w:lang w:val="en-GB"/>
        </w:rPr>
        <w:t>x</w:t>
      </w:r>
      <w:r>
        <w:rPr>
          <w:lang w:val="en-GB"/>
        </w:rPr>
        <w:t>2.5</w:t>
      </w:r>
      <w:r w:rsidRPr="00CC1452">
        <w:rPr>
          <w:lang w:val="en-GB"/>
        </w:rPr>
        <w:t xml:space="preserve"> </w:t>
      </w:r>
      <w:r w:rsidRPr="00CC1452">
        <w:rPr>
          <w:rFonts w:ascii="Symbol" w:hAnsi="Symbol"/>
        </w:rPr>
        <w:t></w:t>
      </w:r>
      <w:r w:rsidRPr="00CC1452">
        <w:rPr>
          <w:lang w:val="en-GB"/>
        </w:rPr>
        <w:t>m SMLM 7s snapshots of (</w:t>
      </w:r>
      <w:r w:rsidRPr="00CC1452">
        <w:rPr>
          <w:b/>
          <w:lang w:val="en-GB"/>
        </w:rPr>
        <w:t>a</w:t>
      </w:r>
      <w:r w:rsidRPr="00CC1452">
        <w:rPr>
          <w:lang w:val="en-GB"/>
        </w:rPr>
        <w:t xml:space="preserve">) DiI and </w:t>
      </w:r>
      <w:r>
        <w:rPr>
          <w:lang w:val="en-GB"/>
        </w:rPr>
        <w:t>TfR</w:t>
      </w:r>
      <w:r w:rsidRPr="00CC1452">
        <w:rPr>
          <w:lang w:val="en-GB"/>
        </w:rPr>
        <w:t xml:space="preserve"> </w:t>
      </w:r>
      <w:r>
        <w:rPr>
          <w:lang w:val="en-GB"/>
        </w:rPr>
        <w:t>and (</w:t>
      </w:r>
      <w:r w:rsidRPr="003F7419">
        <w:rPr>
          <w:b/>
          <w:bCs/>
          <w:lang w:val="en-GB"/>
        </w:rPr>
        <w:t>b</w:t>
      </w:r>
      <w:r>
        <w:rPr>
          <w:lang w:val="en-GB"/>
        </w:rPr>
        <w:t>) CD59 and DiI</w:t>
      </w:r>
      <w:r w:rsidRPr="00CC1452">
        <w:rPr>
          <w:lang w:val="en-GB"/>
        </w:rPr>
        <w:t xml:space="preserve"> the TfR </w:t>
      </w:r>
      <w:r>
        <w:rPr>
          <w:lang w:val="en-GB"/>
        </w:rPr>
        <w:t>(the same images as in Figure 3). T</w:t>
      </w:r>
      <w:r w:rsidRPr="00CC1452">
        <w:rPr>
          <w:lang w:val="en-GB"/>
        </w:rPr>
        <w:t>he proteins</w:t>
      </w:r>
      <w:r>
        <w:rPr>
          <w:lang w:val="en-GB"/>
        </w:rPr>
        <w:t xml:space="preserve"> were</w:t>
      </w:r>
      <w:r w:rsidRPr="00CC1452">
        <w:rPr>
          <w:lang w:val="en-GB"/>
        </w:rPr>
        <w:t xml:space="preserve"> </w:t>
      </w:r>
      <w:r>
        <w:rPr>
          <w:lang w:val="en-GB"/>
        </w:rPr>
        <w:t>labelled</w:t>
      </w:r>
      <w:r w:rsidRPr="00CC1452">
        <w:rPr>
          <w:lang w:val="en-GB"/>
        </w:rPr>
        <w:t xml:space="preserve"> with Alexa Fluor-647 conjugated antibodies</w:t>
      </w:r>
      <w:r>
        <w:rPr>
          <w:lang w:val="en-GB"/>
        </w:rPr>
        <w:t xml:space="preserve"> and the membrane was identified using DiI-C12. The four images were normalised to the same mean intensity and subjected to smoothing with a Gaussian filter with different sigma (4, 8, 12, 16 and 20 pixels). The two protein and two membrane images are</w:t>
      </w:r>
      <w:r w:rsidRPr="00CC1452">
        <w:rPr>
          <w:lang w:val="en-GB"/>
        </w:rPr>
        <w:t xml:space="preserve"> </w:t>
      </w:r>
      <w:r>
        <w:rPr>
          <w:lang w:val="en-GB"/>
        </w:rPr>
        <w:t>displayed in greyscale with the same intensity range. T</w:t>
      </w:r>
      <w:r w:rsidRPr="00CC1452">
        <w:rPr>
          <w:lang w:val="en-GB"/>
        </w:rPr>
        <w:t>he</w:t>
      </w:r>
      <w:r>
        <w:rPr>
          <w:lang w:val="en-GB"/>
        </w:rPr>
        <w:t xml:space="preserve"> centre two images in each row show the result of subtracting the respective</w:t>
      </w:r>
      <w:r w:rsidRPr="00CC1452">
        <w:rPr>
          <w:lang w:val="en-GB"/>
        </w:rPr>
        <w:t xml:space="preserve"> DiI image </w:t>
      </w:r>
      <w:r>
        <w:rPr>
          <w:lang w:val="en-GB"/>
        </w:rPr>
        <w:t>from that</w:t>
      </w:r>
      <w:r w:rsidRPr="00CC1452">
        <w:rPr>
          <w:lang w:val="en-GB"/>
        </w:rPr>
        <w:t xml:space="preserve"> of the</w:t>
      </w:r>
      <w:r>
        <w:rPr>
          <w:lang w:val="en-GB"/>
        </w:rPr>
        <w:t xml:space="preserve"> relevant protein</w:t>
      </w:r>
      <w:r w:rsidRPr="00CC1452">
        <w:rPr>
          <w:lang w:val="en-GB"/>
        </w:rPr>
        <w:t>. The</w:t>
      </w:r>
      <w:r>
        <w:rPr>
          <w:lang w:val="en-GB"/>
        </w:rPr>
        <w:t xml:space="preserve"> difference images </w:t>
      </w:r>
      <w:r w:rsidRPr="00CC1452">
        <w:rPr>
          <w:lang w:val="en-GB"/>
        </w:rPr>
        <w:t xml:space="preserve">use the same intensity range without any contrast alteration and the intensity scale is symmetrical around </w:t>
      </w:r>
      <w:r>
        <w:rPr>
          <w:lang w:val="en-GB"/>
        </w:rPr>
        <w:t>zero</w:t>
      </w:r>
      <w:r w:rsidRPr="00CC1452">
        <w:rPr>
          <w:lang w:val="en-GB"/>
        </w:rPr>
        <w:t xml:space="preserve"> with </w:t>
      </w:r>
      <w:r>
        <w:rPr>
          <w:lang w:val="en-GB"/>
        </w:rPr>
        <w:t xml:space="preserve">negative intensities </w:t>
      </w:r>
      <w:r w:rsidRPr="00CC1452">
        <w:rPr>
          <w:lang w:val="en-GB"/>
        </w:rPr>
        <w:t>shown with a greyscale.</w:t>
      </w:r>
    </w:p>
    <w:p w14:paraId="5EB0735B" w14:textId="77777777" w:rsidR="00516C65" w:rsidRDefault="00516C65" w:rsidP="00516C65">
      <w:pPr>
        <w:rPr>
          <w:b/>
          <w:lang w:val="en-GB"/>
        </w:rPr>
      </w:pPr>
      <w:r>
        <w:rPr>
          <w:b/>
          <w:lang w:val="en-GB"/>
        </w:rPr>
        <w:lastRenderedPageBreak/>
        <w:br w:type="page"/>
      </w:r>
    </w:p>
    <w:p w14:paraId="3246580E" w14:textId="77777777" w:rsidR="00516C65" w:rsidRDefault="00516C65" w:rsidP="00516C65">
      <w:pPr>
        <w:spacing w:line="360" w:lineRule="auto"/>
        <w:jc w:val="both"/>
        <w:rPr>
          <w:b/>
          <w:lang w:val="en-GB"/>
        </w:rPr>
      </w:pPr>
      <w:r>
        <w:rPr>
          <w:b/>
          <w:noProof/>
          <w:lang w:val="en-US" w:eastAsia="en-US"/>
        </w:rPr>
        <w:lastRenderedPageBreak/>
        <w:drawing>
          <wp:inline distT="0" distB="0" distL="0" distR="0" wp14:anchorId="052C07F1" wp14:editId="05396180">
            <wp:extent cx="5756910" cy="7503795"/>
            <wp:effectExtent l="0" t="0" r="889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ementary Figure 5 flat.tif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7503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ACDD70" w14:textId="77777777" w:rsidR="00516C65" w:rsidRDefault="00516C65" w:rsidP="00516C65">
      <w:pPr>
        <w:spacing w:line="360" w:lineRule="auto"/>
        <w:jc w:val="both"/>
        <w:rPr>
          <w:b/>
          <w:lang w:val="en-GB"/>
        </w:rPr>
      </w:pPr>
    </w:p>
    <w:p w14:paraId="35B7EF0D" w14:textId="77777777" w:rsidR="00516C65" w:rsidRPr="007E3A46" w:rsidRDefault="00516C65" w:rsidP="00516C65">
      <w:pPr>
        <w:spacing w:line="360" w:lineRule="auto"/>
        <w:jc w:val="both"/>
        <w:rPr>
          <w:lang w:val="en-GB"/>
        </w:rPr>
      </w:pPr>
      <w:r>
        <w:rPr>
          <w:b/>
          <w:lang w:val="en-GB"/>
        </w:rPr>
        <w:lastRenderedPageBreak/>
        <w:t xml:space="preserve">Supplementary </w:t>
      </w:r>
      <w:r w:rsidRPr="00CC1452">
        <w:rPr>
          <w:b/>
          <w:lang w:val="en-GB"/>
        </w:rPr>
        <w:t xml:space="preserve">Figure </w:t>
      </w:r>
      <w:r>
        <w:rPr>
          <w:b/>
          <w:lang w:val="en-GB"/>
        </w:rPr>
        <w:t>5</w:t>
      </w:r>
      <w:r w:rsidRPr="00CC1452">
        <w:rPr>
          <w:b/>
          <w:lang w:val="en-GB"/>
        </w:rPr>
        <w:t xml:space="preserve"> </w:t>
      </w:r>
      <w:r w:rsidRPr="00CC1452">
        <w:rPr>
          <w:color w:val="000000"/>
          <w:lang w:val="en-GB"/>
        </w:rPr>
        <w:t>|</w:t>
      </w:r>
      <w:r w:rsidRPr="00CC1452">
        <w:rPr>
          <w:b/>
          <w:lang w:val="en-GB"/>
        </w:rPr>
        <w:t xml:space="preserve"> </w:t>
      </w:r>
      <w:r>
        <w:rPr>
          <w:lang w:val="en-GB"/>
        </w:rPr>
        <w:t xml:space="preserve">The localisation precision for DiI-C12, CD59 and the TfR in live cell SMLM. </w:t>
      </w:r>
      <w:r w:rsidRPr="00CC1452">
        <w:rPr>
          <w:lang w:val="en-GB"/>
        </w:rPr>
        <w:t>(</w:t>
      </w:r>
      <w:r w:rsidRPr="00CC1452">
        <w:rPr>
          <w:b/>
          <w:lang w:val="en-GB"/>
        </w:rPr>
        <w:t>a</w:t>
      </w:r>
      <w:r w:rsidRPr="00CC1452">
        <w:rPr>
          <w:lang w:val="en-GB"/>
        </w:rPr>
        <w:t xml:space="preserve">) </w:t>
      </w:r>
      <w:r>
        <w:rPr>
          <w:lang w:val="en-GB"/>
        </w:rPr>
        <w:t>Sigma for the localisation precision for the DiI/TfR</w:t>
      </w:r>
      <w:r w:rsidRPr="00CC1452">
        <w:rPr>
          <w:lang w:val="en-GB"/>
        </w:rPr>
        <w:t xml:space="preserve"> </w:t>
      </w:r>
      <w:r>
        <w:rPr>
          <w:lang w:val="en-GB"/>
        </w:rPr>
        <w:t>and (</w:t>
      </w:r>
      <w:r w:rsidRPr="003F7419">
        <w:rPr>
          <w:b/>
          <w:bCs/>
          <w:lang w:val="en-GB"/>
        </w:rPr>
        <w:t>b</w:t>
      </w:r>
      <w:r>
        <w:rPr>
          <w:lang w:val="en-GB"/>
        </w:rPr>
        <w:t>) CD59/DiI</w:t>
      </w:r>
      <w:r w:rsidRPr="00CC1452">
        <w:rPr>
          <w:lang w:val="en-GB"/>
        </w:rPr>
        <w:t xml:space="preserve"> </w:t>
      </w:r>
      <w:r>
        <w:rPr>
          <w:lang w:val="en-GB"/>
        </w:rPr>
        <w:t>datasets. All localisation from all datasets were included in the graphs.</w:t>
      </w:r>
    </w:p>
    <w:p w14:paraId="3110213D" w14:textId="77777777" w:rsidR="001C76BA" w:rsidRPr="00516C65" w:rsidRDefault="001C76BA">
      <w:pPr>
        <w:rPr>
          <w:lang w:val="en-GB"/>
        </w:rPr>
      </w:pPr>
    </w:p>
    <w:sectPr w:rsidR="001C76BA" w:rsidRPr="00516C6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6C65"/>
    <w:rsid w:val="001C76BA"/>
    <w:rsid w:val="00516C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B7143F"/>
  <w15:chartTrackingRefBased/>
  <w15:docId w15:val="{669D8612-6E92-42A3-852C-0DD9A0572B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6C65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sv-SE" w:eastAsia="sv-SE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572</Words>
  <Characters>3262</Characters>
  <Application>Microsoft Office Word</Application>
  <DocSecurity>0</DocSecurity>
  <Lines>27</Lines>
  <Paragraphs>7</Paragraphs>
  <ScaleCrop>false</ScaleCrop>
  <Company>SpringerNature</Company>
  <LinksUpToDate>false</LinksUpToDate>
  <CharactersWithSpaces>3827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2024-04-10T05:21:00Z</dcterms:created>
  <dcterms:modified xsi:type="dcterms:W3CDTF">2024-04-10T05:22:00Z</dcterms:modified>
</cp:coreProperties>
</file>