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A1917" w14:textId="77777777" w:rsidR="00477F51" w:rsidRPr="001B0FDF" w:rsidRDefault="00477F51" w:rsidP="00477F51">
      <w:pPr>
        <w:jc w:val="both"/>
        <w:rPr>
          <w:rFonts w:ascii="Times" w:eastAsia="Times New Roman" w:hAnsi="Times" w:cstheme="minorHAnsi"/>
          <w:sz w:val="20"/>
          <w:szCs w:val="20"/>
          <w:u w:val="single"/>
          <w:lang w:eastAsia="en-GB"/>
        </w:rPr>
      </w:pPr>
      <w:r w:rsidRPr="001B0FDF"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  <w:t xml:space="preserve">Supplementary table 1. </w:t>
      </w:r>
      <w:r w:rsidRPr="001B0FDF">
        <w:rPr>
          <w:rFonts w:ascii="Times" w:eastAsia="Times New Roman" w:hAnsi="Times" w:cstheme="minorHAnsi"/>
          <w:color w:val="212121"/>
          <w:sz w:val="20"/>
          <w:szCs w:val="20"/>
          <w:shd w:val="clear" w:color="auto" w:fill="FFFFFF"/>
          <w:lang w:eastAsia="en-GB"/>
        </w:rPr>
        <w:t>Proposed statements that did not achieve consensus</w:t>
      </w:r>
      <w:r w:rsidRPr="001B0FDF"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  <w:t> </w:t>
      </w:r>
    </w:p>
    <w:p w14:paraId="2E913FDA" w14:textId="77777777" w:rsidR="00477F51" w:rsidRPr="001B0FDF" w:rsidRDefault="00477F51" w:rsidP="00477F51">
      <w:pPr>
        <w:rPr>
          <w:rFonts w:ascii="Times" w:eastAsia="Times New Roman" w:hAnsi="Times" w:cstheme="minorHAnsi"/>
          <w:sz w:val="20"/>
          <w:szCs w:val="20"/>
          <w:lang w:eastAsia="en-GB"/>
        </w:rPr>
      </w:pPr>
    </w:p>
    <w:tbl>
      <w:tblPr>
        <w:tblW w:w="90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6"/>
        <w:gridCol w:w="2070"/>
      </w:tblGrid>
      <w:tr w:rsidR="00477F51" w:rsidRPr="001B0FDF" w14:paraId="0B81C759" w14:textId="77777777" w:rsidTr="00FD03BF"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4B6664" w14:textId="77777777" w:rsidR="00477F51" w:rsidRPr="001B0FDF" w:rsidRDefault="00477F51" w:rsidP="00FD03BF">
            <w:pPr>
              <w:rPr>
                <w:rFonts w:ascii="Times" w:eastAsia="Times New Roman" w:hAnsi="Times" w:cstheme="minorHAnsi"/>
                <w:sz w:val="20"/>
                <w:szCs w:val="20"/>
                <w:lang w:eastAsia="en-GB"/>
              </w:rPr>
            </w:pPr>
            <w:r w:rsidRPr="001B0FDF">
              <w:rPr>
                <w:rFonts w:ascii="Times" w:eastAsia="Times New Roman" w:hAnsi="Times" w:cstheme="minorHAnsi"/>
                <w:b/>
                <w:bCs/>
                <w:color w:val="212121"/>
                <w:sz w:val="20"/>
                <w:szCs w:val="20"/>
                <w:shd w:val="clear" w:color="auto" w:fill="FFFFFF"/>
                <w:lang w:eastAsia="en-GB"/>
              </w:rPr>
              <w:t>Proposed statements that did not achieve consensus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3B5CA" w14:textId="77777777" w:rsidR="00477F51" w:rsidRPr="001B0FDF" w:rsidRDefault="00477F51" w:rsidP="00FD03BF">
            <w:pPr>
              <w:rPr>
                <w:rFonts w:ascii="Times" w:eastAsia="Times New Roman" w:hAnsi="Times" w:cstheme="minorHAnsi"/>
                <w:b/>
                <w:bCs/>
                <w:color w:val="212121"/>
                <w:sz w:val="20"/>
                <w:szCs w:val="20"/>
                <w:shd w:val="clear" w:color="auto" w:fill="FFFFFF"/>
                <w:lang w:eastAsia="en-GB"/>
              </w:rPr>
            </w:pPr>
            <w:r>
              <w:rPr>
                <w:rFonts w:ascii="Times" w:eastAsia="Times New Roman" w:hAnsi="Times" w:cstheme="minorHAnsi"/>
                <w:b/>
                <w:bCs/>
                <w:color w:val="000000"/>
                <w:sz w:val="20"/>
                <w:szCs w:val="20"/>
                <w:lang w:eastAsia="en-GB"/>
              </w:rPr>
              <w:t>Level of agreement</w:t>
            </w:r>
          </w:p>
        </w:tc>
      </w:tr>
      <w:tr w:rsidR="00477F51" w:rsidRPr="001B0FDF" w14:paraId="3AE62165" w14:textId="77777777" w:rsidTr="00FD03BF"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96752" w14:textId="77777777" w:rsidR="00477F51" w:rsidRPr="001B0FDF" w:rsidRDefault="00477F51" w:rsidP="00FD03BF">
            <w:pP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 w:rsidRPr="00673A19"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The process of transition should ideally start when patients are between 12 and 14 years old.</w:t>
            </w: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D5AEE" w14:textId="77777777" w:rsidR="00477F51" w:rsidRPr="00673A19" w:rsidRDefault="00477F51" w:rsidP="00FD03BF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57%</w:t>
            </w:r>
          </w:p>
        </w:tc>
      </w:tr>
      <w:tr w:rsidR="00477F51" w:rsidRPr="001B0FDF" w14:paraId="1C640A89" w14:textId="77777777" w:rsidTr="00FD03BF"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BFDBA" w14:textId="77777777" w:rsidR="00477F51" w:rsidRPr="001B0FDF" w:rsidRDefault="00477F51" w:rsidP="00FD03BF">
            <w:pP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 w:rsidRPr="00107869"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Young patients should have a period of simultaneous follow-up by the paediatric and adult clinics prior to transfer.</w:t>
            </w: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1A0D6" w14:textId="77777777" w:rsidR="00477F51" w:rsidRPr="00107869" w:rsidRDefault="00477F51" w:rsidP="00FD03BF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71%</w:t>
            </w:r>
          </w:p>
        </w:tc>
      </w:tr>
      <w:tr w:rsidR="00477F51" w:rsidRPr="001B0FDF" w14:paraId="66D07AAB" w14:textId="77777777" w:rsidTr="00FD03BF"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F4E69D" w14:textId="77777777" w:rsidR="00477F51" w:rsidRPr="001B0FDF" w:rsidRDefault="00477F51" w:rsidP="00FD03BF">
            <w:pPr>
              <w:rPr>
                <w:rFonts w:ascii="Times" w:eastAsia="Times New Roman" w:hAnsi="Times" w:cstheme="minorHAnsi"/>
                <w:sz w:val="20"/>
                <w:szCs w:val="20"/>
                <w:lang w:eastAsia="en-GB"/>
              </w:rPr>
            </w:pPr>
            <w:r w:rsidRPr="001B0FDF"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>Where possible, young patients should have a period of joint follow-up by the paediatric and adult clinics in the year following transfer when necessary.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FDB66" w14:textId="77777777" w:rsidR="00477F51" w:rsidRPr="001B0FDF" w:rsidRDefault="00477F51" w:rsidP="00FD03BF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>75%</w:t>
            </w:r>
          </w:p>
        </w:tc>
      </w:tr>
      <w:tr w:rsidR="00477F51" w:rsidRPr="001B0FDF" w14:paraId="43BA2FEE" w14:textId="77777777" w:rsidTr="00FD03BF"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EEF2D" w14:textId="77777777" w:rsidR="00477F51" w:rsidRPr="001B0FDF" w:rsidRDefault="00477F51" w:rsidP="00FD03BF">
            <w:pP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 w:rsidRPr="00673A19"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Young patients without a diagnosis should not leave the paediatric service without a diagnostic and management re-evaluation.</w:t>
            </w: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A8842" w14:textId="77777777" w:rsidR="00477F51" w:rsidRPr="00673A19" w:rsidRDefault="00477F51" w:rsidP="00FD03BF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70%</w:t>
            </w:r>
          </w:p>
        </w:tc>
      </w:tr>
      <w:tr w:rsidR="00477F51" w:rsidRPr="001B0FDF" w14:paraId="4ADC8C0E" w14:textId="77777777" w:rsidTr="00FD03BF"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DA323" w14:textId="77777777" w:rsidR="00477F51" w:rsidRPr="001B0FDF" w:rsidRDefault="00477F51" w:rsidP="00FD03BF">
            <w:pP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 w:rsidRPr="00673A19">
              <w:rPr>
                <w:rFonts w:ascii="Times" w:hAnsi="Times" w:cs="Calibri"/>
                <w:color w:val="000000"/>
                <w:sz w:val="20"/>
                <w:szCs w:val="20"/>
              </w:rPr>
              <w:t>Young patients should have the opportunity for a (virtual) walk-through of the adult service to build familiarity with the site and its staff prior to transfer.</w:t>
            </w:r>
            <w:r>
              <w:rPr>
                <w:rFonts w:ascii="Times" w:hAnsi="Times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86236" w14:textId="77777777" w:rsidR="00477F51" w:rsidRPr="00673A19" w:rsidRDefault="00477F51" w:rsidP="00FD03BF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>
              <w:rPr>
                <w:rFonts w:ascii="Times" w:hAnsi="Times" w:cs="Calibri"/>
                <w:color w:val="000000"/>
                <w:sz w:val="20"/>
                <w:szCs w:val="20"/>
              </w:rPr>
              <w:t>78%</w:t>
            </w:r>
          </w:p>
        </w:tc>
      </w:tr>
      <w:tr w:rsidR="00477F51" w:rsidRPr="001B0FDF" w14:paraId="138B54E1" w14:textId="77777777" w:rsidTr="00FD03BF"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5D825" w14:textId="77777777" w:rsidR="00477F51" w:rsidRPr="001B0FDF" w:rsidRDefault="00477F51" w:rsidP="00FD03BF">
            <w:pPr>
              <w:rPr>
                <w:rFonts w:ascii="Times" w:eastAsia="Times New Roman" w:hAnsi="Times" w:cstheme="minorHAnsi"/>
                <w:sz w:val="20"/>
                <w:szCs w:val="20"/>
                <w:lang w:eastAsia="en-GB"/>
              </w:rPr>
            </w:pPr>
            <w:r w:rsidRPr="001B0FDF"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>Where possible, and in line with local legal frameworks, digital tools should be incorporated for smooth transition: </w:t>
            </w:r>
          </w:p>
          <w:p w14:paraId="3771BBDD" w14:textId="77777777" w:rsidR="00477F51" w:rsidRPr="001B0FDF" w:rsidRDefault="00477F51" w:rsidP="00FD03BF">
            <w:pPr>
              <w:pStyle w:val="ListParagraph"/>
              <w:numPr>
                <w:ilvl w:val="0"/>
                <w:numId w:val="1"/>
              </w:numP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  <w:r w:rsidRPr="001B0FDF"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Develop smartphone or computer apps for patients to use as an ‘Electronic Health Record’ of disease activity, complications, hospitalisations, treatments, and adherence.</w:t>
            </w:r>
          </w:p>
          <w:p w14:paraId="2140DE82" w14:textId="77777777" w:rsidR="00477F51" w:rsidRPr="001B0FDF" w:rsidRDefault="00477F51" w:rsidP="00FD03BF">
            <w:pPr>
              <w:pStyle w:val="ListParagraph"/>
              <w:numPr>
                <w:ilvl w:val="0"/>
                <w:numId w:val="1"/>
              </w:numP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  <w:r w:rsidRPr="001B0FDF"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>Use text messages or emails to communicate with young patients - as opposed to postal mail.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4F72B" w14:textId="77777777" w:rsidR="00477F51" w:rsidRDefault="00477F51" w:rsidP="00FD03BF">
            <w:pP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</w:p>
          <w:p w14:paraId="63AB1392" w14:textId="77777777" w:rsidR="00477F51" w:rsidRDefault="00477F51" w:rsidP="00FD03BF">
            <w:pP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</w:p>
          <w:p w14:paraId="351AB7E8" w14:textId="77777777" w:rsidR="00477F51" w:rsidRDefault="00477F51" w:rsidP="00FD03BF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>72%</w:t>
            </w:r>
          </w:p>
          <w:p w14:paraId="5D0E2063" w14:textId="77777777" w:rsidR="00477F51" w:rsidRDefault="00477F51" w:rsidP="00FD03BF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</w:p>
          <w:p w14:paraId="01FD5F65" w14:textId="77777777" w:rsidR="00477F51" w:rsidRDefault="00477F51" w:rsidP="00FD03BF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</w:p>
          <w:p w14:paraId="7041489B" w14:textId="77777777" w:rsidR="00477F51" w:rsidRPr="001B0FDF" w:rsidRDefault="00477F51" w:rsidP="00FD03BF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>77%</w:t>
            </w:r>
          </w:p>
        </w:tc>
      </w:tr>
      <w:tr w:rsidR="00477F51" w:rsidRPr="001B0FDF" w14:paraId="221E4100" w14:textId="77777777" w:rsidTr="00FD03BF"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43FBCD" w14:textId="77777777" w:rsidR="00477F51" w:rsidRPr="001B0FDF" w:rsidRDefault="00477F51" w:rsidP="00FD03BF">
            <w:pPr>
              <w:rPr>
                <w:rFonts w:ascii="Times" w:eastAsia="Times New Roman" w:hAnsi="Times" w:cstheme="minorHAnsi"/>
                <w:sz w:val="20"/>
                <w:szCs w:val="20"/>
                <w:lang w:eastAsia="en-GB"/>
              </w:rPr>
            </w:pPr>
            <w:r w:rsidRPr="001B0FDF"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>The transition process should offer young patients the opportunity to interact with other patients of the same age(/peers with the same disease) by: </w:t>
            </w:r>
          </w:p>
          <w:p w14:paraId="421FCCED" w14:textId="77777777" w:rsidR="00477F51" w:rsidRPr="001B0FDF" w:rsidRDefault="00477F51" w:rsidP="00FD03BF">
            <w:pPr>
              <w:pStyle w:val="ListParagraph"/>
              <w:numPr>
                <w:ilvl w:val="0"/>
                <w:numId w:val="2"/>
              </w:numP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  <w:r w:rsidRPr="001B0FDF"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>Holding special clinics for young people (Young adult clinics)</w:t>
            </w:r>
          </w:p>
          <w:p w14:paraId="590577B0" w14:textId="77777777" w:rsidR="00477F51" w:rsidRPr="001B0FDF" w:rsidRDefault="00477F51" w:rsidP="00FD03BF">
            <w:pPr>
              <w:pStyle w:val="ListParagraph"/>
              <w:numPr>
                <w:ilvl w:val="0"/>
                <w:numId w:val="2"/>
              </w:numP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  <w:r w:rsidRPr="001B0FDF">
              <w:rPr>
                <w:rFonts w:ascii="Times" w:eastAsia="Times New Roman" w:hAnsi="Times" w:cstheme="minorHAnsi"/>
                <w:color w:val="212121"/>
                <w:sz w:val="20"/>
                <w:szCs w:val="20"/>
                <w:shd w:val="clear" w:color="auto" w:fill="FFFFFF"/>
                <w:lang w:eastAsia="en-GB"/>
              </w:rPr>
              <w:t>Occasionally organising social activities that introduce patients of the same age to each other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D81BD" w14:textId="77777777" w:rsidR="00477F51" w:rsidRDefault="00477F51" w:rsidP="00FD03BF">
            <w:pP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</w:p>
          <w:p w14:paraId="03F71198" w14:textId="77777777" w:rsidR="00477F51" w:rsidRDefault="00477F51" w:rsidP="00FD03BF">
            <w:pP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</w:p>
          <w:p w14:paraId="386AB735" w14:textId="77777777" w:rsidR="00477F51" w:rsidRDefault="00477F51" w:rsidP="00FD03BF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>70%</w:t>
            </w:r>
          </w:p>
          <w:p w14:paraId="71032E90" w14:textId="77777777" w:rsidR="00477F51" w:rsidRPr="001B0FDF" w:rsidRDefault="00477F51" w:rsidP="00FD03BF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>71%</w:t>
            </w:r>
          </w:p>
        </w:tc>
      </w:tr>
      <w:tr w:rsidR="00477F51" w:rsidRPr="001B0FDF" w14:paraId="22EC0694" w14:textId="77777777" w:rsidTr="00FD03BF"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B06C0C" w14:textId="77777777" w:rsidR="00477F51" w:rsidRPr="001B0FDF" w:rsidRDefault="00477F51" w:rsidP="00FD03BF">
            <w:pPr>
              <w:rPr>
                <w:rFonts w:ascii="Times" w:eastAsia="Times New Roman" w:hAnsi="Times" w:cstheme="minorHAnsi"/>
                <w:sz w:val="20"/>
                <w:szCs w:val="20"/>
                <w:lang w:eastAsia="en-GB"/>
              </w:rPr>
            </w:pPr>
            <w:r w:rsidRPr="001B0FDF">
              <w:rPr>
                <w:rFonts w:ascii="Times" w:eastAsia="Times New Roman" w:hAnsi="Times" w:cstheme="minorHAnsi"/>
                <w:color w:val="212121"/>
                <w:sz w:val="20"/>
                <w:szCs w:val="20"/>
                <w:shd w:val="clear" w:color="auto" w:fill="FFFFFF"/>
                <w:lang w:eastAsia="en-GB"/>
              </w:rPr>
              <w:t>Young adult patients, their family, and multidisciplinary clinicians should collaboratively develop a personalised transition plan that is informed by assessments of transition readiness (using transition tools such as the TRAQ, Good2Go etc.</w:t>
            </w:r>
            <w:r>
              <w:rPr>
                <w:rFonts w:ascii="Times" w:eastAsia="Times New Roman" w:hAnsi="Times" w:cstheme="minorHAnsi"/>
                <w:color w:val="212121"/>
                <w:sz w:val="20"/>
                <w:szCs w:val="20"/>
                <w:shd w:val="clear" w:color="auto" w:fill="FFFFFF"/>
                <w:lang w:eastAsia="en-GB"/>
              </w:rPr>
              <w:t xml:space="preserve"> [10,11]</w:t>
            </w:r>
            <w:r w:rsidRPr="001B0FDF">
              <w:rPr>
                <w:rFonts w:ascii="Times" w:eastAsia="Times New Roman" w:hAnsi="Times" w:cstheme="minorHAnsi"/>
                <w:color w:val="212121"/>
                <w:sz w:val="20"/>
                <w:szCs w:val="20"/>
                <w:shd w:val="clear" w:color="auto" w:fill="FFFFFF"/>
                <w:lang w:eastAsia="en-GB"/>
              </w:rPr>
              <w:t>)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DFA66" w14:textId="77777777" w:rsidR="00477F51" w:rsidRPr="001B0FDF" w:rsidRDefault="00477F51" w:rsidP="00FD03BF">
            <w:pPr>
              <w:jc w:val="center"/>
              <w:rPr>
                <w:rFonts w:ascii="Times" w:eastAsia="Times New Roman" w:hAnsi="Times" w:cstheme="minorHAnsi"/>
                <w:color w:val="212121"/>
                <w:sz w:val="20"/>
                <w:szCs w:val="20"/>
                <w:shd w:val="clear" w:color="auto" w:fill="FFFFFF"/>
                <w:lang w:eastAsia="en-GB"/>
              </w:rPr>
            </w:pPr>
            <w:r>
              <w:rPr>
                <w:rFonts w:ascii="Times" w:eastAsia="Times New Roman" w:hAnsi="Times" w:cstheme="minorHAnsi"/>
                <w:color w:val="212121"/>
                <w:sz w:val="20"/>
                <w:szCs w:val="20"/>
                <w:shd w:val="clear" w:color="auto" w:fill="FFFFFF"/>
                <w:lang w:eastAsia="en-GB"/>
              </w:rPr>
              <w:t>70%</w:t>
            </w:r>
          </w:p>
        </w:tc>
      </w:tr>
      <w:tr w:rsidR="00477F51" w:rsidRPr="001B0FDF" w14:paraId="18233755" w14:textId="77777777" w:rsidTr="00FD03BF"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5286B" w14:textId="77777777" w:rsidR="00477F51" w:rsidRDefault="00477F51" w:rsidP="00FD03BF">
            <w:pP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  <w:r w:rsidRPr="003D37C2"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During the transition process, routine assessments should be performed using standardised measures (where available) of:</w:t>
            </w:r>
          </w:p>
          <w:p w14:paraId="4DAC63BE" w14:textId="77777777" w:rsidR="00477F51" w:rsidRPr="003D37C2" w:rsidRDefault="00477F51" w:rsidP="00FD03BF">
            <w:pPr>
              <w:pStyle w:val="ListParagraph"/>
              <w:numPr>
                <w:ilvl w:val="0"/>
                <w:numId w:val="3"/>
              </w:numPr>
              <w:rPr>
                <w:rFonts w:ascii="Times" w:eastAsia="Times New Roman" w:hAnsi="Times" w:cstheme="minorHAnsi"/>
                <w:sz w:val="20"/>
                <w:szCs w:val="20"/>
                <w:lang w:eastAsia="en-GB"/>
              </w:rPr>
            </w:pPr>
            <w:r w:rsidRPr="003D37C2"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Transition readiness (using measures like TRAQ, Good2Go etc</w:t>
            </w: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3D37C2"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[10,11])</w:t>
            </w:r>
          </w:p>
          <w:p w14:paraId="697B45D0" w14:textId="77777777" w:rsidR="00477F51" w:rsidRDefault="00477F51" w:rsidP="00FD03BF">
            <w:pPr>
              <w:pStyle w:val="ListParagraph"/>
              <w:numPr>
                <w:ilvl w:val="0"/>
                <w:numId w:val="3"/>
              </w:numPr>
              <w:rPr>
                <w:rFonts w:ascii="Times" w:eastAsia="Times New Roman" w:hAnsi="Times" w:cstheme="minorHAnsi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theme="minorHAnsi"/>
                <w:sz w:val="20"/>
                <w:szCs w:val="20"/>
                <w:lang w:eastAsia="en-GB"/>
              </w:rPr>
              <w:t>Service satisfaction</w:t>
            </w:r>
          </w:p>
          <w:p w14:paraId="39323BF1" w14:textId="77777777" w:rsidR="00477F51" w:rsidRPr="001B0FDF" w:rsidRDefault="00477F51" w:rsidP="00FD03BF">
            <w:pPr>
              <w:pStyle w:val="ListParagraph"/>
              <w:numPr>
                <w:ilvl w:val="0"/>
                <w:numId w:val="3"/>
              </w:numPr>
              <w:rPr>
                <w:rFonts w:ascii="Times" w:eastAsia="Times New Roman" w:hAnsi="Times" w:cstheme="minorHAnsi"/>
                <w:sz w:val="20"/>
                <w:szCs w:val="20"/>
                <w:lang w:eastAsia="en-GB"/>
              </w:rPr>
            </w:pPr>
            <w:r w:rsidRPr="001B0FDF">
              <w:rPr>
                <w:rFonts w:ascii="Times" w:eastAsia="Times New Roman" w:hAnsi="Times" w:cstheme="minorHAnsi"/>
                <w:sz w:val="20"/>
                <w:szCs w:val="20"/>
                <w:lang w:eastAsia="en-GB"/>
              </w:rPr>
              <w:t>Educational/Vocational support needs (using measures like the Work and Social Adjustment Scale – Youth version and Work and Social Adjustment Scale – Parent version [12])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25E4C" w14:textId="77777777" w:rsidR="00477F51" w:rsidRDefault="00477F51" w:rsidP="00FD03BF">
            <w:pP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</w:p>
          <w:p w14:paraId="425869F8" w14:textId="77777777" w:rsidR="00477F51" w:rsidRDefault="00477F51" w:rsidP="00FD03BF">
            <w:pP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</w:p>
          <w:p w14:paraId="54E61932" w14:textId="77777777" w:rsidR="00477F51" w:rsidRDefault="00477F51" w:rsidP="00FD03BF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65%</w:t>
            </w:r>
          </w:p>
          <w:p w14:paraId="1A6185A8" w14:textId="77777777" w:rsidR="00477F51" w:rsidRDefault="00477F51" w:rsidP="00FD03BF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75%</w:t>
            </w:r>
          </w:p>
          <w:p w14:paraId="2A51467D" w14:textId="77777777" w:rsidR="00477F51" w:rsidRDefault="00477F51" w:rsidP="00FD03BF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  <w:t>71%</w:t>
            </w:r>
          </w:p>
          <w:p w14:paraId="0B09F5B1" w14:textId="77777777" w:rsidR="00477F51" w:rsidRPr="003D37C2" w:rsidRDefault="00477F51" w:rsidP="00FD03BF">
            <w:pPr>
              <w:rPr>
                <w:rFonts w:ascii="Times" w:eastAsia="Times New Roman" w:hAnsi="Times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477F51" w:rsidRPr="001B0FDF" w14:paraId="0317702A" w14:textId="77777777" w:rsidTr="00FD03BF"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E7BEB" w14:textId="77777777" w:rsidR="00477F51" w:rsidRPr="001B0FDF" w:rsidRDefault="00477F51" w:rsidP="00FD03BF">
            <w:pPr>
              <w:rPr>
                <w:rFonts w:ascii="Times" w:eastAsia="Times New Roman" w:hAnsi="Times" w:cstheme="minorHAnsi"/>
                <w:color w:val="212121"/>
                <w:sz w:val="20"/>
                <w:szCs w:val="20"/>
                <w:shd w:val="clear" w:color="auto" w:fill="FFFFFF"/>
                <w:lang w:eastAsia="en-GB"/>
              </w:rPr>
            </w:pPr>
            <w:r w:rsidRPr="001B0FDF"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>Patients should be advised to review private health care in countries where this is required to access adult care.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49726" w14:textId="77777777" w:rsidR="00477F51" w:rsidRPr="001B0FDF" w:rsidRDefault="00477F51" w:rsidP="00FD03BF">
            <w:pPr>
              <w:jc w:val="center"/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>
              <w:rPr>
                <w:rFonts w:ascii="Times" w:eastAsia="Times New Roman" w:hAnsi="Times" w:cstheme="minorHAnsi"/>
                <w:color w:val="000000"/>
                <w:sz w:val="20"/>
                <w:szCs w:val="20"/>
                <w:shd w:val="clear" w:color="auto" w:fill="FFFFFF"/>
                <w:lang w:eastAsia="en-GB"/>
              </w:rPr>
              <w:t>78%</w:t>
            </w:r>
          </w:p>
        </w:tc>
      </w:tr>
    </w:tbl>
    <w:p w14:paraId="0569970F" w14:textId="0811DDDE" w:rsidR="00301519" w:rsidRDefault="00301519">
      <w:pPr>
        <w:rPr>
          <w:rFonts w:ascii="Times" w:hAnsi="Times"/>
          <w:sz w:val="20"/>
          <w:szCs w:val="20"/>
        </w:rPr>
      </w:pPr>
    </w:p>
    <w:p w14:paraId="125D1376" w14:textId="3A3E4A0E" w:rsidR="006133DC" w:rsidRPr="006133DC" w:rsidRDefault="006133DC" w:rsidP="006133DC">
      <w:pPr>
        <w:rPr>
          <w:rFonts w:ascii="Times" w:hAnsi="Times"/>
          <w:sz w:val="20"/>
          <w:szCs w:val="20"/>
        </w:rPr>
      </w:pPr>
      <w:r w:rsidRPr="006133DC">
        <w:rPr>
          <w:rFonts w:ascii="Times" w:hAnsi="Times"/>
          <w:sz w:val="20"/>
          <w:szCs w:val="20"/>
        </w:rPr>
        <w:t>*</w:t>
      </w:r>
      <w:r>
        <w:rPr>
          <w:rFonts w:ascii="Times" w:hAnsi="Times"/>
          <w:sz w:val="20"/>
          <w:szCs w:val="20"/>
        </w:rPr>
        <w:t xml:space="preserve"> </w:t>
      </w:r>
      <w:r w:rsidRPr="006133DC">
        <w:rPr>
          <w:rFonts w:ascii="Times" w:hAnsi="Times"/>
          <w:sz w:val="20"/>
          <w:szCs w:val="20"/>
        </w:rPr>
        <w:t xml:space="preserve">Statements </w:t>
      </w:r>
      <w:r>
        <w:rPr>
          <w:rFonts w:ascii="Times" w:hAnsi="Times"/>
          <w:sz w:val="20"/>
          <w:szCs w:val="20"/>
        </w:rPr>
        <w:t>that achieved consensus following revision in Round Three of the Delphi process</w:t>
      </w:r>
    </w:p>
    <w:p w14:paraId="42E2EEBF" w14:textId="77777777" w:rsidR="006133DC" w:rsidRDefault="006133DC">
      <w:pPr>
        <w:rPr>
          <w:rFonts w:ascii="Times" w:hAnsi="Times"/>
          <w:sz w:val="20"/>
          <w:szCs w:val="20"/>
        </w:rPr>
      </w:pPr>
    </w:p>
    <w:p w14:paraId="415871BC" w14:textId="77777777" w:rsidR="006133DC" w:rsidRDefault="006133DC">
      <w:pPr>
        <w:rPr>
          <w:rFonts w:ascii="Times" w:hAnsi="Times"/>
          <w:sz w:val="20"/>
          <w:szCs w:val="20"/>
        </w:rPr>
      </w:pPr>
    </w:p>
    <w:sectPr w:rsidR="006133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73D3A"/>
    <w:multiLevelType w:val="hybridMultilevel"/>
    <w:tmpl w:val="C66EF86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93795"/>
    <w:multiLevelType w:val="hybridMultilevel"/>
    <w:tmpl w:val="1E26E90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C41D9C"/>
    <w:multiLevelType w:val="hybridMultilevel"/>
    <w:tmpl w:val="C66EF866"/>
    <w:lvl w:ilvl="0" w:tplc="B5F29A6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92027"/>
    <w:multiLevelType w:val="hybridMultilevel"/>
    <w:tmpl w:val="AF0E4EE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0779B8"/>
    <w:multiLevelType w:val="hybridMultilevel"/>
    <w:tmpl w:val="AF7CB21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FDF"/>
    <w:rsid w:val="00091E3A"/>
    <w:rsid w:val="000C22E4"/>
    <w:rsid w:val="001B0FDF"/>
    <w:rsid w:val="00281C83"/>
    <w:rsid w:val="00301519"/>
    <w:rsid w:val="00477F51"/>
    <w:rsid w:val="004D3701"/>
    <w:rsid w:val="006133DC"/>
    <w:rsid w:val="006C4297"/>
    <w:rsid w:val="007175EF"/>
    <w:rsid w:val="008E3ED9"/>
    <w:rsid w:val="00C5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9BFB60"/>
  <w15:chartTrackingRefBased/>
  <w15:docId w15:val="{64E2768B-C22C-2647-BEB0-316EA1A6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F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D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0F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0F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0F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F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0F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364</Words>
  <Characters>2047</Characters>
  <Application>Microsoft Office Word</Application>
  <DocSecurity>0</DocSecurity>
  <Lines>37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ISRANI, Muskan (ROYAL FREE LONDON NHS FOUNDATION TRUST)</dc:creator>
  <cp:keywords/>
  <dc:description/>
  <cp:lastModifiedBy>ISRANI, Muskan (ROYAL FREE LONDON NHS FOUNDATION TRUST)</cp:lastModifiedBy>
  <cp:revision>7</cp:revision>
  <dcterms:created xsi:type="dcterms:W3CDTF">2023-12-17T22:21:00Z</dcterms:created>
  <dcterms:modified xsi:type="dcterms:W3CDTF">2024-01-22T22:06:00Z</dcterms:modified>
</cp:coreProperties>
</file>