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3336C" w14:textId="77777777" w:rsidR="005E79C4" w:rsidRDefault="005E79C4" w:rsidP="00DD68E2">
      <w:pPr>
        <w:spacing w:after="0" w:line="240" w:lineRule="auto"/>
        <w:jc w:val="both"/>
        <w:rPr>
          <w:rFonts w:ascii="Arial" w:eastAsia="Times New Roman" w:hAnsi="Arial" w:cs="Arial"/>
          <w:b/>
          <w:iCs/>
          <w:sz w:val="20"/>
          <w:szCs w:val="20"/>
        </w:rPr>
      </w:pPr>
    </w:p>
    <w:p w14:paraId="030A8FD8" w14:textId="77777777" w:rsidR="005E79C4" w:rsidRDefault="005E79C4" w:rsidP="00DD68E2">
      <w:pPr>
        <w:spacing w:after="0" w:line="240" w:lineRule="auto"/>
        <w:jc w:val="both"/>
        <w:rPr>
          <w:rFonts w:ascii="Arial" w:eastAsia="Times New Roman" w:hAnsi="Arial" w:cs="Arial"/>
          <w:b/>
          <w:iCs/>
          <w:sz w:val="20"/>
          <w:szCs w:val="20"/>
        </w:rPr>
      </w:pPr>
    </w:p>
    <w:p w14:paraId="0B5DE4CF" w14:textId="77777777" w:rsidR="005E79C4" w:rsidRDefault="005E79C4" w:rsidP="00DD68E2">
      <w:pPr>
        <w:spacing w:after="0" w:line="240" w:lineRule="auto"/>
        <w:jc w:val="both"/>
        <w:rPr>
          <w:rFonts w:ascii="Arial" w:eastAsia="Times New Roman" w:hAnsi="Arial" w:cs="Arial"/>
          <w:b/>
          <w:iCs/>
          <w:sz w:val="20"/>
          <w:szCs w:val="20"/>
        </w:rPr>
      </w:pPr>
    </w:p>
    <w:p w14:paraId="4F2B7420" w14:textId="77777777" w:rsidR="005E79C4" w:rsidRDefault="005E79C4" w:rsidP="00DD68E2">
      <w:pPr>
        <w:spacing w:after="0" w:line="240" w:lineRule="auto"/>
        <w:jc w:val="both"/>
        <w:rPr>
          <w:rFonts w:ascii="Arial" w:eastAsia="Times New Roman" w:hAnsi="Arial" w:cs="Arial"/>
          <w:b/>
          <w:iCs/>
          <w:sz w:val="20"/>
          <w:szCs w:val="20"/>
        </w:rPr>
      </w:pPr>
    </w:p>
    <w:p w14:paraId="5A431AD4" w14:textId="77777777" w:rsidR="005E79C4" w:rsidRDefault="005E79C4" w:rsidP="00DD68E2">
      <w:pPr>
        <w:spacing w:after="0" w:line="240" w:lineRule="auto"/>
        <w:jc w:val="both"/>
        <w:rPr>
          <w:rFonts w:ascii="Arial" w:eastAsia="Times New Roman" w:hAnsi="Arial" w:cs="Arial"/>
          <w:b/>
          <w:iCs/>
          <w:sz w:val="20"/>
          <w:szCs w:val="20"/>
        </w:rPr>
      </w:pPr>
    </w:p>
    <w:p w14:paraId="7D662C54" w14:textId="5112D35B" w:rsidR="005E79C4" w:rsidRDefault="005E79C4" w:rsidP="00DD68E2">
      <w:pPr>
        <w:spacing w:after="0" w:line="240" w:lineRule="auto"/>
        <w:jc w:val="both"/>
        <w:rPr>
          <w:rFonts w:ascii="Arial" w:eastAsia="Times New Roman" w:hAnsi="Arial" w:cs="Arial"/>
          <w:b/>
          <w:iCs/>
          <w:sz w:val="20"/>
          <w:szCs w:val="20"/>
        </w:rPr>
      </w:pPr>
      <w:r>
        <w:rPr>
          <w:rFonts w:ascii="Arial" w:eastAsia="Times New Roman" w:hAnsi="Arial" w:cs="Arial"/>
          <w:b/>
          <w:iCs/>
          <w:sz w:val="20"/>
          <w:szCs w:val="20"/>
        </w:rPr>
        <w:t>SUPPLEMENTARY INFORMATION TO:</w:t>
      </w:r>
    </w:p>
    <w:p w14:paraId="2776C794" w14:textId="77777777" w:rsidR="005E79C4" w:rsidRDefault="005E79C4" w:rsidP="00DD68E2">
      <w:pPr>
        <w:spacing w:after="0" w:line="240" w:lineRule="auto"/>
        <w:jc w:val="both"/>
        <w:rPr>
          <w:rFonts w:ascii="Arial" w:eastAsia="Times New Roman" w:hAnsi="Arial" w:cs="Arial"/>
          <w:b/>
          <w:iCs/>
          <w:sz w:val="20"/>
          <w:szCs w:val="20"/>
        </w:rPr>
      </w:pPr>
    </w:p>
    <w:p w14:paraId="6D5E7DB0" w14:textId="77777777" w:rsidR="005E79C4" w:rsidRDefault="005E79C4" w:rsidP="00DD68E2">
      <w:pPr>
        <w:spacing w:after="0" w:line="240" w:lineRule="auto"/>
        <w:jc w:val="both"/>
        <w:rPr>
          <w:rFonts w:ascii="Arial" w:eastAsia="Times New Roman" w:hAnsi="Arial" w:cs="Arial"/>
          <w:b/>
          <w:iCs/>
          <w:sz w:val="20"/>
          <w:szCs w:val="20"/>
        </w:rPr>
      </w:pPr>
    </w:p>
    <w:p w14:paraId="32505BE6" w14:textId="77777777" w:rsidR="005E79C4" w:rsidRDefault="005E79C4" w:rsidP="00DD68E2">
      <w:pPr>
        <w:spacing w:after="0" w:line="240" w:lineRule="auto"/>
        <w:jc w:val="both"/>
        <w:rPr>
          <w:rFonts w:ascii="Arial" w:eastAsia="Times New Roman" w:hAnsi="Arial" w:cs="Arial"/>
          <w:b/>
          <w:iCs/>
          <w:sz w:val="20"/>
          <w:szCs w:val="20"/>
        </w:rPr>
      </w:pPr>
    </w:p>
    <w:p w14:paraId="398200E9" w14:textId="77777777" w:rsidR="005E79C4" w:rsidRDefault="005E79C4" w:rsidP="00DD68E2">
      <w:pPr>
        <w:spacing w:after="0" w:line="240" w:lineRule="auto"/>
        <w:jc w:val="both"/>
        <w:rPr>
          <w:rFonts w:ascii="Arial" w:eastAsia="Times New Roman" w:hAnsi="Arial" w:cs="Arial"/>
          <w:b/>
          <w:iCs/>
          <w:sz w:val="20"/>
          <w:szCs w:val="20"/>
        </w:rPr>
      </w:pPr>
    </w:p>
    <w:p w14:paraId="303CA1E8" w14:textId="77777777" w:rsidR="005E79C4" w:rsidRDefault="005E79C4" w:rsidP="00DD68E2">
      <w:pPr>
        <w:spacing w:after="0" w:line="240" w:lineRule="auto"/>
        <w:jc w:val="both"/>
        <w:rPr>
          <w:rFonts w:ascii="Arial" w:eastAsia="Times New Roman" w:hAnsi="Arial" w:cs="Arial"/>
          <w:b/>
          <w:iCs/>
          <w:sz w:val="20"/>
          <w:szCs w:val="20"/>
        </w:rPr>
      </w:pPr>
    </w:p>
    <w:p w14:paraId="4BA00495" w14:textId="77777777" w:rsidR="005E79C4" w:rsidRDefault="005E79C4" w:rsidP="00DD68E2">
      <w:pPr>
        <w:spacing w:after="0" w:line="240" w:lineRule="auto"/>
        <w:jc w:val="both"/>
        <w:rPr>
          <w:rFonts w:ascii="Arial" w:eastAsia="Times New Roman" w:hAnsi="Arial" w:cs="Arial"/>
          <w:b/>
          <w:iCs/>
          <w:sz w:val="20"/>
          <w:szCs w:val="20"/>
        </w:rPr>
      </w:pPr>
    </w:p>
    <w:p w14:paraId="489CEC06" w14:textId="77777777" w:rsidR="005E79C4" w:rsidRPr="00C60E23" w:rsidRDefault="005E79C4" w:rsidP="005E79C4">
      <w:pPr>
        <w:spacing w:after="0" w:line="240" w:lineRule="auto"/>
        <w:jc w:val="center"/>
        <w:rPr>
          <w:rFonts w:ascii="Arial" w:eastAsia="Times New Roman" w:hAnsi="Arial" w:cs="Arial"/>
          <w:b/>
          <w:bCs/>
          <w:sz w:val="20"/>
          <w:szCs w:val="20"/>
        </w:rPr>
      </w:pPr>
      <w:r w:rsidRPr="00C60E23">
        <w:rPr>
          <w:rFonts w:ascii="Arial" w:eastAsia="Times New Roman" w:hAnsi="Arial" w:cs="Arial"/>
          <w:b/>
          <w:bCs/>
          <w:sz w:val="20"/>
          <w:szCs w:val="20"/>
        </w:rPr>
        <w:t xml:space="preserve">THE ASSOCIATION BETWEEN ADOLESCENT ADHD AND CALLOUS-UNEMOTIONAL TRAITS </w:t>
      </w:r>
    </w:p>
    <w:p w14:paraId="47177D5E" w14:textId="77777777" w:rsidR="005E79C4" w:rsidRPr="00C60E23" w:rsidRDefault="005E79C4" w:rsidP="005E79C4">
      <w:pPr>
        <w:spacing w:after="0" w:line="240" w:lineRule="auto"/>
        <w:jc w:val="center"/>
        <w:rPr>
          <w:rFonts w:ascii="Arial" w:eastAsia="Times New Roman" w:hAnsi="Arial" w:cs="Arial"/>
          <w:b/>
          <w:bCs/>
          <w:sz w:val="20"/>
          <w:szCs w:val="20"/>
        </w:rPr>
      </w:pPr>
      <w:r w:rsidRPr="00C60E23">
        <w:rPr>
          <w:rFonts w:ascii="Arial" w:eastAsia="Times New Roman" w:hAnsi="Arial" w:cs="Arial"/>
          <w:b/>
          <w:bCs/>
          <w:sz w:val="20"/>
          <w:szCs w:val="20"/>
        </w:rPr>
        <w:t>IS MODERATED BY ELECTROPHYSIOLOGICAL REINFORCEMENT SENSITIVITY</w:t>
      </w:r>
    </w:p>
    <w:p w14:paraId="4C29A31D" w14:textId="77777777" w:rsidR="005E79C4" w:rsidRPr="005E79C4" w:rsidRDefault="005E79C4" w:rsidP="00DD68E2">
      <w:pPr>
        <w:spacing w:after="0" w:line="240" w:lineRule="auto"/>
        <w:jc w:val="both"/>
        <w:rPr>
          <w:rFonts w:ascii="Arial" w:eastAsia="Times New Roman" w:hAnsi="Arial" w:cs="Arial"/>
          <w:b/>
          <w:iCs/>
          <w:sz w:val="20"/>
          <w:szCs w:val="20"/>
        </w:rPr>
      </w:pPr>
    </w:p>
    <w:p w14:paraId="6B315B28" w14:textId="77777777" w:rsidR="005E79C4" w:rsidRDefault="005E79C4" w:rsidP="00DD68E2">
      <w:pPr>
        <w:spacing w:after="0" w:line="240" w:lineRule="auto"/>
        <w:jc w:val="both"/>
        <w:rPr>
          <w:rFonts w:ascii="Arial" w:eastAsia="Times New Roman" w:hAnsi="Arial" w:cs="Arial"/>
          <w:b/>
          <w:i/>
          <w:sz w:val="20"/>
          <w:szCs w:val="20"/>
        </w:rPr>
        <w:sectPr w:rsidR="005E79C4" w:rsidSect="003F46B6">
          <w:pgSz w:w="11906" w:h="16838"/>
          <w:pgMar w:top="1417" w:right="1417" w:bottom="1417" w:left="1417" w:header="708" w:footer="708" w:gutter="0"/>
          <w:cols w:space="708"/>
          <w:docGrid w:linePitch="360"/>
        </w:sectPr>
      </w:pPr>
    </w:p>
    <w:p w14:paraId="6F307483" w14:textId="28E1E6F6" w:rsidR="00DD68E2" w:rsidRPr="00A45C25" w:rsidRDefault="00DD68E2" w:rsidP="00DD68E2">
      <w:pPr>
        <w:spacing w:after="0" w:line="240" w:lineRule="auto"/>
        <w:jc w:val="both"/>
        <w:rPr>
          <w:rFonts w:ascii="Arial" w:eastAsia="Times New Roman" w:hAnsi="Arial" w:cs="Arial"/>
          <w:i/>
          <w:sz w:val="20"/>
          <w:szCs w:val="20"/>
        </w:rPr>
      </w:pPr>
      <w:r w:rsidRPr="00A45C25">
        <w:rPr>
          <w:rFonts w:ascii="Arial" w:eastAsia="Times New Roman" w:hAnsi="Arial" w:cs="Arial"/>
          <w:b/>
          <w:i/>
          <w:sz w:val="20"/>
          <w:szCs w:val="20"/>
        </w:rPr>
        <w:lastRenderedPageBreak/>
        <w:t>Parent-report measures</w:t>
      </w:r>
    </w:p>
    <w:p w14:paraId="30F2AB45" w14:textId="7DC6EE07" w:rsidR="00DD68E2" w:rsidRPr="00A45C25" w:rsidRDefault="00DD68E2" w:rsidP="00DD68E2">
      <w:pPr>
        <w:spacing w:after="0" w:line="240" w:lineRule="auto"/>
        <w:ind w:firstLine="708"/>
        <w:jc w:val="both"/>
        <w:rPr>
          <w:rFonts w:ascii="Arial" w:eastAsia="Arial" w:hAnsi="Arial" w:cs="Arial"/>
          <w:sz w:val="20"/>
          <w:szCs w:val="20"/>
        </w:rPr>
      </w:pPr>
      <w:r w:rsidRPr="00A45C25">
        <w:rPr>
          <w:rFonts w:ascii="Arial" w:eastAsia="Times New Roman" w:hAnsi="Arial" w:cs="Arial"/>
          <w:b/>
          <w:i/>
          <w:sz w:val="20"/>
          <w:szCs w:val="20"/>
        </w:rPr>
        <w:t xml:space="preserve">ADHD Rating Scale-5 (ARS 5). </w:t>
      </w:r>
      <w:r w:rsidRPr="00A45C25">
        <w:rPr>
          <w:rFonts w:ascii="Arial" w:eastAsia="Times New Roman" w:hAnsi="Arial" w:cs="Arial"/>
          <w:sz w:val="20"/>
          <w:szCs w:val="20"/>
        </w:rPr>
        <w:t>The</w:t>
      </w:r>
      <w:r w:rsidRPr="00A45C25">
        <w:rPr>
          <w:rFonts w:ascii="Arial" w:eastAsia="Times New Roman" w:hAnsi="Arial" w:cs="Arial"/>
          <w:b/>
          <w:i/>
          <w:sz w:val="20"/>
          <w:szCs w:val="20"/>
        </w:rPr>
        <w:t xml:space="preserve"> </w:t>
      </w:r>
      <w:r w:rsidRPr="00A45C25">
        <w:rPr>
          <w:rFonts w:ascii="Arial" w:eastAsia="Times New Roman" w:hAnsi="Arial" w:cs="Arial"/>
          <w:sz w:val="20"/>
          <w:szCs w:val="20"/>
        </w:rPr>
        <w:t xml:space="preserve">ARS-5 </w:t>
      </w:r>
      <w:r w:rsidRPr="00A45C25">
        <w:rPr>
          <w:rFonts w:ascii="Arial" w:eastAsia="Times New Roman" w:hAnsi="Arial" w:cs="Arial"/>
          <w:sz w:val="20"/>
          <w:szCs w:val="20"/>
        </w:rPr>
        <w:fldChar w:fldCharType="begin" w:fldLock="1"/>
      </w:r>
      <w:r w:rsidR="005E79C4">
        <w:rPr>
          <w:rFonts w:ascii="Arial" w:eastAsia="Times New Roman" w:hAnsi="Arial" w:cs="Arial"/>
          <w:sz w:val="20"/>
          <w:szCs w:val="20"/>
        </w:rPr>
        <w:instrText xml:space="preserve"> ADDIN ZOTERO_ITEM CSL_CITATION {"citationID":"2P2BYlT4","properties":{"formattedCitation":"[1]","plainCitation":"[1]","noteIndex":0},"citationItems":[{"id":5414,"uris":["http://www.mendeley.com/documents/?uuid=1033e306-afa9-4d2c-9eed-1d895e548bac","http://zotero.org/users/8324431/items/TWL7B49N"],"itemData":{"id":5414,"type":"book","abstract":"ADHD Rating-Scale 5 Checklists, Norms and Clinical Interpretation.","event-place":"New York - London","publisher":"The Guilford Press","publisher-place":"New York - London","title":"ADHD Rating Scale-5 for Children and Adolescents","author":[{"family":"DuPaul","given":"George J."},{"family":"Power","given":"Thomas J."},{"family":"Anastopoulos","given":"Arthur D."},{"family":"Reid","given":"Robert"}],"issued":{"date-parts":[["2016"]]}}}],"schema":"https://github.com/citation-style-language/schema/raw/master/csl-citation.json"} </w:instrText>
      </w:r>
      <w:r w:rsidRPr="00A45C25">
        <w:rPr>
          <w:rFonts w:ascii="Arial" w:eastAsia="Times New Roman" w:hAnsi="Arial" w:cs="Arial"/>
          <w:sz w:val="20"/>
          <w:szCs w:val="20"/>
        </w:rPr>
        <w:fldChar w:fldCharType="separate"/>
      </w:r>
      <w:r w:rsidR="005E79C4" w:rsidRPr="005E79C4">
        <w:rPr>
          <w:rFonts w:ascii="Arial" w:hAnsi="Arial" w:cs="Arial"/>
          <w:sz w:val="20"/>
        </w:rPr>
        <w:t>[1]</w:t>
      </w:r>
      <w:r w:rsidRPr="00A45C25">
        <w:rPr>
          <w:rFonts w:ascii="Arial" w:eastAsia="Times New Roman" w:hAnsi="Arial" w:cs="Arial"/>
          <w:sz w:val="20"/>
          <w:szCs w:val="20"/>
        </w:rPr>
        <w:fldChar w:fldCharType="end"/>
      </w:r>
      <w:r w:rsidRPr="00A45C25">
        <w:rPr>
          <w:rFonts w:ascii="Arial" w:eastAsia="Times New Roman" w:hAnsi="Arial" w:cs="Arial"/>
          <w:sz w:val="20"/>
          <w:szCs w:val="20"/>
        </w:rPr>
        <w:t xml:space="preserve"> is a 30-item</w:t>
      </w:r>
      <w:r w:rsidRPr="00A45C25">
        <w:rPr>
          <w:rFonts w:ascii="Arial" w:eastAsia="Times New Roman" w:hAnsi="Arial" w:cs="Arial"/>
          <w:b/>
          <w:sz w:val="20"/>
          <w:szCs w:val="20"/>
        </w:rPr>
        <w:t xml:space="preserve"> </w:t>
      </w:r>
      <w:r w:rsidRPr="00A45C25">
        <w:rPr>
          <w:rFonts w:ascii="Arial" w:eastAsia="Times New Roman" w:hAnsi="Arial" w:cs="Arial"/>
          <w:sz w:val="20"/>
          <w:szCs w:val="20"/>
        </w:rPr>
        <w:t xml:space="preserve">parent- and teacher-report measure of the past 6-month presence and severity of DSM-5 ADHD symptoms (9 inattentive symptom items and 9 hyperactivity/impulsivity symptom items) and functional impairment across six domains: relationship with significant others (family members for the home version), relationship with peers, academic functioning, behavioral functioning, homework performance and self-esteem (2×6 impairment items, with one set corresponding to inattention and one to hyperactivity/impulsivity). Parents and teachers rate items on a four-point scale ranging in case of symptoms from 0 (never or rarely) to 4 (very often) and in case of impairment from 0 (“no problem”) to 3 (“severe problem”), with higher scores indicating more severe symptoms and impairment. The ARS-5 is comprised of two symptoms scales, Inattention and Hyperactivity-Impulsivity, and a Total Scale. The ARS-5 is suitable for ages 5-17 years, with separate forms for children (5-10 years) and adolescents (11—17 years) and age-appropriate and DSM-5 compatible descriptions of symptoms. In the current study, the adolescent home (i.e., parent-report) version was used. </w:t>
      </w:r>
      <w:r w:rsidRPr="00A45C25">
        <w:rPr>
          <w:rFonts w:ascii="Arial" w:eastAsia="Arial" w:hAnsi="Arial" w:cs="Arial"/>
          <w:sz w:val="20"/>
          <w:szCs w:val="20"/>
        </w:rPr>
        <w:t xml:space="preserve">Prior findings indicate both the original </w:t>
      </w:r>
      <w:r w:rsidRPr="00A45C25">
        <w:rPr>
          <w:rFonts w:ascii="Arial" w:eastAsia="Times New Roman" w:hAnsi="Arial" w:cs="Arial"/>
          <w:sz w:val="20"/>
          <w:szCs w:val="20"/>
        </w:rPr>
        <w:t>(e.g., internal consistency and 6-week test-retest reliability; factor structure; concurrent validity and predictive validity and clinical utility)</w:t>
      </w:r>
      <w:r w:rsidRPr="00A45C25">
        <w:rPr>
          <w:rFonts w:ascii="Arial" w:hAnsi="Arial" w:cs="Arial"/>
          <w:sz w:val="20"/>
          <w:szCs w:val="20"/>
        </w:rPr>
        <w:fldChar w:fldCharType="begin" w:fldLock="1"/>
      </w:r>
      <w:r w:rsidR="005E79C4">
        <w:rPr>
          <w:rFonts w:ascii="Arial" w:hAnsi="Arial" w:cs="Arial"/>
          <w:sz w:val="20"/>
          <w:szCs w:val="20"/>
        </w:rPr>
        <w:instrText xml:space="preserve"> ADDIN ZOTERO_ITEM CSL_CITATION {"citationID":"bHuwZt3u","properties":{"formattedCitation":"[1]","plainCitation":"[1]","noteIndex":0},"citationItems":[{"id":5414,"uris":["http://www.mendeley.com/documents/?uuid=1033e306-afa9-4d2c-9eed-1d895e548bac","http://zotero.org/users/8324431/items/TWL7B49N"],"itemData":{"id":5414,"type":"book","abstract":"ADHD Rating-Scale 5 Checklists, Norms and Clinical Interpretation.","event-place":"New York - London","publisher":"The Guilford Press","publisher-place":"New York - London","title":"ADHD Rating Scale-5 for Children and Adolescents","author":[{"family":"DuPaul","given":"George J."},{"family":"Power","given":"Thomas J."},{"family":"Anastopoulos","given":"Arthur D."},{"family":"Reid","given":"Robert"}],"issued":{"date-parts":[["2016"]]}}}],"schema":"https://github.com/citation-style-language/schema/raw/master/csl-citation.json"} </w:instrText>
      </w:r>
      <w:r w:rsidRPr="00A45C25">
        <w:rPr>
          <w:rFonts w:ascii="Arial" w:hAnsi="Arial" w:cs="Arial"/>
          <w:sz w:val="20"/>
          <w:szCs w:val="20"/>
        </w:rPr>
        <w:fldChar w:fldCharType="separate"/>
      </w:r>
      <w:r w:rsidR="005E79C4" w:rsidRPr="005E79C4">
        <w:rPr>
          <w:rFonts w:ascii="Arial" w:hAnsi="Arial" w:cs="Arial"/>
          <w:sz w:val="20"/>
        </w:rPr>
        <w:t>[1]</w:t>
      </w:r>
      <w:r w:rsidRPr="00A45C25">
        <w:rPr>
          <w:rFonts w:ascii="Arial" w:hAnsi="Arial" w:cs="Arial"/>
          <w:sz w:val="20"/>
          <w:szCs w:val="20"/>
        </w:rPr>
        <w:fldChar w:fldCharType="end"/>
      </w:r>
      <w:r w:rsidRPr="00A45C25">
        <w:rPr>
          <w:rFonts w:ascii="Arial" w:eastAsia="Times New Roman" w:hAnsi="Arial" w:cs="Arial"/>
          <w:sz w:val="20"/>
          <w:szCs w:val="20"/>
        </w:rPr>
        <w:t xml:space="preserve"> and</w:t>
      </w:r>
      <w:r w:rsidRPr="00A45C25">
        <w:rPr>
          <w:rFonts w:ascii="Arial" w:eastAsia="Arial" w:hAnsi="Arial" w:cs="Arial"/>
          <w:sz w:val="20"/>
          <w:szCs w:val="20"/>
        </w:rPr>
        <w:t xml:space="preserve"> the Hungarian translation (internal consistency) </w:t>
      </w:r>
      <w:r w:rsidRPr="00A45C25">
        <w:rPr>
          <w:rFonts w:ascii="Arial" w:eastAsia="Arial" w:hAnsi="Arial" w:cs="Arial"/>
          <w:sz w:val="20"/>
          <w:szCs w:val="20"/>
        </w:rPr>
        <w:fldChar w:fldCharType="begin"/>
      </w:r>
      <w:r w:rsidR="005E79C4">
        <w:rPr>
          <w:rFonts w:ascii="Arial" w:eastAsia="Arial" w:hAnsi="Arial" w:cs="Arial"/>
          <w:sz w:val="20"/>
          <w:szCs w:val="20"/>
        </w:rPr>
        <w:instrText xml:space="preserve"> ADDIN ZOTERO_ITEM CSL_CITATION {"citationID":"xx6Zkd6T","properties":{"formattedCitation":"[2, 3]","plainCitation":"[2, 3]","noteIndex":0},"citationItems":[{"id":6100,"uris":["http://zotero.org/users/8324431/items/ZSJLE7N9"],"itemData":{"id":6100,"type":"article-journal","abstract":"BACKGROUND: Understanding the etiopathogenesis of attention-deficit/hyperactivity disorder (ADHD) may necessitate decomposition of the heterogeneous clinical phenotype into more homogeneous intermediate phenotypes. Reinforcement sensitivity is a promising candidate, but the exact nature of the ADHD-reward relation - including how, for whom, and to which ADHD dimensions atypicalities in reward processing are relevant - is equivocal.\nMETHODS: Aims were to examine, in a carefully phenotyped sample of adolescents (N = 305; Mage = 15.30 years, SD = 1.07; 39.7% girls), whether functional dopaminergic polymorphisms implicated in both reward processing and ADHD (1) are differentially associated with event-related potentials (ERPs) of reward anticipation at distinct levels of ADHD risk (nno risk = 174, nat-risk = 131, ndiagnosed = 83); and (2) moderate the indirect effect of dispositional affectivity on the association between ERPs and ADHD domains.\nRESULTS: In adolescents at-risk for or with ADHD, carrying a hypodopaminergic allele was associated with enhanced ERPs of attention allocation to cue and attenuated ERPs of anticipatory attention to feedback. No associations were observed in adolescents not at-risk for or without ADHD. Controlling for age and sex, both the negative indirect effect of positive affectivity (PA) on the association between ERPs and inattention and the positive indirect effect of PA on the association between ERPs and hyperactivity/impulsivity were supported only for those with high activity dopamine transporter (DAT) alleles.\nCONCLUSIONS: Reward and affective processing are promising intermediate phenotypes relevant to disentangling ADHD developmental pathways. Consistent with developmental multifinality, through the successive effects of reward anticipation and positive affectivity, functional dopaminergic variants may confer protection against inattention or risk for hyperactivity/impulsivity.","container-title":"Comprehensive Psychiatry","DOI":"10.1016/j.comppsych.2023.152389","ISSN":"1532-8384","journalAbbreviation":"Compr Psychiatry","language":"eng","note":"PMID: 37104986","page":"152389","source":"PubMed","title":"The domain-variant indirect association between electrophysiological response to reward and ADHD presentations is moderated by dopaminergic polymorphisms","volume":"124","author":[{"family":"Bunford","given":"N."},{"family":"Hámori","given":"Gy"},{"family":"Nemoda","given":"Z."},{"family":"Angyal","given":"N."},{"family":"Fiáth","given":"R."},{"family":"Sebők-Welker","given":"T. É"},{"family":"Pászthy","given":"B."},{"family":"Ulbert","given":"I."},{"family":"Réthelyi","given":"J. M."}],"issued":{"date-parts":[["2023",4,23]]}}},{"id":6070,"uris":["http://zotero.org/users/8324431/items/2G9W69ZA"],"itemData":{"id":6070,"type":"article-journal","abstract":"We evaluated event-related potential (ERP) indices of reinforcement sensitivity as ADHD biomarkers by examining, in N=306 adolescents (Mage=15.78, SD=1.08), the extent to which ERP amplitude and latency variables measuring reward anticipation and response (1) differentiate, in age- and sex-matched subsamples, (i) youth with vs. without ADHD, (ii) youth at-risk for vs. not at-risk for ADHD, and, in the with ADHD subsample, (iii) youth with the inattentive vs. the hyperactive/impulsive (H/I) and combined presentations. We further examined the extent to which ERP variables (2) predict, in the ADHD subsample, substance use (i) concurrently and (ii) prospectively at 18-month follow-up. Linear support vector machine analyses indicated ERPs weakly differentiate youth with/without (65%) – and at-risk for/not at-risk for (63%) – ADHD but better differentiate ADHD presentations (78%). Regression analyses showed in adolescents with ADHD, ERPs explain a considerable proportion of variance (50%) in concurrent alcohol use and, controlling for concurrent marijuana and tobacco use, explain a considerable proportion of variance (87 and 87%) in, and predict later marijuana and tobacco use. Findings are consistent with the dual-pathway model of ADHD. Results also highlight limitations of a dichotomous, syndromic classification and indicate differences in neural reinforcement sensitivity are a promising ADHD prognostic biomarker.","container-title":"Psychiatry Research","DOI":"10.1016/j.psychres.2023.115139","ISSN":"0165-1781","journalAbbreviation":"Psychiatry Research","language":"en","page":"115139","source":"ScienceDirect","title":"Adolescent ADHD and electrophysiological reward responsiveness: A machine learning approach to evaluate classification accuracy and prognosis","title-short":"Adolescent ADHD and electrophysiological reward responsiveness","volume":"323","author":[{"family":"Hámori","given":"György"},{"family":"File","given":"Bálint"},{"family":"Fiáth","given":"Richárd"},{"family":"Pászthy","given":"Bea"},{"family":"Réthelyi","given":"János M."},{"family":"Ulbert","given":"István"},{"family":"Bunford","given":"Nóra"}],"issued":{"date-parts":[["2023",5,1]]}}}],"schema":"https://github.com/citation-style-language/schema/raw/master/csl-citation.json"} </w:instrText>
      </w:r>
      <w:r w:rsidRPr="00A45C25">
        <w:rPr>
          <w:rFonts w:ascii="Arial" w:eastAsia="Arial" w:hAnsi="Arial" w:cs="Arial"/>
          <w:sz w:val="20"/>
          <w:szCs w:val="20"/>
        </w:rPr>
        <w:fldChar w:fldCharType="separate"/>
      </w:r>
      <w:r w:rsidR="005E79C4" w:rsidRPr="005E79C4">
        <w:rPr>
          <w:rFonts w:ascii="Arial" w:hAnsi="Arial" w:cs="Arial"/>
          <w:sz w:val="20"/>
        </w:rPr>
        <w:t>[2, 3]</w:t>
      </w:r>
      <w:r w:rsidRPr="00A45C25">
        <w:rPr>
          <w:rFonts w:ascii="Arial" w:eastAsia="Arial" w:hAnsi="Arial" w:cs="Arial"/>
          <w:sz w:val="20"/>
          <w:szCs w:val="20"/>
        </w:rPr>
        <w:fldChar w:fldCharType="end"/>
      </w:r>
      <w:r w:rsidRPr="00A45C25">
        <w:rPr>
          <w:rFonts w:ascii="Arial" w:eastAsia="Arial" w:hAnsi="Arial" w:cs="Arial"/>
          <w:sz w:val="20"/>
          <w:szCs w:val="20"/>
        </w:rPr>
        <w:t xml:space="preserve"> have acceptable psychometric properties. In the current sample, the ARS-5 IA </w:t>
      </w:r>
      <w:r w:rsidRPr="00A45C25">
        <w:rPr>
          <w:rFonts w:ascii="Arial" w:eastAsia="Yu Gothic UI Semibold" w:hAnsi="Arial" w:cs="Arial"/>
          <w:sz w:val="20"/>
          <w:szCs w:val="20"/>
        </w:rPr>
        <w:t xml:space="preserve">(ω=.947) </w:t>
      </w:r>
      <w:r w:rsidRPr="00A45C25">
        <w:rPr>
          <w:rFonts w:ascii="Arial" w:eastAsia="Arial" w:hAnsi="Arial" w:cs="Arial"/>
          <w:sz w:val="20"/>
          <w:szCs w:val="20"/>
        </w:rPr>
        <w:t xml:space="preserve">and H/I </w:t>
      </w:r>
      <w:r w:rsidRPr="00A45C25">
        <w:rPr>
          <w:rFonts w:ascii="Arial" w:eastAsia="Yu Gothic UI Semibold" w:hAnsi="Arial" w:cs="Arial"/>
          <w:sz w:val="20"/>
          <w:szCs w:val="20"/>
        </w:rPr>
        <w:t xml:space="preserve">(ω=.921) </w:t>
      </w:r>
      <w:r w:rsidRPr="00A45C25">
        <w:rPr>
          <w:rFonts w:ascii="Arial" w:eastAsia="Arial" w:hAnsi="Arial" w:cs="Arial"/>
          <w:sz w:val="20"/>
          <w:szCs w:val="20"/>
        </w:rPr>
        <w:t xml:space="preserve">subscales as well as the Total score exhibited acceptable internal consistency </w:t>
      </w:r>
      <w:r w:rsidRPr="00A45C25">
        <w:rPr>
          <w:rFonts w:ascii="Arial" w:eastAsia="Yu Gothic UI Semibold" w:hAnsi="Arial" w:cs="Arial"/>
          <w:sz w:val="20"/>
          <w:szCs w:val="20"/>
        </w:rPr>
        <w:t xml:space="preserve">(ω=.963); subscales were used for </w:t>
      </w:r>
      <w:r w:rsidRPr="00A45C25">
        <w:rPr>
          <w:rFonts w:ascii="Arial" w:eastAsia="Arial" w:hAnsi="Arial" w:cs="Arial"/>
          <w:sz w:val="20"/>
          <w:szCs w:val="20"/>
        </w:rPr>
        <w:t xml:space="preserve">ADHD classification and subscales and Total were used in analyses. </w:t>
      </w:r>
    </w:p>
    <w:p w14:paraId="68A13C46" w14:textId="6284D1B8" w:rsidR="00DD68E2" w:rsidRPr="00A45C25" w:rsidRDefault="00DD68E2" w:rsidP="00DD68E2">
      <w:pPr>
        <w:spacing w:after="0" w:line="240" w:lineRule="auto"/>
        <w:ind w:firstLine="708"/>
        <w:jc w:val="both"/>
        <w:rPr>
          <w:rFonts w:ascii="Arial" w:eastAsia="Yu Gothic UI Semibold" w:hAnsi="Arial" w:cs="Arial"/>
          <w:sz w:val="20"/>
          <w:szCs w:val="20"/>
        </w:rPr>
      </w:pPr>
      <w:r w:rsidRPr="00A45C25">
        <w:rPr>
          <w:rFonts w:ascii="Arial" w:eastAsia="Yu Gothic UI Semibold" w:hAnsi="Arial" w:cs="Arial"/>
          <w:b/>
          <w:i/>
          <w:sz w:val="20"/>
          <w:szCs w:val="20"/>
        </w:rPr>
        <w:t>Inventory of Callous Unemotional Traits (ICU).</w:t>
      </w:r>
      <w:r w:rsidRPr="00A45C25">
        <w:rPr>
          <w:rFonts w:ascii="Arial" w:eastAsia="Yu Gothic UI Semibold" w:hAnsi="Arial" w:cs="Arial"/>
          <w:sz w:val="20"/>
          <w:szCs w:val="20"/>
        </w:rPr>
        <w:t xml:space="preserve"> The ICU (Frick, 2004) is a 24-item self-report measure of CU traits, comprised of three subscales, Callousness, Uncaring, and Unemotional. </w:t>
      </w:r>
      <w:r w:rsidRPr="00A45C25">
        <w:rPr>
          <w:rFonts w:ascii="Arial" w:eastAsia="Times New Roman" w:hAnsi="Arial" w:cs="Arial"/>
          <w:sz w:val="20"/>
          <w:szCs w:val="20"/>
        </w:rPr>
        <w:t xml:space="preserve">Respondents rate items on a </w:t>
      </w:r>
      <w:r w:rsidRPr="00A45C25">
        <w:rPr>
          <w:rFonts w:ascii="Arial" w:eastAsia="Yu Gothic UI Semibold" w:hAnsi="Arial" w:cs="Arial"/>
          <w:sz w:val="20"/>
          <w:szCs w:val="20"/>
        </w:rPr>
        <w:t>four-point scale ranging from 0 (not at all true) to 3 (</w:t>
      </w:r>
      <w:proofErr w:type="gramStart"/>
      <w:r w:rsidRPr="00A45C25">
        <w:rPr>
          <w:rFonts w:ascii="Arial" w:eastAsia="Yu Gothic UI Semibold" w:hAnsi="Arial" w:cs="Arial"/>
          <w:sz w:val="20"/>
          <w:szCs w:val="20"/>
        </w:rPr>
        <w:t>definitely true</w:t>
      </w:r>
      <w:proofErr w:type="gramEnd"/>
      <w:r w:rsidRPr="00A45C25">
        <w:rPr>
          <w:rFonts w:ascii="Arial" w:eastAsia="Yu Gothic UI Semibold" w:hAnsi="Arial" w:cs="Arial"/>
          <w:sz w:val="20"/>
          <w:szCs w:val="20"/>
        </w:rPr>
        <w:t>).</w:t>
      </w:r>
      <w:r w:rsidRPr="00A45C25">
        <w:rPr>
          <w:rFonts w:ascii="Arial" w:eastAsia="Times New Roman" w:hAnsi="Arial" w:cs="Arial"/>
          <w:sz w:val="20"/>
          <w:szCs w:val="20"/>
        </w:rPr>
        <w:t xml:space="preserve"> Higher scores indicate greater CU traits. Prior meta-analytic findings indicate both the original </w:t>
      </w:r>
      <w:r w:rsidRPr="00A45C25">
        <w:rPr>
          <w:rFonts w:ascii="Arial" w:eastAsia="Times New Roman" w:hAnsi="Arial" w:cs="Arial"/>
          <w:sz w:val="20"/>
          <w:szCs w:val="20"/>
        </w:rPr>
        <w:fldChar w:fldCharType="begin"/>
      </w:r>
      <w:r w:rsidR="005E79C4">
        <w:rPr>
          <w:rFonts w:ascii="Arial" w:eastAsia="Times New Roman" w:hAnsi="Arial" w:cs="Arial"/>
          <w:sz w:val="20"/>
          <w:szCs w:val="20"/>
        </w:rPr>
        <w:instrText xml:space="preserve"> ADDIN ZOTERO_ITEM CSL_CITATION {"citationID":"OUPdfJbX","properties":{"formattedCitation":"[4]","plainCitation":"[4]","noteIndex":0},"citationItems":[{"id":6659,"uris":["http://zotero.org/users/8324431/items/V6MZVDNL"],"itemData":{"id":6659,"type":"article-journal","abstract":"The Inventory of Callous-Unemotional Traits (ICU) is a widely used rating scale measure of callous-unemotional (CU) traits. Most studies have used a unit-weighted total score that sums all of the items into a composite, despite the consistent finding that items from this measure can be described using a bifactor model (1 general factor and 3 bifactors). We conducted a meta-analysis using the results of past published bifactor tests of the ICU, using indices to estimate the sources of variance in the total and subscale scores. We included studies in our review that tested and found adequate fit for the bifactor model of the ICU resulting in 12 published studies (M age = 9-26 from both community and justice-involved samples) using either the self-report (n = 9) or parent-report (n = 4) versions of the ICU scale (one published study conducted separate factor analyses for each version). We reported model-based reliability estimates that break down unit-weighted ICU scores into the variance due to individual differences in the general factor and the variance due to individual differences in the bifactors. The reliable variance in the unit-weighted total scale score of the ICU is largely determined by the general factor. Findings support the ICU total score as a measure of the general construct of CU traits, despite support for a bifactor model in multiple samples. Concerns about using the unit-weighted subscale scores from the ICU are raised since their reliable variance was strongly influenced by the general factor.","container-title":"Journal of Clinical Child and Adolescent Psychology: The Official Journal for the Society of Clinical Child and Adolescent Psychology, American Psychological Association, Division 53","DOI":"10.1080/15374416.2018.1504297","ISSN":"1537-4424","issue":"2","journalAbbreviation":"J Clin Child Adolesc Psychol","language":"eng","note":"PMID: 30142284","page":"190-199","source":"PubMed","title":"Assessing Callous-Unemotional Traits Using the Total Score from the Inventory of Callous-Unemotional Traits: A Meta-Analysis","title-short":"Assessing Callous-Unemotional Traits Using the Total Score from the Inventory of Callous-Unemotional Traits","volume":"49","author":[{"family":"Ray","given":"James V."},{"family":"Frick","given":"Paul J."}],"issued":{"date-parts":[["2020"]]}}}],"schema":"https://github.com/citation-style-language/schema/raw/master/csl-citation.json"} </w:instrText>
      </w:r>
      <w:r w:rsidRPr="00A45C25">
        <w:rPr>
          <w:rFonts w:ascii="Arial" w:eastAsia="Times New Roman" w:hAnsi="Arial" w:cs="Arial"/>
          <w:sz w:val="20"/>
          <w:szCs w:val="20"/>
        </w:rPr>
        <w:fldChar w:fldCharType="separate"/>
      </w:r>
      <w:r w:rsidR="005E79C4" w:rsidRPr="005E79C4">
        <w:rPr>
          <w:rFonts w:ascii="Arial" w:hAnsi="Arial" w:cs="Arial"/>
          <w:sz w:val="20"/>
        </w:rPr>
        <w:t>[4]</w:t>
      </w:r>
      <w:r w:rsidRPr="00A45C25">
        <w:rPr>
          <w:rFonts w:ascii="Arial" w:eastAsia="Times New Roman" w:hAnsi="Arial" w:cs="Arial"/>
          <w:sz w:val="20"/>
          <w:szCs w:val="20"/>
        </w:rPr>
        <w:fldChar w:fldCharType="end"/>
      </w:r>
      <w:r w:rsidRPr="00A45C25">
        <w:rPr>
          <w:rFonts w:ascii="Arial" w:eastAsia="Yu Gothic UI Semibold" w:hAnsi="Arial" w:cs="Arial"/>
          <w:sz w:val="20"/>
          <w:szCs w:val="20"/>
        </w:rPr>
        <w:t xml:space="preserve"> and the Hungarian translation </w:t>
      </w:r>
      <w:r w:rsidRPr="00A45C25">
        <w:rPr>
          <w:rFonts w:ascii="Arial" w:eastAsia="Yu Gothic UI Semibold" w:hAnsi="Arial" w:cs="Arial"/>
          <w:sz w:val="20"/>
          <w:szCs w:val="20"/>
        </w:rPr>
        <w:fldChar w:fldCharType="begin"/>
      </w:r>
      <w:r w:rsidR="005E79C4">
        <w:rPr>
          <w:rFonts w:ascii="Arial" w:eastAsia="Yu Gothic UI Semibold" w:hAnsi="Arial" w:cs="Arial"/>
          <w:sz w:val="20"/>
          <w:szCs w:val="20"/>
        </w:rPr>
        <w:instrText xml:space="preserve"> ADDIN ZOTERO_ITEM CSL_CITATION {"citationID":"Kjk9DRUQ","properties":{"formattedCitation":"[5]","plainCitation":"[5]","noteIndex":0},"citationItems":[{"id":6661,"uris":["http://zotero.org/users/8324431/items/FSYCD6DJ"],"itemData":{"id":6661,"type":"thesis","event-place":"Budapest, Hungary","language":"Magyar","publisher":"Eötvös Loránd Tudományegyetem, Pedagógiai és Pszichológiai Kar, Pszichológiai Doktori Iskola","publisher-place":"Budapest, Hungary","title":"A rideg-érzéketlen (CU) vonások összefüggései az érzelmi feldolgozással.","URL":"https://edit.elte.hu/xmlui/handle/10831/62541","author":[{"family":"Szabó","given":"E"}],"issued":{"date-parts":[["2019"]]}}}],"schema":"https://github.com/citation-style-language/schema/raw/master/csl-citation.json"} </w:instrText>
      </w:r>
      <w:r w:rsidRPr="00A45C25">
        <w:rPr>
          <w:rFonts w:ascii="Arial" w:eastAsia="Yu Gothic UI Semibold" w:hAnsi="Arial" w:cs="Arial"/>
          <w:sz w:val="20"/>
          <w:szCs w:val="20"/>
        </w:rPr>
        <w:fldChar w:fldCharType="separate"/>
      </w:r>
      <w:r w:rsidR="005E79C4" w:rsidRPr="005E79C4">
        <w:rPr>
          <w:rFonts w:ascii="Arial" w:hAnsi="Arial" w:cs="Arial"/>
          <w:sz w:val="20"/>
        </w:rPr>
        <w:t>[5]</w:t>
      </w:r>
      <w:r w:rsidRPr="00A45C25">
        <w:rPr>
          <w:rFonts w:ascii="Arial" w:eastAsia="Yu Gothic UI Semibold" w:hAnsi="Arial" w:cs="Arial"/>
          <w:sz w:val="20"/>
          <w:szCs w:val="20"/>
        </w:rPr>
        <w:fldChar w:fldCharType="end"/>
      </w:r>
      <w:r w:rsidRPr="00A45C25">
        <w:rPr>
          <w:rFonts w:ascii="Arial" w:eastAsia="Yu Gothic UI Semibold" w:hAnsi="Arial" w:cs="Arial"/>
          <w:sz w:val="20"/>
          <w:szCs w:val="20"/>
        </w:rPr>
        <w:t xml:space="preserve"> ICU </w:t>
      </w:r>
      <w:r w:rsidRPr="00A45C25">
        <w:rPr>
          <w:rFonts w:ascii="Arial" w:eastAsia="Times New Roman" w:hAnsi="Arial" w:cs="Arial"/>
          <w:sz w:val="20"/>
          <w:szCs w:val="20"/>
        </w:rPr>
        <w:t xml:space="preserve">subscales have acceptable psychometric properties. </w:t>
      </w:r>
      <w:r w:rsidRPr="00A45C25">
        <w:rPr>
          <w:rFonts w:ascii="Arial" w:eastAsia="Yu Gothic UI Semibold" w:hAnsi="Arial" w:cs="Arial"/>
          <w:sz w:val="20"/>
          <w:szCs w:val="20"/>
        </w:rPr>
        <w:t xml:space="preserve">In the current sample, the Callousness (ω=.697) and Uncaring (ω=.766) subscales exhibited acceptable internal consistency, however, as also indicated by meta-analytic findings </w:t>
      </w:r>
      <w:r w:rsidRPr="00A45C25">
        <w:rPr>
          <w:rFonts w:ascii="Arial" w:eastAsia="Yu Gothic UI Semibold" w:hAnsi="Arial" w:cs="Arial"/>
          <w:sz w:val="20"/>
          <w:szCs w:val="20"/>
        </w:rPr>
        <w:fldChar w:fldCharType="begin"/>
      </w:r>
      <w:r w:rsidR="005E79C4">
        <w:rPr>
          <w:rFonts w:ascii="Arial" w:eastAsia="Yu Gothic UI Semibold" w:hAnsi="Arial" w:cs="Arial"/>
          <w:sz w:val="20"/>
          <w:szCs w:val="20"/>
        </w:rPr>
        <w:instrText xml:space="preserve"> ADDIN ZOTERO_ITEM CSL_CITATION {"citationID":"A0C9Ic1K","properties":{"formattedCitation":"[6]","plainCitation":"[6]","noteIndex":0},"citationItems":[{"id":6657,"uris":["http://zotero.org/users/8324431/items/UQAE9SP3"],"itemData":{"id":6657,"type":"article-journal","abstract":"In the fifth edition of the Diagnostic and Statistical Manual of Mental Disorders, a Limited Prosocial Emotions specifier was added to the conduct disorder diagnostic criteria to designate a subgroup of children who exhibit callous unemotional (CU) traits. The Inventory of Callous Unemotional Traits (ICU) is the only dedicated measure of CU traits and was influential in the development of the Limited Prosocial Emotions specifier. Despite its role in the research and diagnosis of CU traits, some questions have persisted regarding the internal consistency and validity of the ICU and its three subscales: callous, uncaring, and unemotional. Results of a meta-analysis revealed acceptable internal consistency and external validity for total ICU, callous, and uncaring scores, but not unemotional scores. These results support the utility of the total ICU, callous, and uncaring scales, but indicate weaknesses in the scale or construct of unemotionality as it relates to interpersonal callousness, uncaring, and antisociality.","container-title":"Assessment","DOI":"10.1177/1073191117747392","ISSN":"1552-3489","issue":"1","journalAbbreviation":"Assessment","language":"eng","note":"PMID: 29239206","page":"57-71","source":"PubMed","title":"The Reliability and Validity of the Inventory of Callous Unemotional Traits: A Meta-Analytic Review","title-short":"The Reliability and Validity of the Inventory of Callous Unemotional Traits","volume":"27","author":[{"family":"Cardinale","given":"Elise M."},{"family":"Marsh","given":"Abigail A."}],"issued":{"date-parts":[["2020",1]]}}}],"schema":"https://github.com/citation-style-language/schema/raw/master/csl-citation.json"} </w:instrText>
      </w:r>
      <w:r w:rsidRPr="00A45C25">
        <w:rPr>
          <w:rFonts w:ascii="Arial" w:eastAsia="Yu Gothic UI Semibold" w:hAnsi="Arial" w:cs="Arial"/>
          <w:sz w:val="20"/>
          <w:szCs w:val="20"/>
        </w:rPr>
        <w:fldChar w:fldCharType="separate"/>
      </w:r>
      <w:r w:rsidR="005E79C4" w:rsidRPr="005E79C4">
        <w:rPr>
          <w:rFonts w:ascii="Arial" w:hAnsi="Arial" w:cs="Arial"/>
          <w:sz w:val="20"/>
        </w:rPr>
        <w:t>[6]</w:t>
      </w:r>
      <w:r w:rsidRPr="00A45C25">
        <w:rPr>
          <w:rFonts w:ascii="Arial" w:eastAsia="Yu Gothic UI Semibold" w:hAnsi="Arial" w:cs="Arial"/>
          <w:sz w:val="20"/>
          <w:szCs w:val="20"/>
        </w:rPr>
        <w:fldChar w:fldCharType="end"/>
      </w:r>
      <w:r w:rsidRPr="00A45C25">
        <w:rPr>
          <w:rFonts w:ascii="Arial" w:eastAsia="Yu Gothic UI Semibold" w:hAnsi="Arial" w:cs="Arial"/>
          <w:sz w:val="20"/>
          <w:szCs w:val="20"/>
        </w:rPr>
        <w:t xml:space="preserve">, the Unemotional subscale exhibited unacceptable internal consistency </w:t>
      </w:r>
      <w:bookmarkStart w:id="0" w:name="_Hlk156847306"/>
      <w:r w:rsidRPr="00A45C25">
        <w:rPr>
          <w:rFonts w:ascii="Arial" w:eastAsia="Yu Gothic UI Semibold" w:hAnsi="Arial" w:cs="Arial"/>
          <w:sz w:val="20"/>
          <w:szCs w:val="20"/>
        </w:rPr>
        <w:t>(ω=.583)</w:t>
      </w:r>
      <w:bookmarkEnd w:id="0"/>
      <w:r w:rsidRPr="00A45C25">
        <w:rPr>
          <w:rFonts w:ascii="Arial" w:eastAsia="Yu Gothic UI Semibold" w:hAnsi="Arial" w:cs="Arial"/>
          <w:sz w:val="20"/>
          <w:szCs w:val="20"/>
        </w:rPr>
        <w:t xml:space="preserve"> (Cardinale &amp; Marsh, 2020); Callousness and Uncaring subscales were used in analyses. </w:t>
      </w:r>
    </w:p>
    <w:p w14:paraId="0C922AD7" w14:textId="0FF7C7F7" w:rsidR="00DD68E2" w:rsidRPr="00A45C25" w:rsidRDefault="00DD68E2" w:rsidP="00DD68E2">
      <w:pPr>
        <w:spacing w:after="0" w:line="240" w:lineRule="auto"/>
        <w:ind w:firstLine="708"/>
        <w:jc w:val="both"/>
        <w:rPr>
          <w:rFonts w:ascii="Arial" w:eastAsia="Arial" w:hAnsi="Arial" w:cs="Arial"/>
          <w:sz w:val="20"/>
          <w:szCs w:val="20"/>
        </w:rPr>
      </w:pPr>
      <w:r w:rsidRPr="00A45C25">
        <w:rPr>
          <w:rFonts w:ascii="Arial" w:eastAsia="Yu Gothic UI Semibold" w:hAnsi="Arial" w:cs="Arial"/>
          <w:b/>
          <w:i/>
          <w:sz w:val="20"/>
          <w:szCs w:val="20"/>
        </w:rPr>
        <w:t xml:space="preserve">Disruptive </w:t>
      </w:r>
      <w:proofErr w:type="spellStart"/>
      <w:r w:rsidRPr="00A45C25">
        <w:rPr>
          <w:rFonts w:ascii="Arial" w:eastAsia="Yu Gothic UI Semibold" w:hAnsi="Arial" w:cs="Arial"/>
          <w:b/>
          <w:i/>
          <w:sz w:val="20"/>
          <w:szCs w:val="20"/>
        </w:rPr>
        <w:t>Behaviour</w:t>
      </w:r>
      <w:proofErr w:type="spellEnd"/>
      <w:r w:rsidRPr="00A45C25">
        <w:rPr>
          <w:rFonts w:ascii="Arial" w:eastAsia="Yu Gothic UI Semibold" w:hAnsi="Arial" w:cs="Arial"/>
          <w:b/>
          <w:i/>
          <w:sz w:val="20"/>
          <w:szCs w:val="20"/>
        </w:rPr>
        <w:t xml:space="preserve"> Disorders Rating Scale (DBD-RS)</w:t>
      </w:r>
      <w:r w:rsidRPr="00A45C25">
        <w:rPr>
          <w:rFonts w:ascii="Arial" w:eastAsia="Yu Gothic UI Semibold" w:hAnsi="Arial" w:cs="Arial"/>
          <w:b/>
          <w:sz w:val="20"/>
          <w:szCs w:val="20"/>
        </w:rPr>
        <w:t xml:space="preserve">. </w:t>
      </w:r>
      <w:r w:rsidRPr="00A45C25">
        <w:rPr>
          <w:rFonts w:ascii="Arial" w:eastAsia="Yu Gothic UI Semibold" w:hAnsi="Arial" w:cs="Arial"/>
          <w:sz w:val="20"/>
          <w:szCs w:val="20"/>
        </w:rPr>
        <w:t xml:space="preserve">The DBD-RS </w:t>
      </w:r>
      <w:r w:rsidRPr="00A45C25">
        <w:rPr>
          <w:rFonts w:ascii="Arial" w:eastAsia="Yu Gothic UI Semibold" w:hAnsi="Arial" w:cs="Arial"/>
          <w:sz w:val="20"/>
          <w:szCs w:val="20"/>
        </w:rPr>
        <w:fldChar w:fldCharType="begin" w:fldLock="1"/>
      </w:r>
      <w:r w:rsidR="005E79C4">
        <w:rPr>
          <w:rFonts w:ascii="Arial" w:eastAsia="Yu Gothic UI Semibold" w:hAnsi="Arial" w:cs="Arial"/>
          <w:sz w:val="20"/>
          <w:szCs w:val="20"/>
        </w:rPr>
        <w:instrText xml:space="preserve"> ADDIN ZOTERO_ITEM CSL_CITATION {"citationID":"9qXoX3rS","properties":{"formattedCitation":"[7]","plainCitation":"[7]","noteIndex":0},"citationItems":[{"id":"CHQSrCcG/DKazNR3J","uris":["http://www.mendeley.com/documents/?uuid=9b02ac48-5cfa-4f0f-a8a3-034e69d86926"],"itemData":{"DOI":"10.1023/A:1022658618368","ISSN":"00910627","PMID":"9700521","abstract":"Over the past 15 years, three distinct models have been used to characterize the factor structure of attention deficit hyperactivity disorder (ADHD). These models correspond to descriptions of the disorder as outlined in DSM-III, DSM-III-R, and now, DSM-IV. Specifically, in DSM-III, inattention, impulsivity, and hyperactivity were treated as three separate constructs. In DSM-III-R, ADHD was treated as a unitary construct. In DSM- IV, impulsivity and hyperactivity remain combined, but inattention is considered a separate construct. The present study examined and compared each of these models using confirmatory factor analyses. A final set of comparisons was conducted examining ADHD symptoms together with oppositional defiant disorder/conduct disorder (ODD/CD) symptoms. Although support for the three-factor ADHD model (DSM-III version) was obtained when the ADHD symptoms were examined in isolation, the two-factor model of ADHD (DSM-IV version) was supported when ADHD and ODD/CD symptoms were examined together as part of a comprehensive model of disruptive behavior disorders.","author":[{"dropping-particle":"","family":"Pillow","given":"D R","non-dropping-particle":"","parse-names":false,"suffix":""},{"dropping-particle":"","family":"Pelham","given":"W E","non-dropping-particle":"","parse-names":false,"suffix":""},{"dropping-particle":"","family":"Hoza","given":"B","non-dropping-particle":"","parse-names":false,"suffix":""},{"dropping-particle":"","family":"Molina","given":"B S G","non-dropping-particle":"","parse-names":false,"suffix":""},{"dropping-particle":"","family":"Stultz","given":"C H","non-dropping-particle":"","parse-names":false,"suffix":""}],"container-title":"Journal of Abnormal Child Psychology","id":"ITEM-1","issue":"4","issued":{"date-parts":[["1998"]]},"page":"293-309","title":"Confirmatory factor analyses examining attention deficit hyperactivity disorder symptoms and other childhood disruptive behaviors","type":"article-journal","volume":"26"}}],"schema":"https://github.com/citation-style-language/schema/raw/master/csl-citation.json"} </w:instrText>
      </w:r>
      <w:r w:rsidRPr="00A45C25">
        <w:rPr>
          <w:rFonts w:ascii="Arial" w:eastAsia="Yu Gothic UI Semibold" w:hAnsi="Arial" w:cs="Arial"/>
          <w:sz w:val="20"/>
          <w:szCs w:val="20"/>
        </w:rPr>
        <w:fldChar w:fldCharType="separate"/>
      </w:r>
      <w:r w:rsidR="005E79C4" w:rsidRPr="005E79C4">
        <w:rPr>
          <w:rFonts w:ascii="Arial" w:hAnsi="Arial" w:cs="Arial"/>
          <w:sz w:val="20"/>
        </w:rPr>
        <w:t>[7]</w:t>
      </w:r>
      <w:r w:rsidRPr="00A45C25">
        <w:rPr>
          <w:rFonts w:ascii="Arial" w:eastAsia="Yu Gothic UI Semibold" w:hAnsi="Arial" w:cs="Arial"/>
          <w:sz w:val="20"/>
          <w:szCs w:val="20"/>
        </w:rPr>
        <w:fldChar w:fldCharType="end"/>
      </w:r>
      <w:r w:rsidRPr="00A45C25">
        <w:rPr>
          <w:rFonts w:ascii="Arial" w:eastAsia="Yu Gothic UI Semibold" w:hAnsi="Arial" w:cs="Arial"/>
          <w:sz w:val="20"/>
          <w:szCs w:val="20"/>
        </w:rPr>
        <w:t xml:space="preserve"> is a 45-item parent- and teacher-report measure of the presence and severity of DSM-III-R ADHD symptoms (9 inattentive symptom items and 9 hyperactivity/impulsivity symptom items), ODD (8 items), and CD symptoms (15 items). Parents and teachers rate items on a four-point scale ranging 0 (not at all) to 3 (very much)</w:t>
      </w:r>
      <w:r w:rsidRPr="00A45C25">
        <w:rPr>
          <w:rFonts w:ascii="Arial" w:hAnsi="Arial" w:cs="Arial"/>
          <w:sz w:val="20"/>
          <w:szCs w:val="20"/>
        </w:rPr>
        <w:t xml:space="preserve">, with higher scores indicating more severe symptoms. In the current study, the parent-report form was </w:t>
      </w:r>
      <w:proofErr w:type="gramStart"/>
      <w:r w:rsidRPr="00A45C25">
        <w:rPr>
          <w:rFonts w:ascii="Arial" w:hAnsi="Arial" w:cs="Arial"/>
          <w:sz w:val="20"/>
          <w:szCs w:val="20"/>
        </w:rPr>
        <w:t>used</w:t>
      </w:r>
      <w:proofErr w:type="gramEnd"/>
      <w:r w:rsidRPr="00A45C25">
        <w:rPr>
          <w:rFonts w:ascii="Arial" w:hAnsi="Arial" w:cs="Arial"/>
          <w:sz w:val="20"/>
          <w:szCs w:val="20"/>
        </w:rPr>
        <w:t xml:space="preserve"> and the ODD and CD items were of interest. Because items reflect </w:t>
      </w:r>
      <w:r w:rsidRPr="00A45C25">
        <w:rPr>
          <w:rFonts w:ascii="Arial" w:eastAsia="Yu Gothic UI Semibold" w:hAnsi="Arial" w:cs="Arial"/>
          <w:sz w:val="20"/>
          <w:szCs w:val="20"/>
        </w:rPr>
        <w:t xml:space="preserve">DSM-III-R symptom wording, those were modified to match DSM-5 symptom wording </w:t>
      </w:r>
      <w:r w:rsidRPr="00A45C25">
        <w:rPr>
          <w:rFonts w:ascii="Arial" w:eastAsia="Yu Gothic UI Semibold" w:hAnsi="Arial" w:cs="Arial"/>
          <w:sz w:val="20"/>
          <w:szCs w:val="20"/>
        </w:rPr>
        <w:fldChar w:fldCharType="begin" w:fldLock="1"/>
      </w:r>
      <w:r w:rsidR="005E79C4">
        <w:rPr>
          <w:rFonts w:ascii="Arial" w:eastAsia="Yu Gothic UI Semibold" w:hAnsi="Arial" w:cs="Arial"/>
          <w:sz w:val="20"/>
          <w:szCs w:val="20"/>
        </w:rPr>
        <w:instrText xml:space="preserve"> ADDIN ZOTERO_ITEM CSL_CITATION {"citationID":"LcxCNfCy","properties":{"formattedCitation":"[8]","plainCitation":"[8]","noteIndex":0},"citationItems":[{"id":344,"uris":["http://www.mendeley.com/documents/?uuid=cc97cee6-3de4-4568-a81d-d0167ebddd99","http://www.mendeley.com/documents/?uuid=ec01f17a-1468-43c2-8d84-7943cb203845","http://zotero.org/users/8324431/items/3PYRUGZ4"],"itemData":{"id":344,"type":"article-journal","abstract":"Diagnostic and Statistical Manual of Mental Disorders 4th edition TR.","container-title":"Diagnostic and Statistical Manual of Mental Disorders 4th edition TR.","DOI":"10.1176/appi.books.9780890425596.744053","ISSN":"2317-1782","note":"PMID: 24413388\nISBN: 0890425558","page":"280","title":"Diagnostic and Statistical Manual of Mental Disorders, 5th Edition (DSM-5)","author":[{"literal":"American Psychiatric Association"}],"issued":{"date-parts":[["2013"]]}}}],"schema":"https://github.com/citation-style-language/schema/raw/master/csl-citation.json"} </w:instrText>
      </w:r>
      <w:r w:rsidRPr="00A45C25">
        <w:rPr>
          <w:rFonts w:ascii="Arial" w:eastAsia="Yu Gothic UI Semibold" w:hAnsi="Arial" w:cs="Arial"/>
          <w:sz w:val="20"/>
          <w:szCs w:val="20"/>
        </w:rPr>
        <w:fldChar w:fldCharType="separate"/>
      </w:r>
      <w:r w:rsidR="005E79C4" w:rsidRPr="005E79C4">
        <w:rPr>
          <w:rFonts w:ascii="Arial" w:hAnsi="Arial" w:cs="Arial"/>
          <w:sz w:val="20"/>
        </w:rPr>
        <w:t>[8]</w:t>
      </w:r>
      <w:r w:rsidRPr="00A45C25">
        <w:rPr>
          <w:rFonts w:ascii="Arial" w:eastAsia="Yu Gothic UI Semibold" w:hAnsi="Arial" w:cs="Arial"/>
          <w:sz w:val="20"/>
          <w:szCs w:val="20"/>
        </w:rPr>
        <w:fldChar w:fldCharType="end"/>
      </w:r>
      <w:r w:rsidRPr="00A45C25">
        <w:rPr>
          <w:rFonts w:ascii="Arial" w:eastAsia="Yu Gothic UI Semibold" w:hAnsi="Arial" w:cs="Arial"/>
          <w:sz w:val="20"/>
          <w:szCs w:val="20"/>
        </w:rPr>
        <w:t xml:space="preserve">. Prior findings indicate both the original (e.g., factor structure and internal consistency </w:t>
      </w:r>
      <w:r w:rsidRPr="00A45C25">
        <w:rPr>
          <w:rFonts w:ascii="Arial" w:eastAsia="Yu Gothic UI Semibold" w:hAnsi="Arial" w:cs="Arial"/>
          <w:sz w:val="20"/>
          <w:szCs w:val="20"/>
        </w:rPr>
        <w:fldChar w:fldCharType="begin" w:fldLock="1"/>
      </w:r>
      <w:r w:rsidR="005E79C4">
        <w:rPr>
          <w:rFonts w:ascii="Arial" w:eastAsia="Yu Gothic UI Semibold" w:hAnsi="Arial" w:cs="Arial"/>
          <w:sz w:val="20"/>
          <w:szCs w:val="20"/>
        </w:rPr>
        <w:instrText xml:space="preserve"> ADDIN ZOTERO_ITEM CSL_CITATION {"citationID":"RwpTv974","properties":{"formattedCitation":"[7, 9\\uc0\\u8211{}11]","plainCitation":"[7, 9–11]","noteIndex":0},"citationItems":[{"id":5482,"uris":["http://www.mendeley.com/documents/?uuid=4837471b-e171-4fab-a778-c9cbe75fa1e3","http://www.mendeley.com/documents/?uuid=b006b72f-d0b4-4739-a7df-9b17ad519b12","http://www.mendeley.com/documents/?uuid=4adc1597-ed7c-468a-8f12-b61d7a395389","http://zotero.org/users/8324431/items/79YZGLJR"],"itemData":{"id":5482,"type":"article-journal","container-title":"Journal of Attention Disorders","page":"11–28","title":"Conditional probabilities of disruptive behavior disorder symptoms predicting DSM-IV ADHD subtypes and ODD","volume":"7","author":[{"family":"Owens","given":"J S"},{"family":"Hoza","given":"B"}],"issued":{"date-parts":[["2003"]]}}},{"id":"CHQSrCcG/fs2OfW7d","uris":["http://www.mendeley.com/documents/?uuid=f05aae6c-1e88-4173-9ce9-ae38595a6a3a"],"itemData":{"DOI":"10.1177/0013164410378093","ISSN":"15523888","abstract":"The Disruptive Behavior Disorders (DBD) scale includes the Diagnostic and Statistical Manual of Mental Disorders (4th ed.) criteria for attention deficit hyperactivity disorder (ADHD), oppositional defiant disorder, and conduct disorder. This study examined only the ADHD items of the DBD scale. This scale is frequently used for assessing parent- and teacher-reported ADHD symptoms. Although some research on teacher report exists, little is known about the factor structure of parent-reported ADHD for this scale, particularly for early adolescents. Confirmatory factor analysis was used to assess the fit of a priori specified, theoretically based models of ADHD. Participants were 250 parents of early adolescents (M = 12 years, SD = 1.53), who completed the ADHD items of the DBD scale. A two-factor model of hyperactivity/ impulsivity and inattention provided the best fit to item responses, but localized areas of misfit were present. Alternate wording for a few items was proposed. Implications of the findings and directions for future research are discussed. © The Author(s) 2010.","author":[{"dropping-particle":"","family":"Eck","given":"Kathryn","non-dropping-particle":"van","parse-names":false,"suffix":""},{"dropping-particle":"","family":"Finney","given":"Sara J.","non-dropping-particle":"","parse-names":false,"suffix":""},{"dropping-particle":"","family":"Evans","given":"Steven W.","non-dropping-particle":"","parse-names":false,"suffix":""}],"container-title":"Educational and Psychological Measurement","id":"ITEM-2","issue":"1042-1059","issued":{"date-parts":[["2010"]]},"title":"Parent report of adhd symptoms of early adolescents: A confirmatory factor analysis of the disruptive behavior disorders scale","type":"article-journal","volume":"70"}},{"id":"CHQSrCcG/FkBFzxCz","uris":["http://www.mendeley.com/documents/?uuid=e3a1023f-adf7-45a0-99ab-a73f29467399"],"itemData":{"DOI":"10.1007/s10802-014-9902-9","ISSN":"00910627","PMID":"24943056","abstract":"We investigated whether symptoms of attention-deficit/hyperactivity disorder (ADHD) are pathways through which deficits in inhibition and working memory are associated with teacher- and parent-rated social impairment in children. Participants were 64 children (55 % males; 53 % with ADHD) in grades 3–6. Consistent with our hypotheses, the association between inhibition and social impairment was mediated by hyperactivity/impulsivity and the association between working memory and social impairment was mediated by inattention. Support was not obtained for alternative models wherein the association between inhibition and social impairment was mediated by inattention, and the association between working memory and social impairment was mediated by hyperactivity/impulsivity. Further, tests of hierarchical models suggest that neither inhibition nor working memory is primary but, rather, that these cognitive processes are related to one another and that they collectively (but not uniquely) contribute to hyperactivity/impulsivity and inattention. These findings have implications for conceptual models of ADHD, for understanding factors that influence and sustain social impairment among youth with symptoms of the disorder, and for interventions aimed to addressing such impairment.","author":[{"dropping-particle":"","family":"Bunford","given":"N","non-dropping-particle":"","parse-names":false,"suffix":""},{"dropping-particle":"","family":"Brandt","given":"Nicole Evangelista","non-dropping-particle":"","parse-names":false,"suffix":""},{"dropping-particle":"","family":"Golden","given":"Catherine","non-dropping-particle":"","parse-names":false,"suffix":""},{"dropping-particle":"","family":"Dykstra","given":"Jana B.","non-dropping-particle":"","parse-names":false,"suffix":""},{"dropping-particle":"","family":"Suhr","given":"Julie A.","non-dropping-particle":"","parse-names":false,"suffix":""},{"dropping-particle":"","family":"Owens","given":"Julie Sarno","non-dropping-particle":"","parse-names":false,"suffix":""}],"container-title":"Journal of Abnormal Child Psychology","id":"ITEM-3","issue":"1","issued":{"date-parts":[["2015"]]},"page":"133-147","title":"Attention-Deficit/Hyperactivity Disorder Symptoms Mediate the Association between Deficits in Executive Functioning and Social Impairment in Children","type":"article-journal","volume":"43"}},{"id":"CHQSrCcG/DKazNR3J","uris":["http://www.mendeley.com/documents/?uuid=9b02ac48-5cfa-4f0f-a8a3-034e69d86926"],"itemData":{"DOI":"10.1023/A:1022658618368","ISSN":"00910627","PMID":"9700521","abstract":"Over the past 15 years, three distinct models have been used to characterize the factor structure of attention deficit hyperactivity disorder (ADHD). These models correspond to descriptions of the disorder as outlined in DSM-III, DSM-III-R, and now, DSM-IV. Specifically, in DSM-III, inattention, impulsivity, and hyperactivity were treated as three separate constructs. In DSM-III-R, ADHD was treated as a unitary construct. In DSM- IV, impulsivity and hyperactivity remain combined, but inattention is considered a separate construct. The present study examined and compared each of these models using confirmatory factor analyses. A final set of comparisons was conducted examining ADHD symptoms together with oppositional defiant disorder/conduct disorder (ODD/CD) symptoms. Although support for the three-factor ADHD model (DSM-III version) was obtained when the ADHD symptoms were examined in isolation, the two-factor model of ADHD (DSM-IV version) was supported when ADHD and ODD/CD symptoms were examined together as part of a comprehensive model of disruptive behavior disorders.","author":[{"dropping-particle":"","family":"Pillow","given":"D R","non-dropping-particle":"","parse-names":false,"suffix":""},{"dropping-particle":"","family":"Pelham","given":"W E","non-dropping-particle":"","parse-names":false,"suffix":""},{"dropping-particle":"","family":"Hoza","given":"B","non-dropping-particle":"","parse-names":false,"suffix":""},{"dropping-particle":"","family":"Molina","given":"B S G","non-dropping-particle":"","parse-names":false,"suffix":""},{"dropping-particle":"","family":"Stultz","given":"C H","non-dropping-particle":"","parse-names":false,"suffix":""}],"container-title":"Journal of Abnormal Child Psychology","id":"ITEM-4","issue":"4","issued":{"date-parts":[["1998"]]},"page":"293-309","title":"Confirmatory factor analyses examining attention deficit hyperactivity disorder symptoms and other childhood disruptive behaviors","type":"article-journal","volume":"26"}}],"schema":"https://github.com/citation-style-language/schema/raw/master/csl-citation.json"} </w:instrText>
      </w:r>
      <w:r w:rsidRPr="00A45C25">
        <w:rPr>
          <w:rFonts w:ascii="Arial" w:eastAsia="Yu Gothic UI Semibold" w:hAnsi="Arial" w:cs="Arial"/>
          <w:sz w:val="20"/>
          <w:szCs w:val="20"/>
        </w:rPr>
        <w:fldChar w:fldCharType="separate"/>
      </w:r>
      <w:r w:rsidR="005E79C4" w:rsidRPr="005E79C4">
        <w:rPr>
          <w:rFonts w:ascii="Arial" w:hAnsi="Arial" w:cs="Arial"/>
          <w:sz w:val="20"/>
        </w:rPr>
        <w:t>[7, 9–11]</w:t>
      </w:r>
      <w:r w:rsidRPr="00A45C25">
        <w:rPr>
          <w:rFonts w:ascii="Arial" w:eastAsia="Yu Gothic UI Semibold" w:hAnsi="Arial" w:cs="Arial"/>
          <w:sz w:val="20"/>
          <w:szCs w:val="20"/>
        </w:rPr>
        <w:fldChar w:fldCharType="end"/>
      </w:r>
      <w:r w:rsidRPr="00A45C25">
        <w:rPr>
          <w:rFonts w:ascii="Arial" w:eastAsia="Yu Gothic UI Semibold" w:hAnsi="Arial" w:cs="Arial"/>
          <w:sz w:val="20"/>
          <w:szCs w:val="20"/>
        </w:rPr>
        <w:t xml:space="preserve"> and </w:t>
      </w:r>
      <w:r w:rsidRPr="00A45C25">
        <w:rPr>
          <w:rFonts w:ascii="Arial" w:eastAsia="Arial" w:hAnsi="Arial" w:cs="Arial"/>
          <w:sz w:val="20"/>
          <w:szCs w:val="20"/>
        </w:rPr>
        <w:t xml:space="preserve">the Hungarian translation (internal consistency) </w:t>
      </w:r>
      <w:r w:rsidRPr="00A45C25">
        <w:rPr>
          <w:rFonts w:ascii="Arial" w:eastAsia="Arial" w:hAnsi="Arial" w:cs="Arial"/>
          <w:sz w:val="20"/>
          <w:szCs w:val="20"/>
        </w:rPr>
        <w:fldChar w:fldCharType="begin"/>
      </w:r>
      <w:r w:rsidR="005E79C4">
        <w:rPr>
          <w:rFonts w:ascii="Arial" w:eastAsia="Arial" w:hAnsi="Arial" w:cs="Arial"/>
          <w:sz w:val="20"/>
          <w:szCs w:val="20"/>
        </w:rPr>
        <w:instrText xml:space="preserve"> ADDIN ZOTERO_ITEM CSL_CITATION {"citationID":"3KrSr8Ny","properties":{"formattedCitation":"[12]","plainCitation":"[12]","noteIndex":0},"citationItems":[{"id":6176,"uris":["http://zotero.org/users/8324431/items/62QNR6PZ"],"itemData":{"id":6176,"type":"article-journal","abstract":"Attention-deficit/hyperactivity disorder (ADHD) is a heterogeneous disorder. Data on the role of transdiagnostic, intermediate phenotypes in ADHD-relevant characteristics and outcomes are needed to advance conceptual understanding and approaches to precision psychiatry. Specifically, the extent to which the association between neural response to reward and ADHD-associated affective, externalizing, internalizing, and substance use problems differ depending on ADHD status is unknown. Aims were to examine, in 129 adolescents, whether concurrent and prospective associations of fMRI-measured initial response to reward attainment (relative to loss) with affectivity and externalizing, internalizing, and alcohol use problems differs between youth at-risk for (i.e., subclinical) (n = 50) and not at-risk for ADHD. Adolescents were, on average, 15.29 years old (SD = 1.00; 38% female), 50 were at-risk for (Mage = 15.18 years, SD = 1.04; 22% female) and 79 not at-risk for (Mage = 15.37 years, SD = 0.98; 48.1% female) ADHD. Both concurrent and prospective relations differed given ADHD risk: across analyses, in at-risk youth, greater superior frontal gyrus response was associated with lower concurrent depressive problems but in not at-risk youth, these characteristics were not related. Controlling for baseline use, in at-risk youth, greater putamen response was associated with greater 18-month hazardous alcohol use, whereas in not at-risk youth, greater putamen response was associated with lower use. Where in brain and for which outcomes modulate (direction of) observed relations: superior frontal gyrus response is relevant for depressive problems whereas putamen response is relevant for alcohol problems and greater neural responsivity is linked to less depressive but to more alcohol problems in adolescents at-risk for ADHD and less alcohol problems in adolescents not at-risk. Differences in neural response to reward differentially confer vulnerability for adolescent depressive and alcohol problems depending on ADHD risk.","container-title":"Journal of Youth and Adolescence","DOI":"10.1007/s10964-023-01794-7","ISSN":"1573-6601","journalAbbreviation":"J Youth Adolesc","language":"eng","note":"PMID: 37270465","source":"PubMed","title":"Concurrent and Prospective Associations of Reward Response with Affective and Alcohol Problems: ADHD-Related Differential Vulnerability","title-short":"Concurrent and Prospective Associations of Reward Response with Affective and Alcohol Problems","author":[{"family":"Rádosi","given":"Alexandra"},{"family":"Ágrez","given":"Kristóf"},{"family":"Pászthy","given":"Bea"},{"family":"Réthelyi","given":"János M."},{"family":"Ulbert","given":"István"},{"family":"Bunford","given":"Nóra"}],"issued":{"date-parts":[["2023",6,3]]}}}],"schema":"https://github.com/citation-style-language/schema/raw/master/csl-citation.json"} </w:instrText>
      </w:r>
      <w:r w:rsidRPr="00A45C25">
        <w:rPr>
          <w:rFonts w:ascii="Arial" w:eastAsia="Arial" w:hAnsi="Arial" w:cs="Arial"/>
          <w:sz w:val="20"/>
          <w:szCs w:val="20"/>
        </w:rPr>
        <w:fldChar w:fldCharType="separate"/>
      </w:r>
      <w:r w:rsidR="005E79C4" w:rsidRPr="005E79C4">
        <w:rPr>
          <w:rFonts w:ascii="Arial" w:hAnsi="Arial" w:cs="Arial"/>
          <w:sz w:val="20"/>
        </w:rPr>
        <w:t>[12]</w:t>
      </w:r>
      <w:r w:rsidRPr="00A45C25">
        <w:rPr>
          <w:rFonts w:ascii="Arial" w:eastAsia="Arial" w:hAnsi="Arial" w:cs="Arial"/>
          <w:sz w:val="20"/>
          <w:szCs w:val="20"/>
        </w:rPr>
        <w:fldChar w:fldCharType="end"/>
      </w:r>
      <w:r w:rsidRPr="00A45C25">
        <w:rPr>
          <w:rFonts w:ascii="Arial" w:eastAsia="Arial" w:hAnsi="Arial" w:cs="Arial"/>
          <w:sz w:val="20"/>
          <w:szCs w:val="20"/>
        </w:rPr>
        <w:t xml:space="preserve"> have acceptable psychometric properties. In the current sample, the ODD subscale exhibited acceptable internal consistency </w:t>
      </w:r>
      <w:r w:rsidRPr="00A45C25">
        <w:rPr>
          <w:rFonts w:ascii="Arial" w:eastAsia="Yu Gothic UI Semibold" w:hAnsi="Arial" w:cs="Arial"/>
          <w:sz w:val="20"/>
          <w:szCs w:val="20"/>
        </w:rPr>
        <w:t>(</w:t>
      </w:r>
      <w:bookmarkStart w:id="1" w:name="_Hlk156851660"/>
      <w:r w:rsidRPr="00A45C25">
        <w:rPr>
          <w:rFonts w:ascii="Arial" w:eastAsia="Yu Gothic UI Semibold" w:hAnsi="Arial" w:cs="Arial"/>
          <w:sz w:val="20"/>
          <w:szCs w:val="20"/>
        </w:rPr>
        <w:t>ω</w:t>
      </w:r>
      <w:bookmarkEnd w:id="1"/>
      <w:r w:rsidRPr="00A45C25">
        <w:rPr>
          <w:rFonts w:ascii="Arial" w:eastAsia="Yu Gothic UI Semibold" w:hAnsi="Arial" w:cs="Arial"/>
          <w:sz w:val="20"/>
          <w:szCs w:val="20"/>
        </w:rPr>
        <w:t xml:space="preserve">=.921) and was </w:t>
      </w:r>
      <w:r w:rsidRPr="00A45C25">
        <w:rPr>
          <w:rFonts w:ascii="Arial" w:eastAsia="Arial" w:hAnsi="Arial" w:cs="Arial"/>
          <w:sz w:val="20"/>
          <w:szCs w:val="20"/>
        </w:rPr>
        <w:t xml:space="preserve">used in analyses. </w:t>
      </w:r>
    </w:p>
    <w:p w14:paraId="60CBAD6F" w14:textId="77777777" w:rsidR="00DD68E2" w:rsidRPr="00A45C25" w:rsidRDefault="00DD68E2" w:rsidP="00DD68E2">
      <w:pPr>
        <w:widowControl w:val="0"/>
        <w:spacing w:after="0" w:line="240" w:lineRule="auto"/>
        <w:jc w:val="both"/>
        <w:rPr>
          <w:rFonts w:ascii="Arial" w:eastAsia="Times New Roman" w:hAnsi="Arial" w:cs="Arial"/>
          <w:b/>
          <w:sz w:val="20"/>
          <w:szCs w:val="20"/>
        </w:rPr>
      </w:pPr>
      <w:r w:rsidRPr="00A45C25">
        <w:rPr>
          <w:rFonts w:ascii="Arial" w:eastAsia="Times New Roman" w:hAnsi="Arial" w:cs="Arial"/>
          <w:b/>
          <w:sz w:val="20"/>
          <w:szCs w:val="20"/>
        </w:rPr>
        <w:t xml:space="preserve">Monetary Incentive Delay (MID) task </w:t>
      </w:r>
    </w:p>
    <w:p w14:paraId="00C95997" w14:textId="5AD6E8AE" w:rsidR="00DD68E2" w:rsidRPr="00A45C25" w:rsidRDefault="00DD68E2" w:rsidP="00DD68E2">
      <w:pPr>
        <w:spacing w:after="0" w:line="240" w:lineRule="auto"/>
        <w:jc w:val="both"/>
        <w:rPr>
          <w:rFonts w:ascii="Arial" w:hAnsi="Arial" w:cs="Arial"/>
          <w:sz w:val="20"/>
          <w:szCs w:val="20"/>
        </w:rPr>
      </w:pPr>
      <w:r w:rsidRPr="00A45C25">
        <w:rPr>
          <w:rFonts w:ascii="Arial" w:eastAsia="Times New Roman" w:hAnsi="Arial" w:cs="Arial"/>
          <w:sz w:val="20"/>
          <w:szCs w:val="20"/>
        </w:rPr>
        <w:t xml:space="preserve">The MID task </w:t>
      </w:r>
      <w:r w:rsidRPr="00A45C25">
        <w:rPr>
          <w:rFonts w:ascii="Arial" w:eastAsia="Times New Roman" w:hAnsi="Arial" w:cs="Arial"/>
          <w:sz w:val="20"/>
          <w:szCs w:val="20"/>
        </w:rPr>
        <w:fldChar w:fldCharType="begin" w:fldLock="1"/>
      </w:r>
      <w:r w:rsidR="005E79C4">
        <w:rPr>
          <w:rFonts w:ascii="Arial" w:eastAsia="Times New Roman" w:hAnsi="Arial" w:cs="Arial"/>
          <w:sz w:val="20"/>
          <w:szCs w:val="20"/>
        </w:rPr>
        <w:instrText xml:space="preserve"> ADDIN ZOTERO_ITEM CSL_CITATION {"citationID":"5JXtvWcT","properties":{"formattedCitation":"[13, 14]","plainCitation":"[13, 14]","noteIndex":0},"citationItems":[{"id":1805,"uris":["http://www.mendeley.com/documents/?uuid=5cab43e2-22b0-4004-b742-88c8ab703f47","http://zotero.org/users/8324431/items/QBSWQZ9V"],"itemData":{"id":1805,"type":"article-journal","abstract":"Reward processing involves both appetitive and consummatory phases. We sought to examine whether reward anticipation vs outcomes would recruit different regions of ventral forebrain circuitry using event-related fMRI. Nine healthy volunteers participated in a monetary incentive delays task in which they either responded to a cued target for monetary reward, responded to a cued target for no reward, or did not respond to a cued target during scanning. Multiple regression analyses indicated that while anticipation of reward vs non-reward activated foci in the ventral striatum, reward vs non-reward outcomes activated foci in the ventromedial frontal cortex. These findings suggest that reward anticipation and outcomes may differentially recruit distinct regions that lie along the trajectory of ascending dopamine projections. © 2001 Lippincott Williams &amp; Wilkins.","container-title":"NeuroReport","DOI":"10.1097/00001756-200112040-00016","issue":"17","page":"3683-3687","title":"Dissociation of reward anticipation and outcome with event-related fMRI","volume":"12","author":[{"family":"Knutson","given":"B"},{"family":"Fong","given":"G W"},{"family":"Adams","given":"C M"},{"family":"Varner","given":"J L"},{"family":"Hommer","given":"D"}],"issued":{"date-parts":[["2001"]]}}},{"id":1819,"uris":["http://www.mendeley.com/documents/?uuid=d17ca335-4555-4536-bab7-c4d0acf4995e","http://zotero.org/users/8324431/items/WRPCBQSA"],"itemData":{"id":1819,"type":"article-journal","abstract":"The function of the mesial prefrontal cortex (MPFC: including Brodman areas 10/12/32) remains an enigma. Current theories suggest a role in representing internal information, including emotional introspection, autonomic control, and a \"default state\" of semantic processing. Recent evidence also suggests that parts of this region may also play a role in processing reward outcomes. In this study, we investigated the possibility that a region of the MPFC would be preferentially recruited by monetary reward outcomes using a parametric monetary incentive delay (MID) task. Twelve healthy volunteers participated in functional magnetic resonance scans while playing the MID task. Group analyses indicated that while the ventral striatum was recruited by anticipation of monetary reward, a region of the MPFC instead responded to rewarding monetary outcomes. Specifically, volume-of-interest analyses indicated that when volunteers received $5.00 after anticipating a $5.00 win, MPFC activity increased, whereas when volunteers did not receive $5.00 after anticipating a $5.00 win, MPFC activity decreased, relative to outcomes with no incentive value. These findings suggest that in the context of processing monetary rewards, a region of the MPFC preferentially tracks rewarding outcomes. © 2003 Elsevier Science (USA). All rights reserved.","container-title":"NeuroImage","DOI":"10.1016/S1053-8119(02)00057-5","ISSN":"10538119","page":"263-272","title":"A region of mesial prefrontal cortex tracks monetarily rewarding outcomes: Characterization with rapid event-related fMRI","volume":"18","author":[{"family":"Knutson","given":"B"},{"family":"Fong","given":"G W"},{"family":"Bennett","given":"S M"},{"family":"Adams","given":"C M"},{"family":"Hommer","given":"D"}],"issued":{"date-parts":[["2003"]]}}}],"schema":"https://github.com/citation-style-language/schema/raw/master/csl-citation.json"} </w:instrText>
      </w:r>
      <w:r w:rsidRPr="00A45C25">
        <w:rPr>
          <w:rFonts w:ascii="Arial" w:eastAsia="Times New Roman" w:hAnsi="Arial" w:cs="Arial"/>
          <w:sz w:val="20"/>
          <w:szCs w:val="20"/>
        </w:rPr>
        <w:fldChar w:fldCharType="separate"/>
      </w:r>
      <w:r w:rsidR="005E79C4" w:rsidRPr="005E79C4">
        <w:rPr>
          <w:rFonts w:ascii="Arial" w:hAnsi="Arial" w:cs="Arial"/>
          <w:sz w:val="20"/>
        </w:rPr>
        <w:t>[13, 14]</w:t>
      </w:r>
      <w:r w:rsidRPr="00A45C25">
        <w:rPr>
          <w:rFonts w:ascii="Arial" w:eastAsia="Times New Roman" w:hAnsi="Arial" w:cs="Arial"/>
          <w:sz w:val="20"/>
          <w:szCs w:val="20"/>
        </w:rPr>
        <w:fldChar w:fldCharType="end"/>
      </w:r>
      <w:r w:rsidRPr="00A45C25">
        <w:rPr>
          <w:rFonts w:ascii="Arial" w:eastAsia="Times New Roman" w:hAnsi="Arial" w:cs="Arial"/>
          <w:sz w:val="20"/>
          <w:szCs w:val="20"/>
        </w:rPr>
        <w:t xml:space="preserve"> was used to probe reward anticipation and </w:t>
      </w:r>
      <w:r w:rsidRPr="00A45C25">
        <w:rPr>
          <w:rFonts w:ascii="Arial" w:hAnsi="Arial" w:cs="Arial"/>
          <w:sz w:val="20"/>
          <w:szCs w:val="20"/>
        </w:rPr>
        <w:t>initial responsiveness to reward attainment</w:t>
      </w:r>
      <w:r w:rsidRPr="00A45C25">
        <w:rPr>
          <w:rFonts w:ascii="Arial" w:eastAsia="Times New Roman" w:hAnsi="Arial" w:cs="Arial"/>
          <w:sz w:val="20"/>
          <w:szCs w:val="20"/>
        </w:rPr>
        <w:t xml:space="preserve">. A total of 240 trials were presented in five blocks of 12 trials/ condition. During the task, participants responded to a sequence of geometric shapes indicating money (1000 HUF) can be gained (e.g., crossed circle, i.e., a win condition), or loss of money can be avoided (e.g., crossed square, i.e., a loss condition), or that it is a neutral trial (e.g., empty circle or square, i.e., two neutral conditions, a neutral gain and a neutral loss condition), with no monetary consequence. </w:t>
      </w:r>
      <w:proofErr w:type="gramStart"/>
      <w:r w:rsidRPr="00A45C25">
        <w:rPr>
          <w:rFonts w:ascii="Arial" w:eastAsia="Times New Roman" w:hAnsi="Arial" w:cs="Arial"/>
          <w:sz w:val="20"/>
          <w:szCs w:val="20"/>
        </w:rPr>
        <w:t xml:space="preserve">Following each cue (2000 </w:t>
      </w:r>
      <w:proofErr w:type="spellStart"/>
      <w:r w:rsidRPr="00A45C25">
        <w:rPr>
          <w:rFonts w:ascii="Arial" w:eastAsia="Times New Roman" w:hAnsi="Arial" w:cs="Arial"/>
          <w:sz w:val="20"/>
          <w:szCs w:val="20"/>
        </w:rPr>
        <w:t>ms</w:t>
      </w:r>
      <w:proofErr w:type="spellEnd"/>
      <w:r w:rsidRPr="00A45C25">
        <w:rPr>
          <w:rFonts w:ascii="Arial" w:eastAsia="Times New Roman" w:hAnsi="Arial" w:cs="Arial"/>
          <w:sz w:val="20"/>
          <w:szCs w:val="20"/>
        </w:rPr>
        <w:t xml:space="preserve"> duration), there</w:t>
      </w:r>
      <w:proofErr w:type="gramEnd"/>
      <w:r w:rsidRPr="00A45C25">
        <w:rPr>
          <w:rFonts w:ascii="Arial" w:eastAsia="Times New Roman" w:hAnsi="Arial" w:cs="Arial"/>
          <w:sz w:val="20"/>
          <w:szCs w:val="20"/>
        </w:rPr>
        <w:t xml:space="preserve"> was an anticipatory phase (duration between 2000 and 2500 </w:t>
      </w:r>
      <w:proofErr w:type="spellStart"/>
      <w:r w:rsidRPr="00A45C25">
        <w:rPr>
          <w:rFonts w:ascii="Arial" w:eastAsia="Times New Roman" w:hAnsi="Arial" w:cs="Arial"/>
          <w:sz w:val="20"/>
          <w:szCs w:val="20"/>
        </w:rPr>
        <w:t>ms</w:t>
      </w:r>
      <w:proofErr w:type="spellEnd"/>
      <w:r w:rsidRPr="00A45C25">
        <w:rPr>
          <w:rFonts w:ascii="Arial" w:eastAsia="Times New Roman" w:hAnsi="Arial" w:cs="Arial"/>
          <w:sz w:val="20"/>
          <w:szCs w:val="20"/>
        </w:rPr>
        <w:t xml:space="preserve">). During the anticipatory phase, participants waited for and were briefly presented with a target stimulus that they had to quickly respond to with button press to gain or avoid losing money. Success or failure was indicated on the computer screen (2000 </w:t>
      </w:r>
      <w:proofErr w:type="spellStart"/>
      <w:r w:rsidRPr="00A45C25">
        <w:rPr>
          <w:rFonts w:ascii="Arial" w:eastAsia="Times New Roman" w:hAnsi="Arial" w:cs="Arial"/>
          <w:sz w:val="20"/>
          <w:szCs w:val="20"/>
        </w:rPr>
        <w:t>ms</w:t>
      </w:r>
      <w:proofErr w:type="spellEnd"/>
      <w:r w:rsidRPr="00A45C25">
        <w:rPr>
          <w:rFonts w:ascii="Arial" w:eastAsia="Times New Roman" w:hAnsi="Arial" w:cs="Arial"/>
          <w:sz w:val="20"/>
          <w:szCs w:val="20"/>
        </w:rPr>
        <w:t xml:space="preserve"> feedback duration), and so was the cumulative total money won. The duration of the intertrial interval was between 1000 and 2000 </w:t>
      </w:r>
      <w:proofErr w:type="spellStart"/>
      <w:r w:rsidRPr="00A45C25">
        <w:rPr>
          <w:rFonts w:ascii="Arial" w:eastAsia="Times New Roman" w:hAnsi="Arial" w:cs="Arial"/>
          <w:sz w:val="20"/>
          <w:szCs w:val="20"/>
        </w:rPr>
        <w:t>ms.</w:t>
      </w:r>
      <w:proofErr w:type="spellEnd"/>
      <w:r w:rsidRPr="00A45C25">
        <w:rPr>
          <w:rFonts w:ascii="Arial" w:eastAsia="Times New Roman" w:hAnsi="Arial" w:cs="Arial"/>
          <w:sz w:val="20"/>
          <w:szCs w:val="20"/>
        </w:rPr>
        <w:t xml:space="preserve"> The duration of the target stimulus was determined before the first block using a shorter training block. The target duration was set to a winning chance of 66%. Trials corresponding to different conditions were presented in a random order. For ERP variables used in the current study, see Analytic Plan. </w:t>
      </w:r>
      <w:r w:rsidRPr="00A45C25">
        <w:rPr>
          <w:rFonts w:ascii="Arial" w:eastAsia="Times New Roman" w:hAnsi="Arial" w:cs="Arial"/>
          <w:bCs/>
          <w:sz w:val="20"/>
          <w:szCs w:val="20"/>
        </w:rPr>
        <w:t>T</w:t>
      </w:r>
      <w:r w:rsidRPr="00A45C25">
        <w:rPr>
          <w:rFonts w:ascii="Arial" w:eastAsia="Calibri" w:hAnsi="Arial" w:cs="Arial"/>
          <w:sz w:val="20"/>
          <w:szCs w:val="20"/>
        </w:rPr>
        <w:t xml:space="preserve">o maximize effectiveness of the experimental manipulation, participants </w:t>
      </w:r>
      <w:r w:rsidRPr="00A45C25">
        <w:rPr>
          <w:rFonts w:ascii="Arial" w:hAnsi="Arial" w:cs="Arial"/>
          <w:sz w:val="20"/>
          <w:szCs w:val="20"/>
        </w:rPr>
        <w:t xml:space="preserve">were told that the virtual money they accumulated can be exchanged for snacks (candy, chips, etc.). </w:t>
      </w:r>
    </w:p>
    <w:p w14:paraId="54DCB320" w14:textId="77777777" w:rsidR="005E79C4" w:rsidRDefault="005E79C4">
      <w:pPr>
        <w:sectPr w:rsidR="005E79C4" w:rsidSect="003F46B6">
          <w:pgSz w:w="11906" w:h="16838"/>
          <w:pgMar w:top="1417" w:right="1417" w:bottom="1417" w:left="1417" w:header="708" w:footer="708" w:gutter="0"/>
          <w:cols w:space="708"/>
          <w:docGrid w:linePitch="360"/>
        </w:sectPr>
      </w:pPr>
    </w:p>
    <w:p w14:paraId="28D149FF" w14:textId="11698254" w:rsidR="00DD68E2" w:rsidRDefault="005E79C4" w:rsidP="005E79C4">
      <w:pPr>
        <w:spacing w:after="0"/>
        <w:jc w:val="both"/>
        <w:rPr>
          <w:b/>
          <w:bCs/>
        </w:rPr>
      </w:pPr>
      <w:r>
        <w:rPr>
          <w:b/>
          <w:bCs/>
        </w:rPr>
        <w:lastRenderedPageBreak/>
        <w:t>References</w:t>
      </w:r>
    </w:p>
    <w:p w14:paraId="55E3E94F" w14:textId="77777777" w:rsidR="005E79C4" w:rsidRPr="005E79C4" w:rsidRDefault="005E79C4" w:rsidP="005E79C4">
      <w:pPr>
        <w:pStyle w:val="Irodalomjegyzk"/>
        <w:spacing w:after="0"/>
        <w:jc w:val="both"/>
        <w:rPr>
          <w:rFonts w:ascii="Aptos" w:hAnsi="Aptos"/>
        </w:rPr>
      </w:pPr>
      <w:r>
        <w:rPr>
          <w:b/>
          <w:bCs/>
        </w:rPr>
        <w:fldChar w:fldCharType="begin"/>
      </w:r>
      <w:r>
        <w:rPr>
          <w:b/>
          <w:bCs/>
        </w:rPr>
        <w:instrText xml:space="preserve"> ADDIN ZOTERO_BIBL {"uncited":[],"omitted":[],"custom":[]} CSL_BIBLIOGRAPHY </w:instrText>
      </w:r>
      <w:r>
        <w:rPr>
          <w:b/>
          <w:bCs/>
        </w:rPr>
        <w:fldChar w:fldCharType="separate"/>
      </w:r>
      <w:r w:rsidRPr="005E79C4">
        <w:rPr>
          <w:rFonts w:ascii="Aptos" w:hAnsi="Aptos"/>
        </w:rPr>
        <w:t xml:space="preserve">1. </w:t>
      </w:r>
      <w:r w:rsidRPr="005E79C4">
        <w:rPr>
          <w:rFonts w:ascii="Aptos" w:hAnsi="Aptos"/>
        </w:rPr>
        <w:tab/>
        <w:t>DuPaul GJ, Power TJ, Anastopoulos AD, Reid R (2016) ADHD Rating Scale-5 for Children and Adolescents. The Guilford Press, New York - London</w:t>
      </w:r>
    </w:p>
    <w:p w14:paraId="237A50D2" w14:textId="77777777" w:rsidR="005E79C4" w:rsidRPr="005E79C4" w:rsidRDefault="005E79C4" w:rsidP="005E79C4">
      <w:pPr>
        <w:pStyle w:val="Irodalomjegyzk"/>
        <w:spacing w:after="0"/>
        <w:jc w:val="both"/>
        <w:rPr>
          <w:rFonts w:ascii="Aptos" w:hAnsi="Aptos"/>
        </w:rPr>
      </w:pPr>
      <w:r w:rsidRPr="005E79C4">
        <w:rPr>
          <w:rFonts w:ascii="Aptos" w:hAnsi="Aptos"/>
        </w:rPr>
        <w:t xml:space="preserve">2. </w:t>
      </w:r>
      <w:r w:rsidRPr="005E79C4">
        <w:rPr>
          <w:rFonts w:ascii="Aptos" w:hAnsi="Aptos"/>
        </w:rPr>
        <w:tab/>
        <w:t xml:space="preserve">Bunford N, Hámori G, Nemoda Z, et al (2023) The domain-variant indirect association between electrophysiological response to reward and ADHD presentations is moderated by dopaminergic polymorphisms. </w:t>
      </w:r>
      <w:proofErr w:type="spellStart"/>
      <w:r w:rsidRPr="005E79C4">
        <w:rPr>
          <w:rFonts w:ascii="Aptos" w:hAnsi="Aptos"/>
        </w:rPr>
        <w:t>Compr</w:t>
      </w:r>
      <w:proofErr w:type="spellEnd"/>
      <w:r w:rsidRPr="005E79C4">
        <w:rPr>
          <w:rFonts w:ascii="Aptos" w:hAnsi="Aptos"/>
        </w:rPr>
        <w:t xml:space="preserve"> Psychiatry 124:152389. https://doi.org/10.1016/j.comppsych.2023.152389</w:t>
      </w:r>
    </w:p>
    <w:p w14:paraId="267B48F4" w14:textId="77777777" w:rsidR="005E79C4" w:rsidRPr="005E79C4" w:rsidRDefault="005E79C4" w:rsidP="005E79C4">
      <w:pPr>
        <w:pStyle w:val="Irodalomjegyzk"/>
        <w:spacing w:after="0"/>
        <w:jc w:val="both"/>
        <w:rPr>
          <w:rFonts w:ascii="Aptos" w:hAnsi="Aptos"/>
        </w:rPr>
      </w:pPr>
      <w:r w:rsidRPr="005E79C4">
        <w:rPr>
          <w:rFonts w:ascii="Aptos" w:hAnsi="Aptos"/>
        </w:rPr>
        <w:t xml:space="preserve">3. </w:t>
      </w:r>
      <w:r w:rsidRPr="005E79C4">
        <w:rPr>
          <w:rFonts w:ascii="Aptos" w:hAnsi="Aptos"/>
        </w:rPr>
        <w:tab/>
        <w:t>Hámori G, File B, Fiáth R, et al (2023) Adolescent ADHD and electrophysiological reward responsiveness: A machine learning approach to evaluate classification accuracy and prognosis. Psychiatry Research 323:115139. https://doi.org/10.1016/j.psychres.2023.115139</w:t>
      </w:r>
    </w:p>
    <w:p w14:paraId="62AA891D" w14:textId="77777777" w:rsidR="005E79C4" w:rsidRPr="005E79C4" w:rsidRDefault="005E79C4" w:rsidP="005E79C4">
      <w:pPr>
        <w:pStyle w:val="Irodalomjegyzk"/>
        <w:spacing w:after="0"/>
        <w:jc w:val="both"/>
        <w:rPr>
          <w:rFonts w:ascii="Aptos" w:hAnsi="Aptos"/>
        </w:rPr>
      </w:pPr>
      <w:r w:rsidRPr="005E79C4">
        <w:rPr>
          <w:rFonts w:ascii="Aptos" w:hAnsi="Aptos"/>
        </w:rPr>
        <w:t xml:space="preserve">4. </w:t>
      </w:r>
      <w:r w:rsidRPr="005E79C4">
        <w:rPr>
          <w:rFonts w:ascii="Aptos" w:hAnsi="Aptos"/>
        </w:rPr>
        <w:tab/>
        <w:t xml:space="preserve">Ray JV, Frick PJ (2020) Assessing Callous-Unemotional Traits Using the Total Score from the Inventory of Callous-Unemotional Traits: A Meta-Analysis. J Clin Child </w:t>
      </w:r>
      <w:proofErr w:type="spellStart"/>
      <w:r w:rsidRPr="005E79C4">
        <w:rPr>
          <w:rFonts w:ascii="Aptos" w:hAnsi="Aptos"/>
        </w:rPr>
        <w:t>Adolesc</w:t>
      </w:r>
      <w:proofErr w:type="spellEnd"/>
      <w:r w:rsidRPr="005E79C4">
        <w:rPr>
          <w:rFonts w:ascii="Aptos" w:hAnsi="Aptos"/>
        </w:rPr>
        <w:t xml:space="preserve"> Psychol 49:190–199. https://doi.org/10.1080/15374416.2018.1504297</w:t>
      </w:r>
    </w:p>
    <w:p w14:paraId="435AFA85" w14:textId="77777777" w:rsidR="005E79C4" w:rsidRPr="005E79C4" w:rsidRDefault="005E79C4" w:rsidP="005E79C4">
      <w:pPr>
        <w:pStyle w:val="Irodalomjegyzk"/>
        <w:spacing w:after="0"/>
        <w:jc w:val="both"/>
        <w:rPr>
          <w:rFonts w:ascii="Aptos" w:hAnsi="Aptos"/>
        </w:rPr>
      </w:pPr>
      <w:r w:rsidRPr="005E79C4">
        <w:rPr>
          <w:rFonts w:ascii="Aptos" w:hAnsi="Aptos"/>
        </w:rPr>
        <w:t xml:space="preserve">5. </w:t>
      </w:r>
      <w:r w:rsidRPr="005E79C4">
        <w:rPr>
          <w:rFonts w:ascii="Aptos" w:hAnsi="Aptos"/>
        </w:rPr>
        <w:tab/>
        <w:t xml:space="preserve">Szabó E (2019) A </w:t>
      </w:r>
      <w:proofErr w:type="spellStart"/>
      <w:r w:rsidRPr="005E79C4">
        <w:rPr>
          <w:rFonts w:ascii="Aptos" w:hAnsi="Aptos"/>
        </w:rPr>
        <w:t>rideg-érzéketlen</w:t>
      </w:r>
      <w:proofErr w:type="spellEnd"/>
      <w:r w:rsidRPr="005E79C4">
        <w:rPr>
          <w:rFonts w:ascii="Aptos" w:hAnsi="Aptos"/>
        </w:rPr>
        <w:t xml:space="preserve"> (CU) </w:t>
      </w:r>
      <w:proofErr w:type="spellStart"/>
      <w:r w:rsidRPr="005E79C4">
        <w:rPr>
          <w:rFonts w:ascii="Aptos" w:hAnsi="Aptos"/>
        </w:rPr>
        <w:t>vonások</w:t>
      </w:r>
      <w:proofErr w:type="spellEnd"/>
      <w:r w:rsidRPr="005E79C4">
        <w:rPr>
          <w:rFonts w:ascii="Aptos" w:hAnsi="Aptos"/>
        </w:rPr>
        <w:t xml:space="preserve"> </w:t>
      </w:r>
      <w:proofErr w:type="spellStart"/>
      <w:r w:rsidRPr="005E79C4">
        <w:rPr>
          <w:rFonts w:ascii="Aptos" w:hAnsi="Aptos"/>
        </w:rPr>
        <w:t>összefüggései</w:t>
      </w:r>
      <w:proofErr w:type="spellEnd"/>
      <w:r w:rsidRPr="005E79C4">
        <w:rPr>
          <w:rFonts w:ascii="Aptos" w:hAnsi="Aptos"/>
        </w:rPr>
        <w:t xml:space="preserve"> </w:t>
      </w:r>
      <w:proofErr w:type="spellStart"/>
      <w:r w:rsidRPr="005E79C4">
        <w:rPr>
          <w:rFonts w:ascii="Aptos" w:hAnsi="Aptos"/>
        </w:rPr>
        <w:t>az</w:t>
      </w:r>
      <w:proofErr w:type="spellEnd"/>
      <w:r w:rsidRPr="005E79C4">
        <w:rPr>
          <w:rFonts w:ascii="Aptos" w:hAnsi="Aptos"/>
        </w:rPr>
        <w:t xml:space="preserve"> </w:t>
      </w:r>
      <w:proofErr w:type="spellStart"/>
      <w:r w:rsidRPr="005E79C4">
        <w:rPr>
          <w:rFonts w:ascii="Aptos" w:hAnsi="Aptos"/>
        </w:rPr>
        <w:t>érzelmi</w:t>
      </w:r>
      <w:proofErr w:type="spellEnd"/>
      <w:r w:rsidRPr="005E79C4">
        <w:rPr>
          <w:rFonts w:ascii="Aptos" w:hAnsi="Aptos"/>
        </w:rPr>
        <w:t xml:space="preserve"> </w:t>
      </w:r>
      <w:proofErr w:type="spellStart"/>
      <w:r w:rsidRPr="005E79C4">
        <w:rPr>
          <w:rFonts w:ascii="Aptos" w:hAnsi="Aptos"/>
        </w:rPr>
        <w:t>feldolgozással</w:t>
      </w:r>
      <w:proofErr w:type="spellEnd"/>
      <w:r w:rsidRPr="005E79C4">
        <w:rPr>
          <w:rFonts w:ascii="Aptos" w:hAnsi="Aptos"/>
        </w:rPr>
        <w:t xml:space="preserve">. Eötvös Loránd </w:t>
      </w:r>
      <w:proofErr w:type="spellStart"/>
      <w:r w:rsidRPr="005E79C4">
        <w:rPr>
          <w:rFonts w:ascii="Aptos" w:hAnsi="Aptos"/>
        </w:rPr>
        <w:t>Tudományegyetem</w:t>
      </w:r>
      <w:proofErr w:type="spellEnd"/>
      <w:r w:rsidRPr="005E79C4">
        <w:rPr>
          <w:rFonts w:ascii="Aptos" w:hAnsi="Aptos"/>
        </w:rPr>
        <w:t xml:space="preserve">, </w:t>
      </w:r>
      <w:proofErr w:type="spellStart"/>
      <w:r w:rsidRPr="005E79C4">
        <w:rPr>
          <w:rFonts w:ascii="Aptos" w:hAnsi="Aptos"/>
        </w:rPr>
        <w:t>Pedagógiai</w:t>
      </w:r>
      <w:proofErr w:type="spellEnd"/>
      <w:r w:rsidRPr="005E79C4">
        <w:rPr>
          <w:rFonts w:ascii="Aptos" w:hAnsi="Aptos"/>
        </w:rPr>
        <w:t xml:space="preserve"> </w:t>
      </w:r>
      <w:proofErr w:type="spellStart"/>
      <w:r w:rsidRPr="005E79C4">
        <w:rPr>
          <w:rFonts w:ascii="Aptos" w:hAnsi="Aptos"/>
        </w:rPr>
        <w:t>és</w:t>
      </w:r>
      <w:proofErr w:type="spellEnd"/>
      <w:r w:rsidRPr="005E79C4">
        <w:rPr>
          <w:rFonts w:ascii="Aptos" w:hAnsi="Aptos"/>
        </w:rPr>
        <w:t xml:space="preserve"> Pszichológiai Kar, Pszichológiai Doktori Iskola</w:t>
      </w:r>
    </w:p>
    <w:p w14:paraId="1449AA1E" w14:textId="77777777" w:rsidR="005E79C4" w:rsidRPr="005E79C4" w:rsidRDefault="005E79C4" w:rsidP="005E79C4">
      <w:pPr>
        <w:pStyle w:val="Irodalomjegyzk"/>
        <w:spacing w:after="0"/>
        <w:jc w:val="both"/>
        <w:rPr>
          <w:rFonts w:ascii="Aptos" w:hAnsi="Aptos"/>
        </w:rPr>
      </w:pPr>
      <w:r w:rsidRPr="005E79C4">
        <w:rPr>
          <w:rFonts w:ascii="Aptos" w:hAnsi="Aptos"/>
        </w:rPr>
        <w:t xml:space="preserve">6. </w:t>
      </w:r>
      <w:r w:rsidRPr="005E79C4">
        <w:rPr>
          <w:rFonts w:ascii="Aptos" w:hAnsi="Aptos"/>
        </w:rPr>
        <w:tab/>
        <w:t>Cardinale EM, Marsh AA (2020) The Reliability and Validity of the Inventory of Callous Unemotional Traits: A Meta-Analytic Review. Assessment 27:57–71. https://doi.org/10.1177/1073191117747392</w:t>
      </w:r>
    </w:p>
    <w:p w14:paraId="691006A8" w14:textId="77777777" w:rsidR="005E79C4" w:rsidRPr="005E79C4" w:rsidRDefault="005E79C4" w:rsidP="005E79C4">
      <w:pPr>
        <w:pStyle w:val="Irodalomjegyzk"/>
        <w:spacing w:after="0"/>
        <w:jc w:val="both"/>
        <w:rPr>
          <w:rFonts w:ascii="Aptos" w:hAnsi="Aptos"/>
        </w:rPr>
      </w:pPr>
      <w:r w:rsidRPr="005E79C4">
        <w:rPr>
          <w:rFonts w:ascii="Aptos" w:hAnsi="Aptos"/>
        </w:rPr>
        <w:t xml:space="preserve">7. </w:t>
      </w:r>
      <w:r w:rsidRPr="005E79C4">
        <w:rPr>
          <w:rFonts w:ascii="Aptos" w:hAnsi="Aptos"/>
        </w:rPr>
        <w:tab/>
        <w:t>Pillow DR, Pelham WE, Hoza B, et al (1998) Confirmatory factor analyses examining attention deficit hyperactivity disorder symptoms and other childhood disruptive behaviors. Journal of Abnormal Child Psychology 26:293–309. https://doi.org/10.1023/A:1022658618368</w:t>
      </w:r>
    </w:p>
    <w:p w14:paraId="26DC38FE" w14:textId="77777777" w:rsidR="005E79C4" w:rsidRPr="005E79C4" w:rsidRDefault="005E79C4" w:rsidP="005E79C4">
      <w:pPr>
        <w:pStyle w:val="Irodalomjegyzk"/>
        <w:spacing w:after="0"/>
        <w:jc w:val="both"/>
        <w:rPr>
          <w:rFonts w:ascii="Aptos" w:hAnsi="Aptos"/>
        </w:rPr>
      </w:pPr>
      <w:r w:rsidRPr="005E79C4">
        <w:rPr>
          <w:rFonts w:ascii="Aptos" w:hAnsi="Aptos"/>
        </w:rPr>
        <w:t xml:space="preserve">8. </w:t>
      </w:r>
      <w:r w:rsidRPr="005E79C4">
        <w:rPr>
          <w:rFonts w:ascii="Aptos" w:hAnsi="Aptos"/>
        </w:rPr>
        <w:tab/>
        <w:t>American Psychiatric Association (2013) Diagnostic and Statistical Manual of Mental Disorders, 5th Edition (DSM-5). Diagnostic and Statistical Manual of Mental Disorders 4th edition TR 280. https://doi.org/10.1176/appi.books.9780890425596.744053</w:t>
      </w:r>
    </w:p>
    <w:p w14:paraId="69833992" w14:textId="77777777" w:rsidR="005E79C4" w:rsidRPr="005E79C4" w:rsidRDefault="005E79C4" w:rsidP="005E79C4">
      <w:pPr>
        <w:pStyle w:val="Irodalomjegyzk"/>
        <w:spacing w:after="0"/>
        <w:jc w:val="both"/>
        <w:rPr>
          <w:rFonts w:ascii="Aptos" w:hAnsi="Aptos"/>
        </w:rPr>
      </w:pPr>
      <w:r w:rsidRPr="005E79C4">
        <w:rPr>
          <w:rFonts w:ascii="Aptos" w:hAnsi="Aptos"/>
        </w:rPr>
        <w:t xml:space="preserve">9. </w:t>
      </w:r>
      <w:r w:rsidRPr="005E79C4">
        <w:rPr>
          <w:rFonts w:ascii="Aptos" w:hAnsi="Aptos"/>
        </w:rPr>
        <w:tab/>
        <w:t>Owens JS, Hoza B (2003) Conditional probabilities of disruptive behavior disorder symptoms predicting DSM-IV ADHD subtypes and ODD. Journal of Attention Disorders 7:11–28</w:t>
      </w:r>
    </w:p>
    <w:p w14:paraId="6A4472F3" w14:textId="77777777" w:rsidR="005E79C4" w:rsidRPr="005E79C4" w:rsidRDefault="005E79C4" w:rsidP="005E79C4">
      <w:pPr>
        <w:pStyle w:val="Irodalomjegyzk"/>
        <w:spacing w:after="0"/>
        <w:jc w:val="both"/>
        <w:rPr>
          <w:rFonts w:ascii="Aptos" w:hAnsi="Aptos"/>
        </w:rPr>
      </w:pPr>
      <w:r w:rsidRPr="005E79C4">
        <w:rPr>
          <w:rFonts w:ascii="Aptos" w:hAnsi="Aptos"/>
        </w:rPr>
        <w:t xml:space="preserve">10. </w:t>
      </w:r>
      <w:r w:rsidRPr="005E79C4">
        <w:rPr>
          <w:rFonts w:ascii="Aptos" w:hAnsi="Aptos"/>
        </w:rPr>
        <w:tab/>
        <w:t xml:space="preserve">van Eck K, Finney SJ, Evans SW (2010) Parent report of </w:t>
      </w:r>
      <w:proofErr w:type="spellStart"/>
      <w:r w:rsidRPr="005E79C4">
        <w:rPr>
          <w:rFonts w:ascii="Aptos" w:hAnsi="Aptos"/>
        </w:rPr>
        <w:t>adhd</w:t>
      </w:r>
      <w:proofErr w:type="spellEnd"/>
      <w:r w:rsidRPr="005E79C4">
        <w:rPr>
          <w:rFonts w:ascii="Aptos" w:hAnsi="Aptos"/>
        </w:rPr>
        <w:t xml:space="preserve"> symptoms of early adolescents: A confirmatory factor analysis of the disruptive behavior disorders scale. Educational and Psychological Measurement </w:t>
      </w:r>
      <w:proofErr w:type="gramStart"/>
      <w:r w:rsidRPr="005E79C4">
        <w:rPr>
          <w:rFonts w:ascii="Aptos" w:hAnsi="Aptos"/>
        </w:rPr>
        <w:t>70:.</w:t>
      </w:r>
      <w:proofErr w:type="gramEnd"/>
      <w:r w:rsidRPr="005E79C4">
        <w:rPr>
          <w:rFonts w:ascii="Aptos" w:hAnsi="Aptos"/>
        </w:rPr>
        <w:t xml:space="preserve"> https://doi.org/10.1177/0013164410378093</w:t>
      </w:r>
    </w:p>
    <w:p w14:paraId="5EFAB71B" w14:textId="77777777" w:rsidR="005E79C4" w:rsidRPr="005E79C4" w:rsidRDefault="005E79C4" w:rsidP="005E79C4">
      <w:pPr>
        <w:pStyle w:val="Irodalomjegyzk"/>
        <w:spacing w:after="0"/>
        <w:jc w:val="both"/>
        <w:rPr>
          <w:rFonts w:ascii="Aptos" w:hAnsi="Aptos"/>
        </w:rPr>
      </w:pPr>
      <w:r w:rsidRPr="005E79C4">
        <w:rPr>
          <w:rFonts w:ascii="Aptos" w:hAnsi="Aptos"/>
        </w:rPr>
        <w:t xml:space="preserve">11. </w:t>
      </w:r>
      <w:r w:rsidRPr="005E79C4">
        <w:rPr>
          <w:rFonts w:ascii="Aptos" w:hAnsi="Aptos"/>
        </w:rPr>
        <w:tab/>
        <w:t>Bunford N, Brandt NE, Golden C, et al (2015) Attention-Deficit/Hyperactivity Disorder Symptoms Mediate the Association between Deficits in Executive Functioning and Social Impairment in Children. Journal of Abnormal Child Psychology 43:133–147. https://doi.org/10.1007/s10802-014-9902-9</w:t>
      </w:r>
    </w:p>
    <w:p w14:paraId="534F770D" w14:textId="77777777" w:rsidR="005E79C4" w:rsidRPr="005E79C4" w:rsidRDefault="005E79C4" w:rsidP="005E79C4">
      <w:pPr>
        <w:pStyle w:val="Irodalomjegyzk"/>
        <w:spacing w:after="0"/>
        <w:jc w:val="both"/>
        <w:rPr>
          <w:rFonts w:ascii="Aptos" w:hAnsi="Aptos"/>
        </w:rPr>
      </w:pPr>
      <w:r w:rsidRPr="005E79C4">
        <w:rPr>
          <w:rFonts w:ascii="Aptos" w:hAnsi="Aptos"/>
        </w:rPr>
        <w:t xml:space="preserve">12. </w:t>
      </w:r>
      <w:r w:rsidRPr="005E79C4">
        <w:rPr>
          <w:rFonts w:ascii="Aptos" w:hAnsi="Aptos"/>
        </w:rPr>
        <w:tab/>
        <w:t xml:space="preserve">Rádosi A, </w:t>
      </w:r>
      <w:proofErr w:type="spellStart"/>
      <w:r w:rsidRPr="005E79C4">
        <w:rPr>
          <w:rFonts w:ascii="Aptos" w:hAnsi="Aptos"/>
        </w:rPr>
        <w:t>Ágrez</w:t>
      </w:r>
      <w:proofErr w:type="spellEnd"/>
      <w:r w:rsidRPr="005E79C4">
        <w:rPr>
          <w:rFonts w:ascii="Aptos" w:hAnsi="Aptos"/>
        </w:rPr>
        <w:t xml:space="preserve"> K, Pászthy B, et al (2023) Concurrent and Prospective Associations of Reward Response with Affective and Alcohol Problems: ADHD-Related Differential Vulnerability. J Youth </w:t>
      </w:r>
      <w:proofErr w:type="spellStart"/>
      <w:r w:rsidRPr="005E79C4">
        <w:rPr>
          <w:rFonts w:ascii="Aptos" w:hAnsi="Aptos"/>
        </w:rPr>
        <w:t>Adolesc</w:t>
      </w:r>
      <w:proofErr w:type="spellEnd"/>
      <w:r w:rsidRPr="005E79C4">
        <w:rPr>
          <w:rFonts w:ascii="Aptos" w:hAnsi="Aptos"/>
        </w:rPr>
        <w:t>. https://doi.org/10.1007/s10964-023-01794-7</w:t>
      </w:r>
    </w:p>
    <w:p w14:paraId="2A970B4F" w14:textId="77777777" w:rsidR="005E79C4" w:rsidRPr="005E79C4" w:rsidRDefault="005E79C4" w:rsidP="005E79C4">
      <w:pPr>
        <w:pStyle w:val="Irodalomjegyzk"/>
        <w:spacing w:after="0"/>
        <w:jc w:val="both"/>
        <w:rPr>
          <w:rFonts w:ascii="Aptos" w:hAnsi="Aptos"/>
        </w:rPr>
      </w:pPr>
      <w:r w:rsidRPr="005E79C4">
        <w:rPr>
          <w:rFonts w:ascii="Aptos" w:hAnsi="Aptos"/>
        </w:rPr>
        <w:t xml:space="preserve">13. </w:t>
      </w:r>
      <w:r w:rsidRPr="005E79C4">
        <w:rPr>
          <w:rFonts w:ascii="Aptos" w:hAnsi="Aptos"/>
        </w:rPr>
        <w:tab/>
        <w:t xml:space="preserve">Knutson B, Fong GW, Adams CM, et al (2001) Dissociation of reward anticipation and outcome with event-related fMRI. </w:t>
      </w:r>
      <w:proofErr w:type="spellStart"/>
      <w:r w:rsidRPr="005E79C4">
        <w:rPr>
          <w:rFonts w:ascii="Aptos" w:hAnsi="Aptos"/>
        </w:rPr>
        <w:t>NeuroReport</w:t>
      </w:r>
      <w:proofErr w:type="spellEnd"/>
      <w:r w:rsidRPr="005E79C4">
        <w:rPr>
          <w:rFonts w:ascii="Aptos" w:hAnsi="Aptos"/>
        </w:rPr>
        <w:t xml:space="preserve"> 12:3683–3687. https://doi.org/10.1097/00001756-200112040-00016</w:t>
      </w:r>
    </w:p>
    <w:p w14:paraId="7F99AA84" w14:textId="77777777" w:rsidR="005E79C4" w:rsidRPr="005E79C4" w:rsidRDefault="005E79C4" w:rsidP="005E79C4">
      <w:pPr>
        <w:pStyle w:val="Irodalomjegyzk"/>
        <w:spacing w:after="0"/>
        <w:jc w:val="both"/>
        <w:rPr>
          <w:rFonts w:ascii="Aptos" w:hAnsi="Aptos"/>
        </w:rPr>
      </w:pPr>
      <w:r w:rsidRPr="005E79C4">
        <w:rPr>
          <w:rFonts w:ascii="Aptos" w:hAnsi="Aptos"/>
        </w:rPr>
        <w:t xml:space="preserve">14. </w:t>
      </w:r>
      <w:r w:rsidRPr="005E79C4">
        <w:rPr>
          <w:rFonts w:ascii="Aptos" w:hAnsi="Aptos"/>
        </w:rPr>
        <w:tab/>
        <w:t>Knutson B, Fong GW, Bennett SM, et al (2003) A region of mesial prefrontal cortex tracks monetarily rewarding outcomes: Characterization with rapid event-related fMRI. NeuroImage 18:263–272. https://doi.org/10.1016/S1053-8119(02)00057-5</w:t>
      </w:r>
    </w:p>
    <w:p w14:paraId="444B6A76" w14:textId="2F195B95" w:rsidR="005E79C4" w:rsidRPr="005E79C4" w:rsidRDefault="005E79C4" w:rsidP="005E79C4">
      <w:pPr>
        <w:spacing w:after="0"/>
        <w:jc w:val="both"/>
        <w:rPr>
          <w:b/>
          <w:bCs/>
        </w:rPr>
      </w:pPr>
      <w:r>
        <w:rPr>
          <w:b/>
          <w:bCs/>
        </w:rPr>
        <w:fldChar w:fldCharType="end"/>
      </w:r>
    </w:p>
    <w:sectPr w:rsidR="005E79C4" w:rsidRPr="005E79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8E2"/>
    <w:rsid w:val="003F46B6"/>
    <w:rsid w:val="005E79C4"/>
    <w:rsid w:val="00DD68E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16EED"/>
  <w15:chartTrackingRefBased/>
  <w15:docId w15:val="{12B55083-AB6D-481E-85E5-07DDB6C4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D68E2"/>
    <w:pPr>
      <w:spacing w:line="259" w:lineRule="auto"/>
    </w:pPr>
    <w:rPr>
      <w:kern w:val="0"/>
      <w:sz w:val="22"/>
      <w:szCs w:val="22"/>
      <w:lang w:val="en-US"/>
      <w14:ligatures w14:val="none"/>
    </w:rPr>
  </w:style>
  <w:style w:type="paragraph" w:styleId="Cmsor1">
    <w:name w:val="heading 1"/>
    <w:basedOn w:val="Norml"/>
    <w:next w:val="Norml"/>
    <w:link w:val="Cmsor1Char"/>
    <w:uiPriority w:val="9"/>
    <w:qFormat/>
    <w:rsid w:val="00DD68E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hu-HU"/>
      <w14:ligatures w14:val="standardContextual"/>
    </w:rPr>
  </w:style>
  <w:style w:type="paragraph" w:styleId="Cmsor2">
    <w:name w:val="heading 2"/>
    <w:basedOn w:val="Norml"/>
    <w:next w:val="Norml"/>
    <w:link w:val="Cmsor2Char"/>
    <w:uiPriority w:val="9"/>
    <w:semiHidden/>
    <w:unhideWhenUsed/>
    <w:qFormat/>
    <w:rsid w:val="00DD68E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hu-HU"/>
      <w14:ligatures w14:val="standardContextual"/>
    </w:rPr>
  </w:style>
  <w:style w:type="paragraph" w:styleId="Cmsor3">
    <w:name w:val="heading 3"/>
    <w:basedOn w:val="Norml"/>
    <w:next w:val="Norml"/>
    <w:link w:val="Cmsor3Char"/>
    <w:uiPriority w:val="9"/>
    <w:semiHidden/>
    <w:unhideWhenUsed/>
    <w:qFormat/>
    <w:rsid w:val="00DD68E2"/>
    <w:pPr>
      <w:keepNext/>
      <w:keepLines/>
      <w:spacing w:before="160" w:after="80" w:line="278" w:lineRule="auto"/>
      <w:outlineLvl w:val="2"/>
    </w:pPr>
    <w:rPr>
      <w:rFonts w:eastAsiaTheme="majorEastAsia" w:cstheme="majorBidi"/>
      <w:color w:val="0F4761" w:themeColor="accent1" w:themeShade="BF"/>
      <w:kern w:val="2"/>
      <w:sz w:val="28"/>
      <w:szCs w:val="28"/>
      <w:lang w:val="hu-HU"/>
      <w14:ligatures w14:val="standardContextual"/>
    </w:rPr>
  </w:style>
  <w:style w:type="paragraph" w:styleId="Cmsor4">
    <w:name w:val="heading 4"/>
    <w:basedOn w:val="Norml"/>
    <w:next w:val="Norml"/>
    <w:link w:val="Cmsor4Char"/>
    <w:uiPriority w:val="9"/>
    <w:semiHidden/>
    <w:unhideWhenUsed/>
    <w:qFormat/>
    <w:rsid w:val="00DD68E2"/>
    <w:pPr>
      <w:keepNext/>
      <w:keepLines/>
      <w:spacing w:before="80" w:after="40" w:line="278" w:lineRule="auto"/>
      <w:outlineLvl w:val="3"/>
    </w:pPr>
    <w:rPr>
      <w:rFonts w:eastAsiaTheme="majorEastAsia" w:cstheme="majorBidi"/>
      <w:i/>
      <w:iCs/>
      <w:color w:val="0F4761" w:themeColor="accent1" w:themeShade="BF"/>
      <w:kern w:val="2"/>
      <w:sz w:val="24"/>
      <w:szCs w:val="24"/>
      <w:lang w:val="hu-HU"/>
      <w14:ligatures w14:val="standardContextual"/>
    </w:rPr>
  </w:style>
  <w:style w:type="paragraph" w:styleId="Cmsor5">
    <w:name w:val="heading 5"/>
    <w:basedOn w:val="Norml"/>
    <w:next w:val="Norml"/>
    <w:link w:val="Cmsor5Char"/>
    <w:uiPriority w:val="9"/>
    <w:semiHidden/>
    <w:unhideWhenUsed/>
    <w:qFormat/>
    <w:rsid w:val="00DD68E2"/>
    <w:pPr>
      <w:keepNext/>
      <w:keepLines/>
      <w:spacing w:before="80" w:after="40" w:line="278" w:lineRule="auto"/>
      <w:outlineLvl w:val="4"/>
    </w:pPr>
    <w:rPr>
      <w:rFonts w:eastAsiaTheme="majorEastAsia" w:cstheme="majorBidi"/>
      <w:color w:val="0F4761" w:themeColor="accent1" w:themeShade="BF"/>
      <w:kern w:val="2"/>
      <w:sz w:val="24"/>
      <w:szCs w:val="24"/>
      <w:lang w:val="hu-HU"/>
      <w14:ligatures w14:val="standardContextual"/>
    </w:rPr>
  </w:style>
  <w:style w:type="paragraph" w:styleId="Cmsor6">
    <w:name w:val="heading 6"/>
    <w:basedOn w:val="Norml"/>
    <w:next w:val="Norml"/>
    <w:link w:val="Cmsor6Char"/>
    <w:uiPriority w:val="9"/>
    <w:semiHidden/>
    <w:unhideWhenUsed/>
    <w:qFormat/>
    <w:rsid w:val="00DD68E2"/>
    <w:pPr>
      <w:keepNext/>
      <w:keepLines/>
      <w:spacing w:before="40" w:after="0" w:line="278" w:lineRule="auto"/>
      <w:outlineLvl w:val="5"/>
    </w:pPr>
    <w:rPr>
      <w:rFonts w:eastAsiaTheme="majorEastAsia" w:cstheme="majorBidi"/>
      <w:i/>
      <w:iCs/>
      <w:color w:val="595959" w:themeColor="text1" w:themeTint="A6"/>
      <w:kern w:val="2"/>
      <w:sz w:val="24"/>
      <w:szCs w:val="24"/>
      <w:lang w:val="hu-HU"/>
      <w14:ligatures w14:val="standardContextual"/>
    </w:rPr>
  </w:style>
  <w:style w:type="paragraph" w:styleId="Cmsor7">
    <w:name w:val="heading 7"/>
    <w:basedOn w:val="Norml"/>
    <w:next w:val="Norml"/>
    <w:link w:val="Cmsor7Char"/>
    <w:uiPriority w:val="9"/>
    <w:semiHidden/>
    <w:unhideWhenUsed/>
    <w:qFormat/>
    <w:rsid w:val="00DD68E2"/>
    <w:pPr>
      <w:keepNext/>
      <w:keepLines/>
      <w:spacing w:before="40" w:after="0" w:line="278" w:lineRule="auto"/>
      <w:outlineLvl w:val="6"/>
    </w:pPr>
    <w:rPr>
      <w:rFonts w:eastAsiaTheme="majorEastAsia" w:cstheme="majorBidi"/>
      <w:color w:val="595959" w:themeColor="text1" w:themeTint="A6"/>
      <w:kern w:val="2"/>
      <w:sz w:val="24"/>
      <w:szCs w:val="24"/>
      <w:lang w:val="hu-HU"/>
      <w14:ligatures w14:val="standardContextual"/>
    </w:rPr>
  </w:style>
  <w:style w:type="paragraph" w:styleId="Cmsor8">
    <w:name w:val="heading 8"/>
    <w:basedOn w:val="Norml"/>
    <w:next w:val="Norml"/>
    <w:link w:val="Cmsor8Char"/>
    <w:uiPriority w:val="9"/>
    <w:semiHidden/>
    <w:unhideWhenUsed/>
    <w:qFormat/>
    <w:rsid w:val="00DD68E2"/>
    <w:pPr>
      <w:keepNext/>
      <w:keepLines/>
      <w:spacing w:after="0" w:line="278" w:lineRule="auto"/>
      <w:outlineLvl w:val="7"/>
    </w:pPr>
    <w:rPr>
      <w:rFonts w:eastAsiaTheme="majorEastAsia" w:cstheme="majorBidi"/>
      <w:i/>
      <w:iCs/>
      <w:color w:val="272727" w:themeColor="text1" w:themeTint="D8"/>
      <w:kern w:val="2"/>
      <w:sz w:val="24"/>
      <w:szCs w:val="24"/>
      <w:lang w:val="hu-HU"/>
      <w14:ligatures w14:val="standardContextual"/>
    </w:rPr>
  </w:style>
  <w:style w:type="paragraph" w:styleId="Cmsor9">
    <w:name w:val="heading 9"/>
    <w:basedOn w:val="Norml"/>
    <w:next w:val="Norml"/>
    <w:link w:val="Cmsor9Char"/>
    <w:uiPriority w:val="9"/>
    <w:semiHidden/>
    <w:unhideWhenUsed/>
    <w:qFormat/>
    <w:rsid w:val="00DD68E2"/>
    <w:pPr>
      <w:keepNext/>
      <w:keepLines/>
      <w:spacing w:after="0" w:line="278" w:lineRule="auto"/>
      <w:outlineLvl w:val="8"/>
    </w:pPr>
    <w:rPr>
      <w:rFonts w:eastAsiaTheme="majorEastAsia" w:cstheme="majorBidi"/>
      <w:color w:val="272727" w:themeColor="text1" w:themeTint="D8"/>
      <w:kern w:val="2"/>
      <w:sz w:val="24"/>
      <w:szCs w:val="24"/>
      <w:lang w:val="hu-HU"/>
      <w14:ligatures w14:val="standardContextual"/>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D68E2"/>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DD68E2"/>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DD68E2"/>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DD68E2"/>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DD68E2"/>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DD68E2"/>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DD68E2"/>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DD68E2"/>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DD68E2"/>
    <w:rPr>
      <w:rFonts w:eastAsiaTheme="majorEastAsia" w:cstheme="majorBidi"/>
      <w:color w:val="272727" w:themeColor="text1" w:themeTint="D8"/>
    </w:rPr>
  </w:style>
  <w:style w:type="paragraph" w:styleId="Cm">
    <w:name w:val="Title"/>
    <w:basedOn w:val="Norml"/>
    <w:next w:val="Norml"/>
    <w:link w:val="CmChar"/>
    <w:uiPriority w:val="10"/>
    <w:qFormat/>
    <w:rsid w:val="00DD68E2"/>
    <w:pPr>
      <w:spacing w:after="80" w:line="240" w:lineRule="auto"/>
      <w:contextualSpacing/>
    </w:pPr>
    <w:rPr>
      <w:rFonts w:asciiTheme="majorHAnsi" w:eastAsiaTheme="majorEastAsia" w:hAnsiTheme="majorHAnsi" w:cstheme="majorBidi"/>
      <w:spacing w:val="-10"/>
      <w:kern w:val="28"/>
      <w:sz w:val="56"/>
      <w:szCs w:val="56"/>
      <w:lang w:val="hu-HU"/>
      <w14:ligatures w14:val="standardContextual"/>
    </w:rPr>
  </w:style>
  <w:style w:type="character" w:customStyle="1" w:styleId="CmChar">
    <w:name w:val="Cím Char"/>
    <w:basedOn w:val="Bekezdsalapbettpusa"/>
    <w:link w:val="Cm"/>
    <w:uiPriority w:val="10"/>
    <w:rsid w:val="00DD68E2"/>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DD68E2"/>
    <w:pPr>
      <w:numPr>
        <w:ilvl w:val="1"/>
      </w:numPr>
      <w:spacing w:line="278" w:lineRule="auto"/>
    </w:pPr>
    <w:rPr>
      <w:rFonts w:eastAsiaTheme="majorEastAsia" w:cstheme="majorBidi"/>
      <w:color w:val="595959" w:themeColor="text1" w:themeTint="A6"/>
      <w:spacing w:val="15"/>
      <w:kern w:val="2"/>
      <w:sz w:val="28"/>
      <w:szCs w:val="28"/>
      <w:lang w:val="hu-HU"/>
      <w14:ligatures w14:val="standardContextual"/>
    </w:rPr>
  </w:style>
  <w:style w:type="character" w:customStyle="1" w:styleId="AlcmChar">
    <w:name w:val="Alcím Char"/>
    <w:basedOn w:val="Bekezdsalapbettpusa"/>
    <w:link w:val="Alcm"/>
    <w:uiPriority w:val="11"/>
    <w:rsid w:val="00DD68E2"/>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DD68E2"/>
    <w:pPr>
      <w:spacing w:before="160" w:line="278" w:lineRule="auto"/>
      <w:jc w:val="center"/>
    </w:pPr>
    <w:rPr>
      <w:i/>
      <w:iCs/>
      <w:color w:val="404040" w:themeColor="text1" w:themeTint="BF"/>
      <w:kern w:val="2"/>
      <w:sz w:val="24"/>
      <w:szCs w:val="24"/>
      <w:lang w:val="hu-HU"/>
      <w14:ligatures w14:val="standardContextual"/>
    </w:rPr>
  </w:style>
  <w:style w:type="character" w:customStyle="1" w:styleId="IdzetChar">
    <w:name w:val="Idézet Char"/>
    <w:basedOn w:val="Bekezdsalapbettpusa"/>
    <w:link w:val="Idzet"/>
    <w:uiPriority w:val="29"/>
    <w:rsid w:val="00DD68E2"/>
    <w:rPr>
      <w:i/>
      <w:iCs/>
      <w:color w:val="404040" w:themeColor="text1" w:themeTint="BF"/>
    </w:rPr>
  </w:style>
  <w:style w:type="paragraph" w:styleId="Listaszerbekezds">
    <w:name w:val="List Paragraph"/>
    <w:basedOn w:val="Norml"/>
    <w:uiPriority w:val="34"/>
    <w:qFormat/>
    <w:rsid w:val="00DD68E2"/>
    <w:pPr>
      <w:spacing w:line="278" w:lineRule="auto"/>
      <w:ind w:left="720"/>
      <w:contextualSpacing/>
    </w:pPr>
    <w:rPr>
      <w:kern w:val="2"/>
      <w:sz w:val="24"/>
      <w:szCs w:val="24"/>
      <w:lang w:val="hu-HU"/>
      <w14:ligatures w14:val="standardContextual"/>
    </w:rPr>
  </w:style>
  <w:style w:type="character" w:styleId="Erskiemels">
    <w:name w:val="Intense Emphasis"/>
    <w:basedOn w:val="Bekezdsalapbettpusa"/>
    <w:uiPriority w:val="21"/>
    <w:qFormat/>
    <w:rsid w:val="00DD68E2"/>
    <w:rPr>
      <w:i/>
      <w:iCs/>
      <w:color w:val="0F4761" w:themeColor="accent1" w:themeShade="BF"/>
    </w:rPr>
  </w:style>
  <w:style w:type="paragraph" w:styleId="Kiemeltidzet">
    <w:name w:val="Intense Quote"/>
    <w:basedOn w:val="Norml"/>
    <w:next w:val="Norml"/>
    <w:link w:val="KiemeltidzetChar"/>
    <w:uiPriority w:val="30"/>
    <w:qFormat/>
    <w:rsid w:val="00DD68E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hu-HU"/>
      <w14:ligatures w14:val="standardContextual"/>
    </w:rPr>
  </w:style>
  <w:style w:type="character" w:customStyle="1" w:styleId="KiemeltidzetChar">
    <w:name w:val="Kiemelt idézet Char"/>
    <w:basedOn w:val="Bekezdsalapbettpusa"/>
    <w:link w:val="Kiemeltidzet"/>
    <w:uiPriority w:val="30"/>
    <w:rsid w:val="00DD68E2"/>
    <w:rPr>
      <w:i/>
      <w:iCs/>
      <w:color w:val="0F4761" w:themeColor="accent1" w:themeShade="BF"/>
    </w:rPr>
  </w:style>
  <w:style w:type="character" w:styleId="Ershivatkozs">
    <w:name w:val="Intense Reference"/>
    <w:basedOn w:val="Bekezdsalapbettpusa"/>
    <w:uiPriority w:val="32"/>
    <w:qFormat/>
    <w:rsid w:val="00DD68E2"/>
    <w:rPr>
      <w:b/>
      <w:bCs/>
      <w:smallCaps/>
      <w:color w:val="0F4761" w:themeColor="accent1" w:themeShade="BF"/>
      <w:spacing w:val="5"/>
    </w:rPr>
  </w:style>
  <w:style w:type="paragraph" w:styleId="Irodalomjegyzk">
    <w:name w:val="Bibliography"/>
    <w:basedOn w:val="Norml"/>
    <w:next w:val="Norml"/>
    <w:uiPriority w:val="37"/>
    <w:unhideWhenUsed/>
    <w:rsid w:val="005E79C4"/>
    <w:pPr>
      <w:tabs>
        <w:tab w:val="left" w:pos="504"/>
      </w:tabs>
      <w:spacing w:after="240" w:line="240" w:lineRule="auto"/>
      <w:ind w:left="504"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4976</Words>
  <Characters>34336</Characters>
  <Application>Microsoft Office Word</Application>
  <DocSecurity>0</DocSecurity>
  <Lines>286</Lines>
  <Paragraphs>78</Paragraphs>
  <ScaleCrop>false</ScaleCrop>
  <Company/>
  <LinksUpToDate>false</LinksUpToDate>
  <CharactersWithSpaces>39234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Nóra Bunford</dc:creator>
  <cp:keywords/>
  <dc:description/>
  <cp:lastModifiedBy>Nóra Bunford</cp:lastModifiedBy>
  <cp:revision>2</cp:revision>
  <dcterms:created xsi:type="dcterms:W3CDTF">2024-03-14T09:39:00Z</dcterms:created>
  <dcterms:modified xsi:type="dcterms:W3CDTF">2024-03-14T09:48:00Z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zotero-version="6.0.35"&gt;&lt;session id="CHQSrCcG"/&gt;&lt;style id="http://www.zotero.org/styles/european-child-and-adolescent-psychiatry" hasBibliography="1" bibliographyStyleHasBeenSet="1"/&gt;&lt;prefs&gt;&lt;pref name="fieldType" value="Field"/&gt;&lt;/pr</vt:lpwstr>
  </property>
  <property fmtid="{D5CDD505-2E9C-101B-9397-08002B2CF9AE}" pid="3" name="ZOTERO_PREF_2">
    <vt:lpwstr>efs&gt;&lt;/data&gt;</vt:lpwstr>
  </property>
</Properties>
</file>