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5E549" w14:textId="77777777" w:rsidR="005A0D3F" w:rsidRDefault="00834DAB">
      <w:pPr>
        <w:adjustRightInd w:val="0"/>
        <w:snapToGrid w:val="0"/>
        <w:ind w:firstLineChars="0" w:firstLine="0"/>
        <w:jc w:val="center"/>
        <w:rPr>
          <w:rFonts w:cs="Times New Roman"/>
          <w:i/>
          <w:sz w:val="28"/>
        </w:rPr>
      </w:pPr>
      <w:r>
        <w:rPr>
          <w:rFonts w:cs="Times New Roman" w:hint="eastAsia"/>
          <w:i/>
          <w:sz w:val="28"/>
        </w:rPr>
        <w:t>Supplementary</w:t>
      </w:r>
      <w:r>
        <w:rPr>
          <w:rFonts w:cs="Times New Roman"/>
          <w:i/>
          <w:sz w:val="28"/>
        </w:rPr>
        <w:t xml:space="preserve"> </w:t>
      </w:r>
      <w:r>
        <w:rPr>
          <w:rFonts w:cs="Times New Roman" w:hint="eastAsia"/>
          <w:i/>
          <w:sz w:val="28"/>
        </w:rPr>
        <w:t>information</w:t>
      </w:r>
      <w:r>
        <w:rPr>
          <w:rFonts w:cs="Times New Roman"/>
          <w:i/>
          <w:sz w:val="28"/>
        </w:rPr>
        <w:t xml:space="preserve"> </w:t>
      </w:r>
      <w:r>
        <w:rPr>
          <w:rFonts w:cs="Times New Roman" w:hint="eastAsia"/>
          <w:i/>
          <w:sz w:val="28"/>
        </w:rPr>
        <w:t>of</w:t>
      </w:r>
    </w:p>
    <w:p w14:paraId="144A13CA" w14:textId="77777777" w:rsidR="005A0D3F" w:rsidRDefault="00834DAB" w:rsidP="0038592D">
      <w:pPr>
        <w:adjustRightInd w:val="0"/>
        <w:snapToGrid w:val="0"/>
        <w:ind w:firstLineChars="0" w:firstLine="0"/>
        <w:jc w:val="center"/>
        <w:rPr>
          <w:rFonts w:cs="Times New Roman"/>
          <w:b/>
          <w:sz w:val="28"/>
        </w:rPr>
      </w:pPr>
      <w:r>
        <w:rPr>
          <w:rFonts w:cs="Times New Roman"/>
          <w:b/>
          <w:sz w:val="28"/>
        </w:rPr>
        <w:t>On-chip dual-microcomb based fiber-optic acoustic mapper</w:t>
      </w:r>
    </w:p>
    <w:p w14:paraId="78E5DFEE" w14:textId="77777777" w:rsidR="005A0D3F" w:rsidRDefault="005A0D3F">
      <w:pPr>
        <w:adjustRightInd w:val="0"/>
        <w:snapToGrid w:val="0"/>
        <w:ind w:firstLineChars="0" w:firstLine="0"/>
      </w:pPr>
    </w:p>
    <w:p w14:paraId="20E98B6A" w14:textId="77777777" w:rsidR="002E41E3" w:rsidRPr="00A54078" w:rsidRDefault="002E41E3" w:rsidP="002E41E3">
      <w:pPr>
        <w:adjustRightInd w:val="0"/>
        <w:snapToGrid w:val="0"/>
        <w:ind w:firstLine="480"/>
        <w:rPr>
          <w:rFonts w:cs="Times New Roman"/>
          <w:szCs w:val="24"/>
        </w:rPr>
      </w:pPr>
      <w:r w:rsidRPr="00A54078">
        <w:rPr>
          <w:rFonts w:cs="Times New Roman"/>
          <w:szCs w:val="24"/>
        </w:rPr>
        <w:t>Xin</w:t>
      </w:r>
      <w:r>
        <w:rPr>
          <w:rFonts w:cs="Times New Roman"/>
          <w:szCs w:val="24"/>
        </w:rPr>
        <w:t>-Y</w:t>
      </w:r>
      <w:r w:rsidRPr="00A54078">
        <w:rPr>
          <w:rFonts w:cs="Times New Roman"/>
          <w:szCs w:val="24"/>
        </w:rPr>
        <w:t>ue He</w:t>
      </w:r>
      <w:r w:rsidRPr="00C94E48">
        <w:rPr>
          <w:rFonts w:cs="Times New Roman"/>
          <w:szCs w:val="24"/>
          <w:vertAlign w:val="superscript"/>
        </w:rPr>
        <w:t>1</w:t>
      </w:r>
      <w:r w:rsidRPr="00A54078">
        <w:rPr>
          <w:rFonts w:cs="Times New Roman"/>
          <w:szCs w:val="24"/>
          <w:vertAlign w:val="superscript"/>
        </w:rPr>
        <w:t>,#</w:t>
      </w:r>
      <w:r w:rsidRPr="00A54078">
        <w:rPr>
          <w:rFonts w:cs="Times New Roman"/>
          <w:szCs w:val="24"/>
        </w:rPr>
        <w:t>, Teng Tan</w:t>
      </w:r>
      <w:r w:rsidRPr="00C94E48">
        <w:rPr>
          <w:rFonts w:cs="Times New Roman"/>
          <w:szCs w:val="24"/>
          <w:vertAlign w:val="superscript"/>
        </w:rPr>
        <w:t>1</w:t>
      </w:r>
      <w:r w:rsidRPr="00A54078">
        <w:rPr>
          <w:rFonts w:cs="Times New Roman"/>
          <w:szCs w:val="24"/>
          <w:vertAlign w:val="superscript"/>
        </w:rPr>
        <w:t>,</w:t>
      </w:r>
      <w:r w:rsidRPr="00C94E48">
        <w:rPr>
          <w:rFonts w:cs="Times New Roman"/>
          <w:szCs w:val="24"/>
          <w:vertAlign w:val="superscript"/>
        </w:rPr>
        <w:t>2</w:t>
      </w:r>
      <w:r w:rsidRPr="00A54078">
        <w:rPr>
          <w:rFonts w:cs="Times New Roman"/>
          <w:szCs w:val="24"/>
          <w:vertAlign w:val="superscript"/>
        </w:rPr>
        <w:t>#</w:t>
      </w:r>
      <w:r>
        <w:rPr>
          <w:rFonts w:cs="Times New Roman"/>
          <w:szCs w:val="24"/>
        </w:rPr>
        <w:t xml:space="preserve">, </w:t>
      </w:r>
      <w:r w:rsidRPr="00A54078">
        <w:rPr>
          <w:rFonts w:cs="Times New Roman"/>
          <w:szCs w:val="24"/>
        </w:rPr>
        <w:t>Bing Chang</w:t>
      </w:r>
      <w:r w:rsidRPr="00C94E48">
        <w:rPr>
          <w:rFonts w:cs="Times New Roman"/>
          <w:szCs w:val="24"/>
          <w:vertAlign w:val="superscript"/>
        </w:rPr>
        <w:t>1</w:t>
      </w:r>
      <w:r w:rsidRPr="00A54078">
        <w:rPr>
          <w:rFonts w:cs="Times New Roman"/>
          <w:szCs w:val="24"/>
          <w:vertAlign w:val="superscript"/>
        </w:rPr>
        <w:t>,#</w:t>
      </w:r>
      <w:r w:rsidRPr="00A54078">
        <w:rPr>
          <w:rFonts w:cs="Times New Roman"/>
          <w:szCs w:val="24"/>
        </w:rPr>
        <w:t xml:space="preserve">, </w:t>
      </w:r>
      <w:r>
        <w:rPr>
          <w:rFonts w:cs="Times New Roman"/>
          <w:szCs w:val="24"/>
        </w:rPr>
        <w:t>Jin-L</w:t>
      </w:r>
      <w:r w:rsidRPr="00A54078">
        <w:rPr>
          <w:rFonts w:cs="Times New Roman"/>
          <w:szCs w:val="24"/>
        </w:rPr>
        <w:t>ong Xiang</w:t>
      </w:r>
      <w:r w:rsidRPr="00C94E48">
        <w:rPr>
          <w:rFonts w:cs="Times New Roman"/>
          <w:szCs w:val="24"/>
          <w:vertAlign w:val="superscript"/>
        </w:rPr>
        <w:t>3</w:t>
      </w:r>
      <w:r w:rsidRPr="00A54078">
        <w:rPr>
          <w:rFonts w:cs="Times New Roman"/>
          <w:szCs w:val="24"/>
        </w:rPr>
        <w:t xml:space="preserve">, </w:t>
      </w:r>
      <w:r>
        <w:rPr>
          <w:rFonts w:cs="Times New Roman" w:hint="eastAsia"/>
          <w:szCs w:val="24"/>
        </w:rPr>
        <w:t>Zi-Yi</w:t>
      </w:r>
      <w:r>
        <w:rPr>
          <w:rFonts w:cs="Times New Roman"/>
          <w:szCs w:val="24"/>
        </w:rPr>
        <w:t xml:space="preserve"> Yang</w:t>
      </w:r>
      <w:r w:rsidRPr="00DB5811">
        <w:rPr>
          <w:rFonts w:cs="Times New Roman"/>
          <w:szCs w:val="24"/>
          <w:vertAlign w:val="superscript"/>
        </w:rPr>
        <w:t>1</w:t>
      </w:r>
      <w:r>
        <w:rPr>
          <w:rFonts w:cs="Times New Roman"/>
          <w:szCs w:val="24"/>
        </w:rPr>
        <w:t xml:space="preserve">, </w:t>
      </w:r>
      <w:r w:rsidRPr="00A54078">
        <w:rPr>
          <w:rFonts w:cs="Times New Roman"/>
          <w:szCs w:val="24"/>
        </w:rPr>
        <w:t>Shang</w:t>
      </w:r>
      <w:r>
        <w:rPr>
          <w:rFonts w:cs="Times New Roman"/>
          <w:szCs w:val="24"/>
        </w:rPr>
        <w:t>-C</w:t>
      </w:r>
      <w:r w:rsidRPr="00A54078">
        <w:rPr>
          <w:rFonts w:cs="Times New Roman"/>
          <w:szCs w:val="24"/>
        </w:rPr>
        <w:t>e Wang</w:t>
      </w:r>
      <w:r w:rsidRPr="00C94E48">
        <w:rPr>
          <w:rFonts w:cs="Times New Roman"/>
          <w:szCs w:val="24"/>
          <w:vertAlign w:val="superscript"/>
        </w:rPr>
        <w:t>1</w:t>
      </w:r>
      <w:r w:rsidRPr="00A54078">
        <w:rPr>
          <w:rFonts w:cs="Times New Roman"/>
          <w:szCs w:val="24"/>
        </w:rPr>
        <w:t xml:space="preserve">, </w:t>
      </w:r>
      <w:r>
        <w:rPr>
          <w:rFonts w:cs="Times New Roman"/>
          <w:szCs w:val="24"/>
        </w:rPr>
        <w:t>Ze-Ping Wang</w:t>
      </w:r>
      <w:r w:rsidRPr="00C94E48">
        <w:rPr>
          <w:rFonts w:cs="Times New Roman"/>
          <w:szCs w:val="24"/>
          <w:vertAlign w:val="superscript"/>
        </w:rPr>
        <w:t>1</w:t>
      </w:r>
      <w:r>
        <w:rPr>
          <w:rFonts w:cs="Times New Roman"/>
          <w:szCs w:val="24"/>
          <w:vertAlign w:val="superscript"/>
        </w:rPr>
        <w:t>,</w:t>
      </w:r>
      <w:r w:rsidRPr="00C94E48">
        <w:rPr>
          <w:rFonts w:cs="Times New Roman"/>
          <w:szCs w:val="24"/>
          <w:vertAlign w:val="superscript"/>
        </w:rPr>
        <w:t>4</w:t>
      </w:r>
      <w:r w:rsidRPr="00A54078">
        <w:rPr>
          <w:rFonts w:cs="Times New Roman"/>
          <w:szCs w:val="24"/>
        </w:rPr>
        <w:t xml:space="preserve">, </w:t>
      </w:r>
      <w:r>
        <w:rPr>
          <w:rFonts w:cs="Times New Roman"/>
          <w:szCs w:val="24"/>
        </w:rPr>
        <w:t>Yu-Pei Liang</w:t>
      </w:r>
      <w:r w:rsidRPr="00C94E48">
        <w:rPr>
          <w:rFonts w:cs="Times New Roman"/>
          <w:szCs w:val="24"/>
          <w:vertAlign w:val="superscript"/>
        </w:rPr>
        <w:t>1</w:t>
      </w:r>
      <w:r>
        <w:rPr>
          <w:rFonts w:cs="Times New Roman"/>
          <w:szCs w:val="24"/>
        </w:rPr>
        <w:t xml:space="preserve">, </w:t>
      </w:r>
      <w:r w:rsidRPr="00A54078">
        <w:rPr>
          <w:rFonts w:cs="Times New Roman"/>
          <w:szCs w:val="24"/>
        </w:rPr>
        <w:t>Heng Zhou</w:t>
      </w:r>
      <w:r w:rsidRPr="00C94E48">
        <w:rPr>
          <w:rFonts w:cs="Times New Roman"/>
          <w:szCs w:val="24"/>
          <w:vertAlign w:val="superscript"/>
        </w:rPr>
        <w:t>1</w:t>
      </w:r>
      <w:r w:rsidRPr="00A54078">
        <w:rPr>
          <w:rFonts w:cs="Times New Roman"/>
          <w:szCs w:val="24"/>
          <w:vertAlign w:val="superscript"/>
        </w:rPr>
        <w:t>,</w:t>
      </w:r>
      <w:r w:rsidRPr="00C94E48">
        <w:rPr>
          <w:rFonts w:cs="Times New Roman"/>
          <w:szCs w:val="24"/>
          <w:vertAlign w:val="superscript"/>
        </w:rPr>
        <w:t>2</w:t>
      </w:r>
      <w:r w:rsidRPr="00A54078">
        <w:rPr>
          <w:rFonts w:cs="Times New Roman"/>
          <w:szCs w:val="24"/>
        </w:rPr>
        <w:t>, Yong</w:t>
      </w:r>
      <w:r>
        <w:rPr>
          <w:rFonts w:cs="Times New Roman"/>
          <w:szCs w:val="24"/>
        </w:rPr>
        <w:t>-J</w:t>
      </w:r>
      <w:r w:rsidRPr="00A54078">
        <w:rPr>
          <w:rFonts w:cs="Times New Roman"/>
          <w:szCs w:val="24"/>
        </w:rPr>
        <w:t>un Huang</w:t>
      </w:r>
      <w:r>
        <w:rPr>
          <w:rFonts w:cs="Times New Roman"/>
          <w:szCs w:val="24"/>
          <w:vertAlign w:val="superscript"/>
        </w:rPr>
        <w:t>5</w:t>
      </w:r>
      <w:r w:rsidRPr="00A54078">
        <w:rPr>
          <w:rFonts w:cs="Times New Roman"/>
          <w:szCs w:val="24"/>
        </w:rPr>
        <w:t>, Ying</w:t>
      </w:r>
      <w:r>
        <w:rPr>
          <w:rFonts w:cs="Times New Roman"/>
          <w:szCs w:val="24"/>
        </w:rPr>
        <w:t>-Z</w:t>
      </w:r>
      <w:r w:rsidRPr="00A54078">
        <w:rPr>
          <w:rFonts w:cs="Times New Roman"/>
          <w:szCs w:val="24"/>
        </w:rPr>
        <w:t>han Yan</w:t>
      </w:r>
      <w:r>
        <w:rPr>
          <w:rFonts w:cs="Times New Roman"/>
          <w:szCs w:val="24"/>
          <w:vertAlign w:val="superscript"/>
        </w:rPr>
        <w:t>6</w:t>
      </w:r>
      <w:r w:rsidRPr="00A54078">
        <w:rPr>
          <w:rFonts w:cs="Times New Roman"/>
          <w:szCs w:val="24"/>
        </w:rPr>
        <w:t>, Yi</w:t>
      </w:r>
      <w:r>
        <w:rPr>
          <w:rFonts w:cs="Times New Roman"/>
          <w:szCs w:val="24"/>
        </w:rPr>
        <w:t>-K</w:t>
      </w:r>
      <w:r w:rsidRPr="00A54078">
        <w:rPr>
          <w:rFonts w:cs="Times New Roman"/>
          <w:szCs w:val="24"/>
        </w:rPr>
        <w:t>ai Su</w:t>
      </w:r>
      <w:r w:rsidRPr="00C94E48">
        <w:rPr>
          <w:rFonts w:cs="Times New Roman"/>
          <w:szCs w:val="24"/>
          <w:vertAlign w:val="superscript"/>
        </w:rPr>
        <w:t>3</w:t>
      </w:r>
      <w:r w:rsidRPr="00A54078">
        <w:rPr>
          <w:rFonts w:cs="Times New Roman"/>
          <w:szCs w:val="24"/>
        </w:rPr>
        <w:t>, Yun</w:t>
      </w:r>
      <w:r>
        <w:rPr>
          <w:rFonts w:cs="Times New Roman"/>
          <w:szCs w:val="24"/>
        </w:rPr>
        <w:t>-J</w:t>
      </w:r>
      <w:r w:rsidRPr="00A54078">
        <w:rPr>
          <w:rFonts w:cs="Times New Roman"/>
          <w:szCs w:val="24"/>
        </w:rPr>
        <w:t>iang Rao</w:t>
      </w:r>
      <w:r w:rsidRPr="00C94E48">
        <w:rPr>
          <w:rFonts w:cs="Times New Roman"/>
          <w:szCs w:val="24"/>
          <w:vertAlign w:val="superscript"/>
        </w:rPr>
        <w:t>1</w:t>
      </w:r>
      <w:r w:rsidRPr="00A54078">
        <w:rPr>
          <w:rFonts w:cs="Times New Roman"/>
          <w:szCs w:val="24"/>
        </w:rPr>
        <w:t>, Yu Wu</w:t>
      </w:r>
      <w:r w:rsidRPr="00C94E48">
        <w:rPr>
          <w:rFonts w:cs="Times New Roman"/>
          <w:szCs w:val="24"/>
          <w:vertAlign w:val="superscript"/>
        </w:rPr>
        <w:t>1</w:t>
      </w:r>
      <w:r w:rsidRPr="00A54078">
        <w:rPr>
          <w:rFonts w:cs="Times New Roman"/>
          <w:szCs w:val="24"/>
        </w:rPr>
        <w:t>, Xu</w:t>
      </w:r>
      <w:r>
        <w:rPr>
          <w:rFonts w:cs="Times New Roman"/>
          <w:szCs w:val="24"/>
        </w:rPr>
        <w:t>-H</w:t>
      </w:r>
      <w:r w:rsidRPr="00A54078">
        <w:rPr>
          <w:rFonts w:cs="Times New Roman"/>
          <w:szCs w:val="24"/>
        </w:rPr>
        <w:t>an Guo</w:t>
      </w:r>
      <w:r w:rsidRPr="00C94E48">
        <w:rPr>
          <w:rFonts w:cs="Times New Roman"/>
          <w:szCs w:val="24"/>
          <w:vertAlign w:val="superscript"/>
        </w:rPr>
        <w:t>3</w:t>
      </w:r>
      <w:r w:rsidRPr="00A54078">
        <w:rPr>
          <w:rFonts w:cs="Times New Roman"/>
          <w:szCs w:val="24"/>
        </w:rPr>
        <w:t>, Bai</w:t>
      </w:r>
      <w:r>
        <w:rPr>
          <w:rFonts w:cs="Times New Roman"/>
          <w:szCs w:val="24"/>
        </w:rPr>
        <w:t>-C</w:t>
      </w:r>
      <w:r w:rsidRPr="00A54078">
        <w:rPr>
          <w:rFonts w:cs="Times New Roman"/>
          <w:szCs w:val="24"/>
        </w:rPr>
        <w:t>heng Yao</w:t>
      </w:r>
      <w:r w:rsidRPr="00C94E48">
        <w:rPr>
          <w:rFonts w:cs="Times New Roman"/>
          <w:szCs w:val="24"/>
          <w:vertAlign w:val="superscript"/>
        </w:rPr>
        <w:t>1</w:t>
      </w:r>
      <w:r w:rsidRPr="00A54078">
        <w:rPr>
          <w:rFonts w:cs="Times New Roman"/>
          <w:szCs w:val="24"/>
          <w:vertAlign w:val="superscript"/>
        </w:rPr>
        <w:t>,</w:t>
      </w:r>
      <w:r w:rsidRPr="00C94E48">
        <w:rPr>
          <w:rFonts w:cs="Times New Roman"/>
          <w:szCs w:val="24"/>
          <w:vertAlign w:val="superscript"/>
        </w:rPr>
        <w:t>2</w:t>
      </w:r>
      <w:r w:rsidRPr="00A54078">
        <w:rPr>
          <w:rFonts w:cs="Times New Roman"/>
          <w:szCs w:val="24"/>
        </w:rPr>
        <w:t>*</w:t>
      </w:r>
    </w:p>
    <w:p w14:paraId="38012693" w14:textId="77777777" w:rsidR="005A0D3F" w:rsidRPr="002E41E3" w:rsidRDefault="005A0D3F">
      <w:pPr>
        <w:adjustRightInd w:val="0"/>
        <w:snapToGrid w:val="0"/>
        <w:ind w:firstLineChars="83" w:firstLine="199"/>
        <w:rPr>
          <w:rFonts w:cs="Times New Roman"/>
        </w:rPr>
      </w:pPr>
    </w:p>
    <w:p w14:paraId="1F31AAF9" w14:textId="77777777" w:rsidR="005A0D3F" w:rsidRDefault="00834DAB">
      <w:pPr>
        <w:adjustRightInd w:val="0"/>
        <w:snapToGrid w:val="0"/>
        <w:ind w:firstLineChars="0" w:firstLine="0"/>
        <w:rPr>
          <w:rFonts w:cs="Times New Roman"/>
          <w:i/>
          <w:szCs w:val="24"/>
        </w:rPr>
      </w:pPr>
      <w:r>
        <w:rPr>
          <w:rFonts w:cs="Times New Roman"/>
          <w:i/>
          <w:szCs w:val="24"/>
          <w:vertAlign w:val="superscript"/>
        </w:rPr>
        <w:t>1</w:t>
      </w:r>
      <w:r>
        <w:rPr>
          <w:rFonts w:cs="Times New Roman"/>
          <w:i/>
          <w:szCs w:val="24"/>
        </w:rPr>
        <w:t xml:space="preserve"> Key Laboratory of Optical Fiber Sensing and Communications </w:t>
      </w:r>
      <w:r>
        <w:rPr>
          <w:rFonts w:cs="Times New Roman"/>
          <w:szCs w:val="24"/>
        </w:rPr>
        <w:t>(</w:t>
      </w:r>
      <w:r>
        <w:rPr>
          <w:rFonts w:cs="Times New Roman"/>
          <w:i/>
          <w:szCs w:val="24"/>
        </w:rPr>
        <w:t>Education Ministry of China</w:t>
      </w:r>
      <w:r>
        <w:rPr>
          <w:rFonts w:cs="Times New Roman"/>
          <w:szCs w:val="24"/>
        </w:rPr>
        <w:t>)</w:t>
      </w:r>
      <w:r>
        <w:rPr>
          <w:rFonts w:cs="Times New Roman"/>
          <w:i/>
          <w:szCs w:val="24"/>
        </w:rPr>
        <w:t xml:space="preserve">, University of Electronic Science and Technology of China, Chengdu 611731, China. </w:t>
      </w:r>
    </w:p>
    <w:p w14:paraId="4F78D691" w14:textId="77777777" w:rsidR="005A0D3F" w:rsidRDefault="00834DAB">
      <w:pPr>
        <w:adjustRightInd w:val="0"/>
        <w:snapToGrid w:val="0"/>
        <w:ind w:firstLineChars="0" w:firstLine="0"/>
        <w:rPr>
          <w:rFonts w:cs="Times New Roman"/>
          <w:i/>
          <w:szCs w:val="24"/>
        </w:rPr>
      </w:pPr>
      <w:r>
        <w:rPr>
          <w:rFonts w:cs="Times New Roman"/>
          <w:i/>
          <w:szCs w:val="24"/>
          <w:vertAlign w:val="superscript"/>
        </w:rPr>
        <w:t>2</w:t>
      </w:r>
      <w:r>
        <w:rPr>
          <w:rFonts w:cs="Times New Roman"/>
          <w:i/>
          <w:szCs w:val="24"/>
        </w:rPr>
        <w:t xml:space="preserve"> Engineering Center of Integrated Optoelectronic &amp; Radio Meta-chips, University of Electronic Science and Technology, Chengdu, China.</w:t>
      </w:r>
    </w:p>
    <w:p w14:paraId="69CC56C9" w14:textId="77777777" w:rsidR="005A0D3F" w:rsidRDefault="00834DAB">
      <w:pPr>
        <w:adjustRightInd w:val="0"/>
        <w:snapToGrid w:val="0"/>
        <w:ind w:firstLineChars="0" w:firstLine="0"/>
        <w:rPr>
          <w:rFonts w:cs="Times New Roman"/>
          <w:i/>
          <w:szCs w:val="24"/>
        </w:rPr>
      </w:pPr>
      <w:r>
        <w:rPr>
          <w:rFonts w:cs="Times New Roman"/>
          <w:i/>
          <w:szCs w:val="24"/>
          <w:vertAlign w:val="superscript"/>
        </w:rPr>
        <w:t>3</w:t>
      </w:r>
      <w:r>
        <w:rPr>
          <w:rFonts w:cs="Times New Roman"/>
          <w:i/>
          <w:szCs w:val="24"/>
        </w:rPr>
        <w:t xml:space="preserve"> State Key Laboratory of Advanced Optical</w:t>
      </w:r>
      <w:r>
        <w:rPr>
          <w:rFonts w:cs="Times New Roman" w:hint="eastAsia"/>
          <w:i/>
          <w:szCs w:val="24"/>
        </w:rPr>
        <w:t xml:space="preserve"> </w:t>
      </w:r>
      <w:r>
        <w:rPr>
          <w:rFonts w:cs="Times New Roman"/>
          <w:i/>
          <w:szCs w:val="24"/>
        </w:rPr>
        <w:t>Communication Systems and Networks, Shanghai Jiao Tong University, Shanghai, China.</w:t>
      </w:r>
    </w:p>
    <w:p w14:paraId="5F2A3C40" w14:textId="77777777" w:rsidR="005A0D3F" w:rsidRDefault="00834DAB">
      <w:pPr>
        <w:adjustRightInd w:val="0"/>
        <w:snapToGrid w:val="0"/>
        <w:ind w:firstLineChars="0" w:firstLine="0"/>
        <w:rPr>
          <w:rFonts w:cs="Times New Roman"/>
          <w:i/>
          <w:szCs w:val="24"/>
        </w:rPr>
      </w:pPr>
      <w:r>
        <w:rPr>
          <w:rFonts w:cs="Times New Roman" w:hint="eastAsia"/>
          <w:i/>
          <w:szCs w:val="24"/>
          <w:vertAlign w:val="superscript"/>
        </w:rPr>
        <w:t>4</w:t>
      </w:r>
      <w:r>
        <w:rPr>
          <w:rFonts w:cs="Times New Roman"/>
          <w:i/>
          <w:szCs w:val="24"/>
        </w:rPr>
        <w:t xml:space="preserve"> Glasgow College, University of Electronic Science and Technology, Chengdu, China.</w:t>
      </w:r>
    </w:p>
    <w:p w14:paraId="72565E48" w14:textId="77777777" w:rsidR="005A0D3F" w:rsidRDefault="00834DAB">
      <w:pPr>
        <w:adjustRightInd w:val="0"/>
        <w:snapToGrid w:val="0"/>
        <w:ind w:firstLineChars="0" w:firstLine="0"/>
        <w:rPr>
          <w:rFonts w:cs="Times New Roman"/>
          <w:i/>
          <w:szCs w:val="24"/>
        </w:rPr>
      </w:pPr>
      <w:r>
        <w:rPr>
          <w:rFonts w:cs="Times New Roman"/>
          <w:i/>
          <w:szCs w:val="24"/>
          <w:vertAlign w:val="superscript"/>
        </w:rPr>
        <w:t>5</w:t>
      </w:r>
      <w:r>
        <w:rPr>
          <w:rFonts w:cs="Times New Roman"/>
          <w:i/>
          <w:szCs w:val="24"/>
        </w:rPr>
        <w:t xml:space="preserve"> Engineering Research Center of Communication Technology for Intelligent IoT, University of Electronic Science and Technology of China, Chengdu, 611731, China. </w:t>
      </w:r>
    </w:p>
    <w:p w14:paraId="766BD3BC" w14:textId="77777777" w:rsidR="005A0D3F" w:rsidRDefault="00834DAB">
      <w:pPr>
        <w:adjustRightInd w:val="0"/>
        <w:snapToGrid w:val="0"/>
        <w:ind w:firstLineChars="0" w:firstLine="0"/>
        <w:rPr>
          <w:rFonts w:cs="Times New Roman"/>
          <w:i/>
          <w:szCs w:val="24"/>
        </w:rPr>
      </w:pPr>
      <w:r>
        <w:rPr>
          <w:rFonts w:cs="Times New Roman"/>
          <w:i/>
          <w:szCs w:val="24"/>
          <w:vertAlign w:val="superscript"/>
        </w:rPr>
        <w:t>6</w:t>
      </w:r>
      <w:r>
        <w:rPr>
          <w:rFonts w:cs="Times New Roman"/>
          <w:i/>
          <w:szCs w:val="24"/>
        </w:rPr>
        <w:t xml:space="preserve"> Information Science Research Institute, China Electronics Technology Group Corporation, Beijing 10086, China.</w:t>
      </w:r>
    </w:p>
    <w:p w14:paraId="21A6BC93" w14:textId="1743926F" w:rsidR="005A0D3F" w:rsidRDefault="00834DAB">
      <w:pPr>
        <w:adjustRightInd w:val="0"/>
        <w:snapToGrid w:val="0"/>
        <w:ind w:firstLineChars="0" w:firstLine="0"/>
        <w:rPr>
          <w:rFonts w:cs="Times New Roman"/>
          <w:b/>
          <w:szCs w:val="24"/>
        </w:rPr>
      </w:pPr>
      <w:r>
        <w:rPr>
          <w:rFonts w:cs="Times New Roman" w:hint="eastAsia"/>
          <w:b/>
          <w:szCs w:val="24"/>
        </w:rPr>
        <w:t>T</w:t>
      </w:r>
      <w:r>
        <w:rPr>
          <w:rFonts w:cs="Times New Roman"/>
          <w:b/>
          <w:szCs w:val="24"/>
        </w:rPr>
        <w:t xml:space="preserve">hese authors contributed equally: </w:t>
      </w:r>
      <w:r>
        <w:rPr>
          <w:rFonts w:cs="Times New Roman"/>
          <w:szCs w:val="24"/>
        </w:rPr>
        <w:t>Xin</w:t>
      </w:r>
      <w:r w:rsidR="00A4775C">
        <w:rPr>
          <w:rFonts w:cs="Times New Roman"/>
          <w:szCs w:val="24"/>
        </w:rPr>
        <w:t>-Y</w:t>
      </w:r>
      <w:r>
        <w:rPr>
          <w:rFonts w:cs="Times New Roman"/>
          <w:szCs w:val="24"/>
        </w:rPr>
        <w:t>ue He, Teng Tan, Bing Chang</w:t>
      </w:r>
    </w:p>
    <w:p w14:paraId="149D0ED3" w14:textId="77777777" w:rsidR="005A0D3F" w:rsidRDefault="00834DAB">
      <w:pPr>
        <w:adjustRightInd w:val="0"/>
        <w:snapToGrid w:val="0"/>
        <w:ind w:firstLineChars="0" w:firstLine="0"/>
        <w:rPr>
          <w:rFonts w:cs="Times New Roman"/>
          <w:szCs w:val="24"/>
        </w:rPr>
      </w:pPr>
      <w:r>
        <w:rPr>
          <w:rFonts w:cs="Times New Roman"/>
          <w:b/>
          <w:szCs w:val="24"/>
        </w:rPr>
        <w:t xml:space="preserve">Corresponding authors: </w:t>
      </w:r>
      <w:hyperlink r:id="rId7" w:history="1">
        <w:r>
          <w:rPr>
            <w:rStyle w:val="ad"/>
            <w:rFonts w:cs="Times New Roman"/>
            <w:szCs w:val="24"/>
          </w:rPr>
          <w:t>yaobaicheng@uestc.edu.cn</w:t>
        </w:r>
      </w:hyperlink>
      <w:r>
        <w:rPr>
          <w:rFonts w:cs="Times New Roman"/>
          <w:szCs w:val="24"/>
        </w:rPr>
        <w:t xml:space="preserve"> </w:t>
      </w:r>
    </w:p>
    <w:p w14:paraId="684E69B3" w14:textId="77777777" w:rsidR="005A0D3F" w:rsidRDefault="005A0D3F">
      <w:pPr>
        <w:adjustRightInd w:val="0"/>
        <w:snapToGrid w:val="0"/>
        <w:ind w:firstLineChars="0" w:firstLine="0"/>
        <w:rPr>
          <w:rFonts w:cs="Times New Roman"/>
          <w:szCs w:val="24"/>
        </w:rPr>
      </w:pPr>
    </w:p>
    <w:p w14:paraId="2339E8F2" w14:textId="77777777" w:rsidR="005A0D3F" w:rsidRDefault="00834DAB">
      <w:pPr>
        <w:adjustRightInd w:val="0"/>
        <w:snapToGrid w:val="0"/>
        <w:ind w:firstLineChars="0" w:firstLine="0"/>
        <w:rPr>
          <w:rFonts w:cs="Times New Roman"/>
          <w:szCs w:val="24"/>
        </w:rPr>
      </w:pPr>
      <w:r>
        <w:rPr>
          <w:rFonts w:cs="Times New Roman" w:hint="eastAsia"/>
          <w:szCs w:val="24"/>
        </w:rPr>
        <w:t>T</w:t>
      </w:r>
      <w:r>
        <w:rPr>
          <w:rFonts w:cs="Times New Roman"/>
          <w:szCs w:val="24"/>
        </w:rPr>
        <w:t xml:space="preserve">he supplementary information includes: </w:t>
      </w:r>
    </w:p>
    <w:p w14:paraId="7FAA5B7C" w14:textId="77777777" w:rsidR="005A0D3F" w:rsidRDefault="00834DAB">
      <w:pPr>
        <w:adjustRightInd w:val="0"/>
        <w:snapToGrid w:val="0"/>
        <w:ind w:firstLineChars="0" w:firstLine="0"/>
        <w:rPr>
          <w:rFonts w:cs="Times New Roman"/>
          <w:szCs w:val="24"/>
        </w:rPr>
      </w:pPr>
      <w:r>
        <w:rPr>
          <w:rFonts w:cs="Times New Roman"/>
          <w:szCs w:val="24"/>
        </w:rPr>
        <w:t xml:space="preserve">Supplementary Note S1-S2. </w:t>
      </w:r>
    </w:p>
    <w:p w14:paraId="4584A081" w14:textId="77777777" w:rsidR="005A0D3F" w:rsidRDefault="00834DAB">
      <w:pPr>
        <w:adjustRightInd w:val="0"/>
        <w:snapToGrid w:val="0"/>
        <w:ind w:firstLineChars="0" w:firstLine="0"/>
        <w:rPr>
          <w:rFonts w:cs="Times New Roman"/>
          <w:szCs w:val="24"/>
        </w:rPr>
      </w:pPr>
      <w:r>
        <w:rPr>
          <w:rFonts w:cs="Times New Roman" w:hint="eastAsia"/>
          <w:szCs w:val="24"/>
        </w:rPr>
        <w:t>S</w:t>
      </w:r>
      <w:r>
        <w:rPr>
          <w:rFonts w:cs="Times New Roman"/>
          <w:szCs w:val="24"/>
        </w:rPr>
        <w:t xml:space="preserve">upplementary Figure S1-S10. </w:t>
      </w:r>
    </w:p>
    <w:p w14:paraId="0C0E4377" w14:textId="77777777" w:rsidR="005A0D3F" w:rsidRDefault="005A0D3F">
      <w:pPr>
        <w:widowControl/>
        <w:adjustRightInd w:val="0"/>
        <w:snapToGrid w:val="0"/>
        <w:ind w:firstLineChars="0" w:firstLine="0"/>
        <w:jc w:val="left"/>
        <w:rPr>
          <w:rFonts w:cs="Times New Roman"/>
          <w:szCs w:val="24"/>
        </w:rPr>
      </w:pPr>
    </w:p>
    <w:p w14:paraId="1A3EF477" w14:textId="77777777" w:rsidR="005A0D3F" w:rsidRDefault="00834DAB">
      <w:pPr>
        <w:pStyle w:val="3"/>
        <w:adjustRightInd w:val="0"/>
        <w:snapToGrid w:val="0"/>
        <w:spacing w:before="0" w:after="0" w:line="360" w:lineRule="auto"/>
        <w:ind w:firstLineChars="0" w:firstLine="0"/>
        <w:rPr>
          <w:sz w:val="28"/>
        </w:rPr>
      </w:pPr>
      <w:r>
        <w:rPr>
          <w:sz w:val="28"/>
        </w:rPr>
        <w:t>Note S</w:t>
      </w:r>
      <w:r>
        <w:rPr>
          <w:rFonts w:hint="eastAsia"/>
          <w:sz w:val="28"/>
        </w:rPr>
        <w:t>1.</w:t>
      </w:r>
      <w:r>
        <w:rPr>
          <w:sz w:val="28"/>
        </w:rPr>
        <w:t xml:space="preserve"> Supplementary t</w:t>
      </w:r>
      <w:r>
        <w:rPr>
          <w:rFonts w:hint="eastAsia"/>
          <w:sz w:val="28"/>
        </w:rPr>
        <w:t>heoretical</w:t>
      </w:r>
      <w:r>
        <w:rPr>
          <w:sz w:val="28"/>
        </w:rPr>
        <w:t xml:space="preserve"> </w:t>
      </w:r>
      <w:r>
        <w:rPr>
          <w:rFonts w:hint="eastAsia"/>
          <w:sz w:val="28"/>
        </w:rPr>
        <w:t>analysis</w:t>
      </w:r>
      <w:r>
        <w:rPr>
          <w:sz w:val="28"/>
        </w:rPr>
        <w:t xml:space="preserve"> and simulations.</w:t>
      </w:r>
    </w:p>
    <w:p w14:paraId="7C353099" w14:textId="77777777" w:rsidR="005A0D3F" w:rsidRDefault="00834DAB">
      <w:pPr>
        <w:pStyle w:val="2"/>
        <w:adjustRightInd w:val="0"/>
        <w:snapToGrid w:val="0"/>
      </w:pPr>
      <w:r>
        <w:t>S1.1. Soliton generation in an on-chip micro-ring.</w:t>
      </w:r>
    </w:p>
    <w:p w14:paraId="1F9666B4" w14:textId="77777777" w:rsidR="005A0D3F" w:rsidRDefault="00834DAB">
      <w:pPr>
        <w:adjustRightInd w:val="0"/>
        <w:snapToGrid w:val="0"/>
        <w:ind w:firstLine="480"/>
        <w:rPr>
          <w:szCs w:val="28"/>
        </w:rPr>
      </w:pPr>
      <w:r>
        <w:rPr>
          <w:szCs w:val="28"/>
        </w:rPr>
        <w:t>Two</w:t>
      </w:r>
      <w:r>
        <w:rPr>
          <w:rFonts w:hint="eastAsia"/>
          <w:szCs w:val="28"/>
        </w:rPr>
        <w:t xml:space="preserve"> </w:t>
      </w:r>
      <w:r>
        <w:rPr>
          <w:szCs w:val="28"/>
        </w:rPr>
        <w:t>silicon-nitride (</w:t>
      </w:r>
      <w:bookmarkStart w:id="0" w:name="OLE_LINK16"/>
      <w:bookmarkStart w:id="1" w:name="OLE_LINK15"/>
      <w:r>
        <w:rPr>
          <w:rFonts w:hint="eastAsia"/>
          <w:szCs w:val="28"/>
        </w:rPr>
        <w:t>Si</w:t>
      </w:r>
      <w:r>
        <w:rPr>
          <w:rFonts w:hint="eastAsia"/>
          <w:szCs w:val="28"/>
          <w:vertAlign w:val="subscript"/>
        </w:rPr>
        <w:t>3</w:t>
      </w:r>
      <w:r>
        <w:rPr>
          <w:rFonts w:hint="eastAsia"/>
          <w:szCs w:val="28"/>
        </w:rPr>
        <w:t>N</w:t>
      </w:r>
      <w:r>
        <w:rPr>
          <w:rFonts w:hint="eastAsia"/>
          <w:szCs w:val="28"/>
          <w:vertAlign w:val="subscript"/>
        </w:rPr>
        <w:t>4</w:t>
      </w:r>
      <w:bookmarkEnd w:id="0"/>
      <w:bookmarkEnd w:id="1"/>
      <w:r>
        <w:rPr>
          <w:szCs w:val="28"/>
        </w:rPr>
        <w:t xml:space="preserve">) </w:t>
      </w:r>
      <w:r>
        <w:rPr>
          <w:rFonts w:hint="eastAsia"/>
          <w:szCs w:val="28"/>
        </w:rPr>
        <w:t>microring cavit</w:t>
      </w:r>
      <w:r>
        <w:rPr>
          <w:szCs w:val="28"/>
        </w:rPr>
        <w:t>ies</w:t>
      </w:r>
      <w:r>
        <w:rPr>
          <w:rFonts w:hint="eastAsia"/>
          <w:szCs w:val="28"/>
        </w:rPr>
        <w:t xml:space="preserve"> with a width-height cross-section of </w:t>
      </w:r>
      <w:r>
        <w:rPr>
          <w:szCs w:val="28"/>
        </w:rPr>
        <w:t>16</w:t>
      </w:r>
      <w:r>
        <w:rPr>
          <w:rFonts w:hint="eastAsia"/>
          <w:szCs w:val="28"/>
        </w:rPr>
        <w:t>00</w:t>
      </w:r>
      <m:oMath>
        <m:r>
          <m:rPr>
            <m:sty m:val="p"/>
          </m:rPr>
          <w:rPr>
            <w:rFonts w:ascii="Cambria Math" w:hAnsi="Cambria Math"/>
            <w:szCs w:val="28"/>
          </w:rPr>
          <m:t>×</m:t>
        </m:r>
      </m:oMath>
      <w:r>
        <w:rPr>
          <w:rFonts w:hint="eastAsia"/>
          <w:szCs w:val="28"/>
        </w:rPr>
        <w:t>800 nm</w:t>
      </w:r>
      <w:r>
        <w:rPr>
          <w:rFonts w:hint="eastAsia"/>
          <w:szCs w:val="28"/>
          <w:vertAlign w:val="superscript"/>
        </w:rPr>
        <w:t>2</w:t>
      </w:r>
      <w:r>
        <w:rPr>
          <w:szCs w:val="28"/>
        </w:rPr>
        <w:t xml:space="preserve"> and a diameter of 446 μ</w:t>
      </w:r>
      <w:r>
        <w:rPr>
          <w:rFonts w:hint="eastAsia"/>
          <w:szCs w:val="28"/>
        </w:rPr>
        <w:t>m</w:t>
      </w:r>
      <w:r>
        <w:rPr>
          <w:szCs w:val="28"/>
        </w:rPr>
        <w:t xml:space="preserve"> </w:t>
      </w:r>
      <w:r>
        <w:rPr>
          <w:rFonts w:hint="eastAsia"/>
          <w:szCs w:val="28"/>
        </w:rPr>
        <w:t xml:space="preserve">are utilized for </w:t>
      </w:r>
      <w:r>
        <w:rPr>
          <w:szCs w:val="28"/>
        </w:rPr>
        <w:t>Kerr soliton dual-microcomb</w:t>
      </w:r>
      <w:r>
        <w:rPr>
          <w:rFonts w:hint="eastAsia"/>
          <w:szCs w:val="28"/>
        </w:rPr>
        <w:t xml:space="preserve"> generation.</w:t>
      </w:r>
      <w:r>
        <w:rPr>
          <w:szCs w:val="28"/>
        </w:rPr>
        <w:t xml:space="preserve"> </w:t>
      </w:r>
      <w:bookmarkStart w:id="2" w:name="OLE_LINK11"/>
      <w:bookmarkStart w:id="3" w:name="OLE_LINK12"/>
      <w:r>
        <w:rPr>
          <w:szCs w:val="28"/>
        </w:rPr>
        <w:t xml:space="preserve">According to the design parameters of the microring, the transverse electrical mode field distribution and longitudinal mode fields of the microring cavity are simulated by COMSOL </w:t>
      </w:r>
      <w:r>
        <w:rPr>
          <w:rFonts w:hint="eastAsia"/>
          <w:szCs w:val="28"/>
        </w:rPr>
        <w:t>Multiphysics</w:t>
      </w:r>
      <w:bookmarkEnd w:id="2"/>
      <w:bookmarkEnd w:id="3"/>
      <w:r>
        <w:rPr>
          <w:szCs w:val="28"/>
        </w:rPr>
        <w:t xml:space="preserve">, as shown in </w:t>
      </w:r>
      <w:r>
        <w:rPr>
          <w:b/>
          <w:bCs/>
          <w:szCs w:val="28"/>
        </w:rPr>
        <w:t xml:space="preserve">Fig. S1a </w:t>
      </w:r>
      <w:r>
        <w:rPr>
          <w:szCs w:val="28"/>
        </w:rPr>
        <w:t xml:space="preserve">and </w:t>
      </w:r>
      <w:r>
        <w:rPr>
          <w:b/>
          <w:bCs/>
          <w:szCs w:val="28"/>
        </w:rPr>
        <w:t>Fig. S1b</w:t>
      </w:r>
      <w:r>
        <w:rPr>
          <w:szCs w:val="28"/>
        </w:rPr>
        <w:t xml:space="preserve">, respectively. The longitudinal mode interval obtained by our simulation is 0.8 nm (≈ </w:t>
      </w:r>
      <w:r>
        <w:rPr>
          <w:rFonts w:hint="eastAsia"/>
          <w:szCs w:val="28"/>
        </w:rPr>
        <w:t>1</w:t>
      </w:r>
      <w:r>
        <w:rPr>
          <w:szCs w:val="28"/>
        </w:rPr>
        <w:t xml:space="preserve">00 GHz). </w:t>
      </w:r>
      <w:bookmarkStart w:id="4" w:name="OLE_LINK7"/>
      <w:r>
        <w:rPr>
          <w:b/>
          <w:bCs/>
          <w:szCs w:val="28"/>
        </w:rPr>
        <w:t>Fig. S1c</w:t>
      </w:r>
      <w:r>
        <w:rPr>
          <w:szCs w:val="28"/>
        </w:rPr>
        <w:t xml:space="preserve"> demonstrates the </w:t>
      </w:r>
      <w:bookmarkStart w:id="5" w:name="OLE_LINK2"/>
      <w:r>
        <w:rPr>
          <w:szCs w:val="28"/>
        </w:rPr>
        <w:t xml:space="preserve">simulated intracavity electric field distribution (longitude modes) of </w:t>
      </w:r>
      <w:r>
        <w:rPr>
          <w:szCs w:val="28"/>
        </w:rPr>
        <w:lastRenderedPageBreak/>
        <w:t>the fundamental mode (transverse mode) satisfying the resonant condition near 1549.6 nm</w:t>
      </w:r>
      <w:bookmarkEnd w:id="5"/>
      <w:r>
        <w:rPr>
          <w:szCs w:val="28"/>
        </w:rPr>
        <w:t>.</w:t>
      </w:r>
      <w:bookmarkEnd w:id="4"/>
      <w:r>
        <w:rPr>
          <w:szCs w:val="28"/>
        </w:rPr>
        <w:t xml:space="preserve"> The </w:t>
      </w:r>
      <w:r>
        <w:rPr>
          <w:rFonts w:hint="eastAsia"/>
          <w:szCs w:val="28"/>
        </w:rPr>
        <w:t>Si</w:t>
      </w:r>
      <w:r>
        <w:rPr>
          <w:rFonts w:hint="eastAsia"/>
          <w:szCs w:val="28"/>
          <w:vertAlign w:val="subscript"/>
        </w:rPr>
        <w:t>3</w:t>
      </w:r>
      <w:r>
        <w:rPr>
          <w:rFonts w:hint="eastAsia"/>
          <w:szCs w:val="28"/>
        </w:rPr>
        <w:t>N</w:t>
      </w:r>
      <w:r>
        <w:rPr>
          <w:rFonts w:hint="eastAsia"/>
          <w:szCs w:val="28"/>
          <w:vertAlign w:val="subscript"/>
        </w:rPr>
        <w:t>4</w:t>
      </w:r>
      <w:r>
        <w:rPr>
          <w:szCs w:val="28"/>
        </w:rPr>
        <w:t xml:space="preserve"> microring parameters obtained by simulation and experiment are summarized in </w:t>
      </w:r>
      <w:r>
        <w:rPr>
          <w:b/>
          <w:bCs/>
          <w:szCs w:val="28"/>
        </w:rPr>
        <w:t xml:space="preserve">Table </w:t>
      </w:r>
      <w:r>
        <w:rPr>
          <w:rFonts w:hint="eastAsia"/>
          <w:b/>
          <w:bCs/>
          <w:szCs w:val="28"/>
        </w:rPr>
        <w:t>S</w:t>
      </w:r>
      <w:r>
        <w:rPr>
          <w:b/>
          <w:bCs/>
          <w:szCs w:val="28"/>
        </w:rPr>
        <w:t>1</w:t>
      </w:r>
      <w:r>
        <w:rPr>
          <w:szCs w:val="28"/>
        </w:rPr>
        <w:t xml:space="preserve">. </w:t>
      </w:r>
    </w:p>
    <w:p w14:paraId="67EECA73" w14:textId="77777777" w:rsidR="005A0D3F" w:rsidRDefault="00834DAB">
      <w:pPr>
        <w:pStyle w:val="SMcaption"/>
        <w:adjustRightInd w:val="0"/>
        <w:snapToGrid w:val="0"/>
        <w:spacing w:line="360" w:lineRule="auto"/>
        <w:ind w:firstLine="480"/>
        <w:jc w:val="center"/>
      </w:pPr>
      <w:r>
        <w:rPr>
          <w:b/>
        </w:rPr>
        <w:t>Table S1. Parameters used in analytical calculations for soliton microcomb</w:t>
      </w:r>
    </w:p>
    <w:tbl>
      <w:tblPr>
        <w:tblStyle w:val="ac"/>
        <w:tblW w:w="0" w:type="auto"/>
        <w:jc w:val="center"/>
        <w:tblLook w:val="04A0" w:firstRow="1" w:lastRow="0" w:firstColumn="1" w:lastColumn="0" w:noHBand="0" w:noVBand="1"/>
      </w:tblPr>
      <w:tblGrid>
        <w:gridCol w:w="4041"/>
        <w:gridCol w:w="4521"/>
      </w:tblGrid>
      <w:tr w:rsidR="005A0D3F" w14:paraId="7ACF7C1C" w14:textId="77777777" w:rsidTr="005A0D3F">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041" w:type="dxa"/>
            <w:tcBorders>
              <w:top w:val="single" w:sz="12" w:space="0" w:color="auto"/>
              <w:bottom w:val="nil"/>
            </w:tcBorders>
            <w:shd w:val="clear" w:color="auto" w:fill="auto"/>
            <w:vAlign w:val="center"/>
          </w:tcPr>
          <w:p w14:paraId="4ED98D6B" w14:textId="77777777" w:rsidR="005A0D3F" w:rsidRDefault="00834DAB">
            <w:pPr>
              <w:adjustRightInd w:val="0"/>
              <w:snapToGrid w:val="0"/>
              <w:ind w:firstLineChars="0" w:firstLine="482"/>
              <w:jc w:val="center"/>
              <w:rPr>
                <w:rFonts w:eastAsia="等线" w:cs="Times New Roman"/>
                <w:color w:val="000000" w:themeColor="text1"/>
                <w:kern w:val="0"/>
                <w:szCs w:val="24"/>
              </w:rPr>
            </w:pPr>
            <w:r>
              <w:rPr>
                <w:rFonts w:eastAsia="等线" w:cs="Times New Roman"/>
                <w:color w:val="000000" w:themeColor="text1"/>
                <w:kern w:val="0"/>
                <w:szCs w:val="24"/>
              </w:rPr>
              <w:t>Parameters</w:t>
            </w:r>
          </w:p>
        </w:tc>
        <w:tc>
          <w:tcPr>
            <w:tcW w:w="4521" w:type="dxa"/>
            <w:tcBorders>
              <w:top w:val="single" w:sz="12" w:space="0" w:color="auto"/>
              <w:bottom w:val="nil"/>
            </w:tcBorders>
            <w:shd w:val="clear" w:color="auto" w:fill="auto"/>
            <w:vAlign w:val="center"/>
          </w:tcPr>
          <w:p w14:paraId="0B133471" w14:textId="77777777" w:rsidR="005A0D3F" w:rsidRDefault="00834DAB">
            <w:pPr>
              <w:adjustRightInd w:val="0"/>
              <w:snapToGrid w:val="0"/>
              <w:ind w:firstLineChars="0" w:firstLine="482"/>
              <w:jc w:val="center"/>
              <w:cnfStyle w:val="100000000000" w:firstRow="1"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Value</w:t>
            </w:r>
          </w:p>
        </w:tc>
      </w:tr>
      <w:tr w:rsidR="005A0D3F" w14:paraId="482CA7EC" w14:textId="77777777" w:rsidTr="005A0D3F">
        <w:trPr>
          <w:trHeight w:val="267"/>
          <w:jc w:val="center"/>
        </w:trPr>
        <w:tc>
          <w:tcPr>
            <w:cnfStyle w:val="001000000000" w:firstRow="0" w:lastRow="0" w:firstColumn="1" w:lastColumn="0" w:oddVBand="0" w:evenVBand="0" w:oddHBand="0" w:evenHBand="0" w:firstRowFirstColumn="0" w:firstRowLastColumn="0" w:lastRowFirstColumn="0" w:lastRowLastColumn="0"/>
            <w:tcW w:w="4041" w:type="dxa"/>
            <w:tcBorders>
              <w:left w:val="nil"/>
              <w:right w:val="nil"/>
            </w:tcBorders>
            <w:shd w:val="clear" w:color="auto" w:fill="auto"/>
            <w:vAlign w:val="center"/>
          </w:tcPr>
          <w:p w14:paraId="04D92CB2" w14:textId="77777777" w:rsidR="005A0D3F" w:rsidRDefault="00834DAB">
            <w:pPr>
              <w:adjustRightInd w:val="0"/>
              <w:snapToGrid w:val="0"/>
              <w:ind w:firstLineChars="0" w:firstLine="482"/>
              <w:jc w:val="center"/>
              <w:rPr>
                <w:rFonts w:eastAsia="等线" w:cs="Times New Roman"/>
                <w:b w:val="0"/>
                <w:i/>
                <w:color w:val="000000" w:themeColor="text1"/>
                <w:kern w:val="0"/>
                <w:szCs w:val="24"/>
                <w:vertAlign w:val="subscript"/>
              </w:rPr>
            </w:pPr>
            <w:r>
              <w:rPr>
                <w:rFonts w:eastAsia="等线" w:cs="Times New Roman"/>
                <w:b w:val="0"/>
                <w:i/>
                <w:color w:val="000000" w:themeColor="text1"/>
                <w:kern w:val="0"/>
                <w:szCs w:val="24"/>
              </w:rPr>
              <w:t>n</w:t>
            </w:r>
            <w:r>
              <w:rPr>
                <w:rFonts w:eastAsia="等线" w:cs="Times New Roman"/>
                <w:b w:val="0"/>
                <w:i/>
                <w:color w:val="000000" w:themeColor="text1"/>
                <w:kern w:val="0"/>
                <w:szCs w:val="24"/>
                <w:vertAlign w:val="subscript"/>
              </w:rPr>
              <w:t>eff</w:t>
            </w:r>
          </w:p>
        </w:tc>
        <w:tc>
          <w:tcPr>
            <w:tcW w:w="4521" w:type="dxa"/>
            <w:tcBorders>
              <w:right w:val="nil"/>
            </w:tcBorders>
            <w:shd w:val="clear" w:color="auto" w:fill="auto"/>
            <w:vAlign w:val="center"/>
          </w:tcPr>
          <w:p w14:paraId="1A945925" w14:textId="77777777" w:rsidR="005A0D3F" w:rsidRDefault="00834DAB">
            <w:pPr>
              <w:adjustRightInd w:val="0"/>
              <w:snapToGrid w:val="0"/>
              <w:ind w:firstLineChars="0" w:firstLine="482"/>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2.14</w:t>
            </w:r>
          </w:p>
        </w:tc>
      </w:tr>
      <w:tr w:rsidR="005A0D3F" w14:paraId="71E45D53" w14:textId="77777777" w:rsidTr="005A0D3F">
        <w:trPr>
          <w:trHeight w:val="272"/>
          <w:jc w:val="center"/>
        </w:trPr>
        <w:tc>
          <w:tcPr>
            <w:cnfStyle w:val="001000000000" w:firstRow="0" w:lastRow="0" w:firstColumn="1" w:lastColumn="0" w:oddVBand="0" w:evenVBand="0" w:oddHBand="0" w:evenHBand="0" w:firstRowFirstColumn="0" w:firstRowLastColumn="0" w:lastRowFirstColumn="0" w:lastRowLastColumn="0"/>
            <w:tcW w:w="4041" w:type="dxa"/>
            <w:shd w:val="clear" w:color="auto" w:fill="auto"/>
            <w:vAlign w:val="center"/>
          </w:tcPr>
          <w:p w14:paraId="7432ED83" w14:textId="77777777" w:rsidR="005A0D3F" w:rsidRDefault="00834DAB">
            <w:pPr>
              <w:adjustRightInd w:val="0"/>
              <w:snapToGrid w:val="0"/>
              <w:ind w:firstLineChars="0" w:firstLine="482"/>
              <w:jc w:val="center"/>
              <w:rPr>
                <w:rFonts w:eastAsia="等线" w:cs="Times New Roman"/>
                <w:b w:val="0"/>
                <w:i/>
                <w:color w:val="000000" w:themeColor="text1"/>
                <w:kern w:val="0"/>
                <w:szCs w:val="24"/>
              </w:rPr>
            </w:pPr>
            <w:r>
              <w:rPr>
                <w:rFonts w:eastAsia="等线" w:cs="Times New Roman"/>
                <w:b w:val="0"/>
                <w:i/>
                <w:color w:val="000000" w:themeColor="text1"/>
                <w:kern w:val="0"/>
                <w:szCs w:val="24"/>
              </w:rPr>
              <w:t>L</w:t>
            </w:r>
          </w:p>
        </w:tc>
        <w:tc>
          <w:tcPr>
            <w:tcW w:w="4521" w:type="dxa"/>
            <w:shd w:val="clear" w:color="auto" w:fill="auto"/>
            <w:vAlign w:val="center"/>
          </w:tcPr>
          <w:p w14:paraId="60CEA031" w14:textId="77777777" w:rsidR="005A0D3F" w:rsidRDefault="00834DAB">
            <w:pPr>
              <w:adjustRightInd w:val="0"/>
              <w:snapToGrid w:val="0"/>
              <w:ind w:firstLineChars="0" w:firstLine="482"/>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1.4 mm</w:t>
            </w:r>
          </w:p>
        </w:tc>
      </w:tr>
      <w:tr w:rsidR="005A0D3F" w14:paraId="6C1D932C" w14:textId="77777777" w:rsidTr="005A0D3F">
        <w:trPr>
          <w:trHeight w:val="275"/>
          <w:jc w:val="center"/>
        </w:trPr>
        <w:tc>
          <w:tcPr>
            <w:cnfStyle w:val="001000000000" w:firstRow="0" w:lastRow="0" w:firstColumn="1" w:lastColumn="0" w:oddVBand="0" w:evenVBand="0" w:oddHBand="0" w:evenHBand="0" w:firstRowFirstColumn="0" w:firstRowLastColumn="0" w:lastRowFirstColumn="0" w:lastRowLastColumn="0"/>
            <w:tcW w:w="4041" w:type="dxa"/>
            <w:tcBorders>
              <w:left w:val="nil"/>
              <w:right w:val="nil"/>
            </w:tcBorders>
            <w:shd w:val="clear" w:color="auto" w:fill="auto"/>
            <w:vAlign w:val="center"/>
          </w:tcPr>
          <w:p w14:paraId="60DD3E13" w14:textId="77777777" w:rsidR="005A0D3F" w:rsidRDefault="00834DAB">
            <w:pPr>
              <w:adjustRightInd w:val="0"/>
              <w:snapToGrid w:val="0"/>
              <w:ind w:firstLineChars="0" w:firstLine="482"/>
              <w:jc w:val="center"/>
              <w:rPr>
                <w:rFonts w:eastAsia="等线" w:cs="Times New Roman"/>
                <w:b w:val="0"/>
                <w:i/>
                <w:color w:val="000000" w:themeColor="text1"/>
                <w:kern w:val="0"/>
                <w:szCs w:val="24"/>
              </w:rPr>
            </w:pPr>
            <w:r>
              <w:rPr>
                <w:rFonts w:eastAsia="等线" w:cs="Times New Roman"/>
                <w:b w:val="0"/>
                <w:i/>
                <w:color w:val="000000" w:themeColor="text1"/>
                <w:kern w:val="0"/>
                <w:szCs w:val="24"/>
              </w:rPr>
              <w:t>D</w:t>
            </w:r>
            <w:r w:rsidRPr="00521F2D">
              <w:rPr>
                <w:rFonts w:eastAsia="等线" w:cs="Times New Roman"/>
                <w:b w:val="0"/>
                <w:bCs w:val="0"/>
                <w:color w:val="000000" w:themeColor="text1"/>
                <w:kern w:val="0"/>
                <w:szCs w:val="24"/>
                <w:vertAlign w:val="subscript"/>
              </w:rPr>
              <w:t>1</w:t>
            </w:r>
          </w:p>
        </w:tc>
        <w:tc>
          <w:tcPr>
            <w:tcW w:w="4521" w:type="dxa"/>
            <w:tcBorders>
              <w:right w:val="nil"/>
            </w:tcBorders>
            <w:shd w:val="clear" w:color="auto" w:fill="auto"/>
            <w:vAlign w:val="center"/>
          </w:tcPr>
          <w:p w14:paraId="22A341BC" w14:textId="77777777" w:rsidR="005A0D3F" w:rsidRDefault="00834DAB">
            <w:pPr>
              <w:adjustRightInd w:val="0"/>
              <w:snapToGrid w:val="0"/>
              <w:ind w:firstLineChars="0" w:firstLine="482"/>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100 GHz</w:t>
            </w:r>
          </w:p>
        </w:tc>
      </w:tr>
      <w:tr w:rsidR="005A0D3F" w14:paraId="7591E7F6" w14:textId="77777777" w:rsidTr="005A0D3F">
        <w:trPr>
          <w:trHeight w:val="279"/>
          <w:jc w:val="center"/>
        </w:trPr>
        <w:tc>
          <w:tcPr>
            <w:cnfStyle w:val="001000000000" w:firstRow="0" w:lastRow="0" w:firstColumn="1" w:lastColumn="0" w:oddVBand="0" w:evenVBand="0" w:oddHBand="0" w:evenHBand="0" w:firstRowFirstColumn="0" w:firstRowLastColumn="0" w:lastRowFirstColumn="0" w:lastRowLastColumn="0"/>
            <w:tcW w:w="4041" w:type="dxa"/>
            <w:shd w:val="clear" w:color="auto" w:fill="auto"/>
            <w:vAlign w:val="center"/>
          </w:tcPr>
          <w:p w14:paraId="45A402EF" w14:textId="77777777" w:rsidR="005A0D3F" w:rsidRDefault="00834DAB">
            <w:pPr>
              <w:adjustRightInd w:val="0"/>
              <w:snapToGrid w:val="0"/>
              <w:ind w:firstLine="480"/>
              <w:jc w:val="center"/>
              <w:rPr>
                <w:rFonts w:eastAsia="等线" w:cs="Times New Roman"/>
                <w:b w:val="0"/>
                <w:i/>
                <w:color w:val="000000" w:themeColor="text1"/>
                <w:kern w:val="0"/>
                <w:szCs w:val="24"/>
              </w:rPr>
            </w:pPr>
            <w:r>
              <w:rPr>
                <w:rFonts w:eastAsia="等线" w:cs="Times New Roman"/>
                <w:b w:val="0"/>
                <w:i/>
                <w:color w:val="000000" w:themeColor="text1"/>
                <w:kern w:val="0"/>
                <w:szCs w:val="24"/>
              </w:rPr>
              <w:t>γ</w:t>
            </w:r>
          </w:p>
        </w:tc>
        <w:tc>
          <w:tcPr>
            <w:tcW w:w="4521" w:type="dxa"/>
            <w:shd w:val="clear" w:color="auto" w:fill="auto"/>
            <w:vAlign w:val="center"/>
          </w:tcPr>
          <w:p w14:paraId="40115FB8" w14:textId="77777777" w:rsidR="005A0D3F" w:rsidRDefault="00834DAB">
            <w:pPr>
              <w:adjustRightInd w:val="0"/>
              <w:snapToGrid w:val="0"/>
              <w:ind w:firstLine="480"/>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1.0 w</w:t>
            </w:r>
            <w:r>
              <w:rPr>
                <w:rFonts w:eastAsia="等线" w:cs="Times New Roman"/>
                <w:color w:val="000000" w:themeColor="text1"/>
                <w:kern w:val="0"/>
                <w:szCs w:val="24"/>
                <w:vertAlign w:val="superscript"/>
              </w:rPr>
              <w:t>-1</w:t>
            </w:r>
            <w:r>
              <w:rPr>
                <w:rFonts w:eastAsia="等线" w:cs="Times New Roman"/>
                <w:color w:val="000000" w:themeColor="text1"/>
                <w:kern w:val="0"/>
                <w:szCs w:val="24"/>
              </w:rPr>
              <w:t>∙m</w:t>
            </w:r>
            <w:r>
              <w:rPr>
                <w:rFonts w:eastAsia="等线" w:cs="Times New Roman"/>
                <w:color w:val="000000" w:themeColor="text1"/>
                <w:kern w:val="0"/>
                <w:szCs w:val="24"/>
                <w:vertAlign w:val="superscript"/>
              </w:rPr>
              <w:t>-1</w:t>
            </w:r>
          </w:p>
        </w:tc>
      </w:tr>
      <w:tr w:rsidR="005A0D3F" w14:paraId="12D33D15" w14:textId="77777777" w:rsidTr="005A0D3F">
        <w:trPr>
          <w:trHeight w:val="282"/>
          <w:jc w:val="center"/>
        </w:trPr>
        <w:tc>
          <w:tcPr>
            <w:cnfStyle w:val="001000000000" w:firstRow="0" w:lastRow="0" w:firstColumn="1" w:lastColumn="0" w:oddVBand="0" w:evenVBand="0" w:oddHBand="0" w:evenHBand="0" w:firstRowFirstColumn="0" w:firstRowLastColumn="0" w:lastRowFirstColumn="0" w:lastRowLastColumn="0"/>
            <w:tcW w:w="4041" w:type="dxa"/>
            <w:tcBorders>
              <w:left w:val="nil"/>
              <w:right w:val="nil"/>
            </w:tcBorders>
            <w:shd w:val="clear" w:color="auto" w:fill="auto"/>
            <w:vAlign w:val="center"/>
          </w:tcPr>
          <w:p w14:paraId="797CCB90" w14:textId="77777777" w:rsidR="005A0D3F" w:rsidRDefault="00834DAB">
            <w:pPr>
              <w:adjustRightInd w:val="0"/>
              <w:snapToGrid w:val="0"/>
              <w:ind w:firstLine="480"/>
              <w:jc w:val="center"/>
              <w:rPr>
                <w:rFonts w:eastAsia="等线" w:cs="Times New Roman"/>
                <w:b w:val="0"/>
                <w:i/>
                <w:color w:val="000000" w:themeColor="text1"/>
                <w:kern w:val="0"/>
                <w:szCs w:val="24"/>
              </w:rPr>
            </w:pPr>
            <w:r>
              <w:rPr>
                <w:rFonts w:eastAsia="等线" w:cs="Times New Roman"/>
                <w:b w:val="0"/>
                <w:i/>
                <w:color w:val="000000" w:themeColor="text1"/>
                <w:kern w:val="0"/>
                <w:szCs w:val="24"/>
              </w:rPr>
              <w:t>β</w:t>
            </w:r>
            <w:r w:rsidRPr="00521F2D">
              <w:rPr>
                <w:rFonts w:eastAsia="等线" w:cs="Times New Roman"/>
                <w:b w:val="0"/>
                <w:bCs w:val="0"/>
                <w:color w:val="000000" w:themeColor="text1"/>
                <w:kern w:val="0"/>
                <w:szCs w:val="24"/>
                <w:vertAlign w:val="subscript"/>
              </w:rPr>
              <w:t>2</w:t>
            </w:r>
          </w:p>
        </w:tc>
        <w:tc>
          <w:tcPr>
            <w:tcW w:w="4521" w:type="dxa"/>
            <w:tcBorders>
              <w:right w:val="nil"/>
            </w:tcBorders>
            <w:shd w:val="clear" w:color="auto" w:fill="auto"/>
            <w:vAlign w:val="center"/>
          </w:tcPr>
          <w:p w14:paraId="439A559D" w14:textId="77777777" w:rsidR="005A0D3F" w:rsidRDefault="00834DAB">
            <w:pPr>
              <w:adjustRightInd w:val="0"/>
              <w:snapToGrid w:val="0"/>
              <w:ind w:firstLine="480"/>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bookmarkStart w:id="6" w:name="OLE_LINK3"/>
            <w:bookmarkStart w:id="7" w:name="OLE_LINK4"/>
            <w:r>
              <w:rPr>
                <w:rFonts w:eastAsia="等线" w:cs="Times New Roman"/>
                <w:color w:val="000000" w:themeColor="text1"/>
                <w:kern w:val="0"/>
                <w:szCs w:val="24"/>
              </w:rPr>
              <w:t>-80×10</w:t>
            </w:r>
            <w:r>
              <w:rPr>
                <w:rFonts w:eastAsia="等线" w:cs="Times New Roman"/>
                <w:color w:val="000000" w:themeColor="text1"/>
                <w:kern w:val="0"/>
                <w:szCs w:val="24"/>
                <w:vertAlign w:val="superscript"/>
              </w:rPr>
              <w:t>-27</w:t>
            </w:r>
            <w:bookmarkEnd w:id="6"/>
            <w:bookmarkEnd w:id="7"/>
            <w:r>
              <w:rPr>
                <w:rFonts w:eastAsia="等线" w:cs="Times New Roman"/>
                <w:color w:val="000000" w:themeColor="text1"/>
                <w:kern w:val="0"/>
                <w:szCs w:val="24"/>
              </w:rPr>
              <w:t xml:space="preserve"> s</w:t>
            </w:r>
            <w:r>
              <w:rPr>
                <w:rFonts w:eastAsia="等线" w:cs="Times New Roman"/>
                <w:color w:val="000000" w:themeColor="text1"/>
                <w:kern w:val="0"/>
                <w:szCs w:val="24"/>
                <w:vertAlign w:val="superscript"/>
              </w:rPr>
              <w:t>2</w:t>
            </w:r>
            <w:r>
              <w:rPr>
                <w:rFonts w:eastAsia="等线" w:cs="Times New Roman"/>
                <w:color w:val="000000" w:themeColor="text1"/>
                <w:kern w:val="0"/>
                <w:szCs w:val="24"/>
              </w:rPr>
              <w:t xml:space="preserve"> m</w:t>
            </w:r>
            <w:r>
              <w:rPr>
                <w:rFonts w:eastAsia="等线" w:cs="Times New Roman"/>
                <w:color w:val="000000" w:themeColor="text1"/>
                <w:kern w:val="0"/>
                <w:szCs w:val="24"/>
                <w:vertAlign w:val="superscript"/>
              </w:rPr>
              <w:t>-1</w:t>
            </w:r>
          </w:p>
        </w:tc>
      </w:tr>
      <w:tr w:rsidR="005A0D3F" w14:paraId="38507800" w14:textId="77777777" w:rsidTr="005A0D3F">
        <w:trPr>
          <w:trHeight w:val="260"/>
          <w:jc w:val="center"/>
        </w:trPr>
        <w:tc>
          <w:tcPr>
            <w:cnfStyle w:val="001000000000" w:firstRow="0" w:lastRow="0" w:firstColumn="1" w:lastColumn="0" w:oddVBand="0" w:evenVBand="0" w:oddHBand="0" w:evenHBand="0" w:firstRowFirstColumn="0" w:firstRowLastColumn="0" w:lastRowFirstColumn="0" w:lastRowLastColumn="0"/>
            <w:tcW w:w="4041" w:type="dxa"/>
            <w:shd w:val="clear" w:color="auto" w:fill="auto"/>
            <w:vAlign w:val="center"/>
          </w:tcPr>
          <w:p w14:paraId="4CDB0853" w14:textId="77777777" w:rsidR="005A0D3F" w:rsidRDefault="00834DAB">
            <w:pPr>
              <w:adjustRightInd w:val="0"/>
              <w:snapToGrid w:val="0"/>
              <w:ind w:firstLine="480"/>
              <w:jc w:val="center"/>
              <w:rPr>
                <w:rFonts w:eastAsia="等线" w:cs="Times New Roman"/>
                <w:b w:val="0"/>
                <w:i/>
                <w:color w:val="000000" w:themeColor="text1"/>
                <w:kern w:val="0"/>
                <w:szCs w:val="24"/>
              </w:rPr>
            </w:pPr>
            <w:r>
              <w:rPr>
                <w:rFonts w:eastAsia="等线" w:cs="Times New Roman"/>
                <w:b w:val="0"/>
                <w:i/>
                <w:color w:val="000000" w:themeColor="text1"/>
                <w:kern w:val="0"/>
                <w:szCs w:val="24"/>
              </w:rPr>
              <w:t>Q</w:t>
            </w:r>
          </w:p>
        </w:tc>
        <w:tc>
          <w:tcPr>
            <w:tcW w:w="4521" w:type="dxa"/>
            <w:shd w:val="clear" w:color="auto" w:fill="auto"/>
            <w:vAlign w:val="center"/>
          </w:tcPr>
          <w:p w14:paraId="09DB2CC0" w14:textId="77777777" w:rsidR="005A0D3F" w:rsidRDefault="00834DAB">
            <w:pPr>
              <w:adjustRightInd w:val="0"/>
              <w:snapToGrid w:val="0"/>
              <w:ind w:firstLine="480"/>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4×10</w:t>
            </w:r>
            <w:r>
              <w:rPr>
                <w:rFonts w:eastAsia="等线" w:cs="Times New Roman"/>
                <w:color w:val="000000" w:themeColor="text1"/>
                <w:kern w:val="0"/>
                <w:szCs w:val="24"/>
                <w:vertAlign w:val="superscript"/>
              </w:rPr>
              <w:t>6</w:t>
            </w:r>
          </w:p>
        </w:tc>
      </w:tr>
      <w:tr w:rsidR="005A0D3F" w14:paraId="1C2A6D3D" w14:textId="77777777" w:rsidTr="005A0D3F">
        <w:trPr>
          <w:trHeight w:val="276"/>
          <w:jc w:val="center"/>
        </w:trPr>
        <w:tc>
          <w:tcPr>
            <w:cnfStyle w:val="001000000000" w:firstRow="0" w:lastRow="0" w:firstColumn="1" w:lastColumn="0" w:oddVBand="0" w:evenVBand="0" w:oddHBand="0" w:evenHBand="0" w:firstRowFirstColumn="0" w:firstRowLastColumn="0" w:lastRowFirstColumn="0" w:lastRowLastColumn="0"/>
            <w:tcW w:w="4041" w:type="dxa"/>
            <w:tcBorders>
              <w:left w:val="nil"/>
              <w:right w:val="nil"/>
            </w:tcBorders>
            <w:shd w:val="clear" w:color="auto" w:fill="auto"/>
            <w:vAlign w:val="center"/>
          </w:tcPr>
          <w:p w14:paraId="02185EF6" w14:textId="77777777" w:rsidR="005A0D3F" w:rsidRDefault="00834DAB">
            <w:pPr>
              <w:adjustRightInd w:val="0"/>
              <w:snapToGrid w:val="0"/>
              <w:ind w:firstLine="480"/>
              <w:jc w:val="center"/>
              <w:rPr>
                <w:rFonts w:eastAsia="等线" w:cs="Times New Roman"/>
                <w:b w:val="0"/>
                <w:i/>
                <w:color w:val="000000" w:themeColor="text1"/>
                <w:kern w:val="0"/>
                <w:szCs w:val="24"/>
              </w:rPr>
            </w:pPr>
            <w:r>
              <w:rPr>
                <w:rFonts w:eastAsia="等线" w:cs="Times New Roman"/>
                <w:b w:val="0"/>
                <w:i/>
                <w:color w:val="000000" w:themeColor="text1"/>
                <w:kern w:val="0"/>
                <w:szCs w:val="24"/>
              </w:rPr>
              <w:t>α</w:t>
            </w:r>
          </w:p>
        </w:tc>
        <w:tc>
          <w:tcPr>
            <w:tcW w:w="4521" w:type="dxa"/>
            <w:tcBorders>
              <w:right w:val="nil"/>
            </w:tcBorders>
            <w:shd w:val="clear" w:color="auto" w:fill="auto"/>
            <w:vAlign w:val="center"/>
          </w:tcPr>
          <w:p w14:paraId="7BFFB75D" w14:textId="77777777" w:rsidR="005A0D3F" w:rsidRDefault="00834DAB">
            <w:pPr>
              <w:adjustRightInd w:val="0"/>
              <w:snapToGrid w:val="0"/>
              <w:ind w:firstLine="480"/>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0.003</w:t>
            </w:r>
          </w:p>
        </w:tc>
      </w:tr>
      <w:tr w:rsidR="005A0D3F" w14:paraId="32805D0F" w14:textId="77777777" w:rsidTr="005A0D3F">
        <w:trPr>
          <w:trHeight w:val="268"/>
          <w:jc w:val="center"/>
        </w:trPr>
        <w:tc>
          <w:tcPr>
            <w:cnfStyle w:val="001000000000" w:firstRow="0" w:lastRow="0" w:firstColumn="1" w:lastColumn="0" w:oddVBand="0" w:evenVBand="0" w:oddHBand="0" w:evenHBand="0" w:firstRowFirstColumn="0" w:firstRowLastColumn="0" w:lastRowFirstColumn="0" w:lastRowLastColumn="0"/>
            <w:tcW w:w="4041" w:type="dxa"/>
            <w:tcBorders>
              <w:left w:val="nil"/>
              <w:right w:val="nil"/>
            </w:tcBorders>
            <w:shd w:val="clear" w:color="auto" w:fill="auto"/>
            <w:vAlign w:val="center"/>
          </w:tcPr>
          <w:p w14:paraId="22AD90B5" w14:textId="77777777" w:rsidR="005A0D3F" w:rsidRDefault="00834DAB">
            <w:pPr>
              <w:adjustRightInd w:val="0"/>
              <w:snapToGrid w:val="0"/>
              <w:ind w:firstLine="480"/>
              <w:jc w:val="center"/>
              <w:rPr>
                <w:rFonts w:eastAsia="等线" w:cs="Times New Roman"/>
                <w:b w:val="0"/>
                <w:bCs w:val="0"/>
                <w:i/>
                <w:color w:val="000000" w:themeColor="text1"/>
                <w:kern w:val="0"/>
                <w:szCs w:val="24"/>
              </w:rPr>
            </w:pPr>
            <w:r>
              <w:rPr>
                <w:rFonts w:eastAsia="等线" w:cs="Times New Roman"/>
                <w:b w:val="0"/>
                <w:i/>
                <w:color w:val="000000" w:themeColor="text1"/>
                <w:kern w:val="0"/>
                <w:szCs w:val="24"/>
              </w:rPr>
              <w:t>θ</w:t>
            </w:r>
          </w:p>
        </w:tc>
        <w:tc>
          <w:tcPr>
            <w:tcW w:w="4521" w:type="dxa"/>
            <w:tcBorders>
              <w:right w:val="nil"/>
            </w:tcBorders>
            <w:shd w:val="clear" w:color="auto" w:fill="auto"/>
            <w:vAlign w:val="center"/>
          </w:tcPr>
          <w:p w14:paraId="77953788" w14:textId="77777777" w:rsidR="005A0D3F" w:rsidRDefault="00834DAB">
            <w:pPr>
              <w:adjustRightInd w:val="0"/>
              <w:snapToGrid w:val="0"/>
              <w:ind w:firstLine="480"/>
              <w:jc w:val="center"/>
              <w:cnfStyle w:val="000000000000" w:firstRow="0" w:lastRow="0" w:firstColumn="0" w:lastColumn="0" w:oddVBand="0" w:evenVBand="0" w:oddHBand="0" w:evenHBand="0" w:firstRowFirstColumn="0" w:firstRowLastColumn="0" w:lastRowFirstColumn="0" w:lastRowLastColumn="0"/>
              <w:rPr>
                <w:rFonts w:eastAsia="等线" w:cs="Times New Roman"/>
                <w:color w:val="000000" w:themeColor="text1"/>
                <w:kern w:val="0"/>
                <w:szCs w:val="24"/>
              </w:rPr>
            </w:pPr>
            <w:r>
              <w:rPr>
                <w:rFonts w:eastAsia="等线" w:cs="Times New Roman"/>
                <w:color w:val="000000" w:themeColor="text1"/>
                <w:kern w:val="0"/>
                <w:szCs w:val="24"/>
              </w:rPr>
              <w:t>0.0015</w:t>
            </w:r>
          </w:p>
        </w:tc>
      </w:tr>
    </w:tbl>
    <w:p w14:paraId="017EDDA6" w14:textId="77777777" w:rsidR="005A0D3F" w:rsidRDefault="005A0D3F">
      <w:pPr>
        <w:adjustRightInd w:val="0"/>
        <w:snapToGrid w:val="0"/>
        <w:ind w:firstLineChars="0" w:firstLine="0"/>
        <w:rPr>
          <w:szCs w:val="28"/>
        </w:rPr>
      </w:pPr>
    </w:p>
    <w:p w14:paraId="7B09CA92" w14:textId="4A60799C" w:rsidR="005A0D3F" w:rsidRDefault="00834DAB">
      <w:pPr>
        <w:adjustRightInd w:val="0"/>
        <w:snapToGrid w:val="0"/>
        <w:ind w:firstLine="480"/>
        <w:rPr>
          <w:szCs w:val="28"/>
        </w:rPr>
      </w:pPr>
      <w:r>
        <w:rPr>
          <w:szCs w:val="28"/>
        </w:rPr>
        <w:t xml:space="preserve">Based on the parameters shown in the table, and using the </w:t>
      </w:r>
      <w:r>
        <w:rPr>
          <w:rFonts w:hint="eastAsia"/>
          <w:szCs w:val="28"/>
        </w:rPr>
        <w:t>Lugiato</w:t>
      </w:r>
      <w:r>
        <w:rPr>
          <w:szCs w:val="28"/>
        </w:rPr>
        <w:t>-</w:t>
      </w:r>
      <w:r>
        <w:rPr>
          <w:rFonts w:hint="eastAsia"/>
          <w:szCs w:val="28"/>
        </w:rPr>
        <w:t>Lefever</w:t>
      </w:r>
      <w:r>
        <w:rPr>
          <w:szCs w:val="28"/>
        </w:rPr>
        <w:t xml:space="preserve"> </w:t>
      </w:r>
      <w:r>
        <w:rPr>
          <w:rFonts w:hint="eastAsia"/>
          <w:szCs w:val="28"/>
        </w:rPr>
        <w:t>equation</w:t>
      </w:r>
      <w:r>
        <w:rPr>
          <w:szCs w:val="28"/>
        </w:rPr>
        <w:t xml:space="preserve"> (LLE) model, we </w:t>
      </w:r>
      <w:bookmarkStart w:id="8" w:name="OLE_LINK24"/>
      <w:bookmarkStart w:id="9" w:name="OLE_LINK23"/>
      <w:r>
        <w:rPr>
          <w:szCs w:val="28"/>
        </w:rPr>
        <w:t xml:space="preserve">numerically </w:t>
      </w:r>
      <w:bookmarkEnd w:id="8"/>
      <w:bookmarkEnd w:id="9"/>
      <w:r>
        <w:rPr>
          <w:szCs w:val="28"/>
        </w:rPr>
        <w:t xml:space="preserve">calculate the generation process of soliton microcomb in the microring. The </w:t>
      </w:r>
      <w:r>
        <w:rPr>
          <w:szCs w:val="24"/>
        </w:rPr>
        <w:t>LLE can be expressed as follows [</w:t>
      </w:r>
      <w:r>
        <w:rPr>
          <w:szCs w:val="24"/>
        </w:rPr>
        <w:fldChar w:fldCharType="begin" w:fldLock="1"/>
      </w:r>
      <w:r w:rsidR="00FE76DC">
        <w:rPr>
          <w:szCs w:val="24"/>
        </w:rPr>
        <w:instrText xml:space="preserve"> ADDIN ZOTERO_ITEM CSL_CITATION {"citationID":"wxaFsbEa","properties":{"formattedCitation":"\\super 1\\nosupersub{}","plainCitation":"1","noteIndex":0},"citationItems":[{"id":"7KFSzQ2n/xIk0oTfU","uris":["http://www.mendeley.com/documents/?uuid=54ad153f-b430-4ca9-be5b-9a9f5514f70c"],"itemData":{"DOI":"10.1038/nphoton.2017.140","ISSN":"1749-4885","author":[{"dropping-particle":"","family":"Obrzud","given":"Ewelina","non-dropping-particle":"","parse-names":false,"suffix":""},{"dropping-particle":"","family":"Lecomte","given":"Steve","non-dropping-particle":"","parse-names":false,"suffix":""},{"dropping-particle":"","family":"Herr","given":"Tobias","non-dropping-particle":"","parse-names":false,"suffix":""}],"container-title":"Nature Photonics","id":"ITEM-1","issue":"9","issued":{"date-parts":[["2017","8","21"]]},"page":"600-607","title":"Temporal solitons in microresonators driven by optical pulses","type":"article-journal","volume":"11"}}],"schema":"https://github.com/citation-style-language/schema/raw/master/csl-citation.json"} </w:instrText>
      </w:r>
      <w:r>
        <w:rPr>
          <w:szCs w:val="24"/>
        </w:rPr>
        <w:fldChar w:fldCharType="separate"/>
      </w:r>
      <w:r w:rsidR="00FE76DC" w:rsidRPr="00FE76DC">
        <w:rPr>
          <w:rFonts w:cs="Times New Roman"/>
          <w:kern w:val="0"/>
          <w:szCs w:val="24"/>
          <w:vertAlign w:val="superscript"/>
        </w:rPr>
        <w:t>1</w:t>
      </w:r>
      <w:r>
        <w:rPr>
          <w:szCs w:val="24"/>
        </w:rPr>
        <w:fldChar w:fldCharType="end"/>
      </w:r>
      <w:r>
        <w:rPr>
          <w:szCs w:val="24"/>
        </w:rPr>
        <w:t>]:</w:t>
      </w:r>
    </w:p>
    <w:p w14:paraId="41AD35C1" w14:textId="77777777" w:rsidR="005A0D3F" w:rsidRDefault="00834DAB">
      <w:pPr>
        <w:pStyle w:val="SMText"/>
        <w:adjustRightInd w:val="0"/>
        <w:snapToGrid w:val="0"/>
        <w:spacing w:line="360" w:lineRule="auto"/>
        <w:jc w:val="right"/>
        <w:textAlignment w:val="center"/>
        <w:rPr>
          <w:rFonts w:eastAsia="等线"/>
          <w:szCs w:val="24"/>
        </w:rPr>
      </w:pPr>
      <w:r>
        <w:rPr>
          <w:rFonts w:eastAsia="等线"/>
          <w:szCs w:val="24"/>
        </w:rPr>
        <w:object w:dxaOrig="6294" w:dyaOrig="604" w14:anchorId="7EEA5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5pt;height:30.05pt" o:ole="">
            <v:imagedata r:id="rId8" o:title=""/>
          </v:shape>
          <o:OLEObject Type="Embed" ProgID="Equation.DSMT4" ShapeID="_x0000_i1025" DrawAspect="Content" ObjectID="_1774013324" r:id="rId9"/>
        </w:object>
      </w:r>
      <w:r>
        <w:rPr>
          <w:rFonts w:eastAsia="等线"/>
          <w:szCs w:val="24"/>
        </w:rPr>
        <w:tab/>
      </w:r>
      <w:r>
        <w:rPr>
          <w:rFonts w:eastAsia="等线"/>
          <w:szCs w:val="24"/>
        </w:rPr>
        <w:tab/>
      </w:r>
      <w:r>
        <w:rPr>
          <w:rFonts w:eastAsia="等线"/>
          <w:szCs w:val="24"/>
        </w:rPr>
        <w:tab/>
      </w:r>
      <w:r>
        <w:rPr>
          <w:rFonts w:eastAsia="等线"/>
          <w:szCs w:val="24"/>
        </w:rPr>
        <w:tab/>
        <w:t>(S1)</w:t>
      </w:r>
    </w:p>
    <w:p w14:paraId="20787DF7" w14:textId="0697AC6E" w:rsidR="005A0D3F" w:rsidRDefault="00834DAB">
      <w:pPr>
        <w:adjustRightInd w:val="0"/>
        <w:snapToGrid w:val="0"/>
        <w:ind w:firstLine="480"/>
        <w:rPr>
          <w:rFonts w:eastAsia="等线"/>
          <w:szCs w:val="24"/>
        </w:rPr>
      </w:pPr>
      <w:r>
        <w:rPr>
          <w:rFonts w:eastAsia="等线"/>
          <w:szCs w:val="24"/>
        </w:rPr>
        <w:t xml:space="preserve">Here, </w:t>
      </w:r>
      <w:r>
        <w:rPr>
          <w:rFonts w:eastAsia="等线"/>
          <w:i/>
          <w:iCs/>
          <w:szCs w:val="24"/>
        </w:rPr>
        <w:t>t</w:t>
      </w:r>
      <w:r>
        <w:rPr>
          <w:rFonts w:eastAsia="等线"/>
          <w:i/>
          <w:iCs/>
          <w:szCs w:val="24"/>
          <w:vertAlign w:val="subscript"/>
        </w:rPr>
        <w:t>R</w:t>
      </w:r>
      <w:r>
        <w:rPr>
          <w:rFonts w:eastAsia="等线"/>
          <w:szCs w:val="24"/>
          <w:vertAlign w:val="subscript"/>
        </w:rPr>
        <w:t xml:space="preserve"> </w:t>
      </w:r>
      <w:r>
        <w:rPr>
          <w:rFonts w:eastAsia="等线"/>
          <w:szCs w:val="24"/>
        </w:rPr>
        <w:t>represents roundtrip time</w:t>
      </w:r>
      <w:r>
        <w:rPr>
          <w:szCs w:val="24"/>
        </w:rPr>
        <w:t xml:space="preserve"> of the Si</w:t>
      </w:r>
      <w:r>
        <w:rPr>
          <w:szCs w:val="24"/>
          <w:vertAlign w:val="subscript"/>
        </w:rPr>
        <w:t>3</w:t>
      </w:r>
      <w:r>
        <w:rPr>
          <w:szCs w:val="24"/>
        </w:rPr>
        <w:t>N</w:t>
      </w:r>
      <w:r>
        <w:rPr>
          <w:szCs w:val="24"/>
          <w:vertAlign w:val="subscript"/>
        </w:rPr>
        <w:t>4</w:t>
      </w:r>
      <w:r>
        <w:rPr>
          <w:szCs w:val="24"/>
        </w:rPr>
        <w:t xml:space="preserve"> microring</w:t>
      </w:r>
      <w:r>
        <w:rPr>
          <w:rFonts w:eastAsia="等线"/>
          <w:szCs w:val="24"/>
        </w:rPr>
        <w:t xml:space="preserve">, </w:t>
      </w:r>
      <w:r>
        <w:rPr>
          <w:i/>
          <w:szCs w:val="24"/>
        </w:rPr>
        <w:t>t</w:t>
      </w:r>
      <w:r>
        <w:rPr>
          <w:szCs w:val="24"/>
        </w:rPr>
        <w:t xml:space="preserve"> and </w:t>
      </w:r>
      <w:r>
        <w:rPr>
          <w:i/>
          <w:szCs w:val="24"/>
        </w:rPr>
        <w:t xml:space="preserve">τ </w:t>
      </w:r>
      <w:r>
        <w:rPr>
          <w:szCs w:val="24"/>
        </w:rPr>
        <w:t xml:space="preserve">are </w:t>
      </w:r>
      <w:r>
        <w:rPr>
          <w:rFonts w:hint="eastAsia"/>
          <w:szCs w:val="24"/>
        </w:rPr>
        <w:t>denote</w:t>
      </w:r>
      <w:r>
        <w:rPr>
          <w:szCs w:val="24"/>
        </w:rPr>
        <w:t xml:space="preserve"> the slow time </w:t>
      </w:r>
      <w:r>
        <w:rPr>
          <w:color w:val="000000"/>
          <w:szCs w:val="24"/>
        </w:rPr>
        <w:t xml:space="preserve">at the scale of the cavity photon lifetime and the fast time defined in a reference frame moving at the light group velocity in the cavity, respectively, which are used to describe the evolution of the intracavity comb field </w:t>
      </w:r>
      <w:r>
        <w:rPr>
          <w:i/>
          <w:color w:val="000000"/>
          <w:szCs w:val="24"/>
        </w:rPr>
        <w:t>E</w:t>
      </w:r>
      <w:r w:rsidR="003433F9">
        <w:rPr>
          <w:i/>
          <w:color w:val="000000"/>
          <w:szCs w:val="24"/>
        </w:rPr>
        <w:t xml:space="preserve"> </w:t>
      </w:r>
      <w:r>
        <w:rPr>
          <w:color w:val="000000"/>
          <w:szCs w:val="24"/>
        </w:rPr>
        <w:t>(</w:t>
      </w:r>
      <w:r>
        <w:rPr>
          <w:i/>
          <w:color w:val="000000"/>
          <w:szCs w:val="24"/>
        </w:rPr>
        <w:t>t, τ</w:t>
      </w:r>
      <w:r>
        <w:rPr>
          <w:color w:val="000000"/>
          <w:szCs w:val="24"/>
        </w:rPr>
        <w:t>)</w:t>
      </w:r>
      <w:r>
        <w:rPr>
          <w:rFonts w:eastAsia="等线"/>
          <w:szCs w:val="24"/>
        </w:rPr>
        <w:t xml:space="preserve">. On the right side of </w:t>
      </w:r>
      <w:r w:rsidR="0084028A">
        <w:rPr>
          <w:rFonts w:eastAsia="等线"/>
          <w:szCs w:val="24"/>
        </w:rPr>
        <w:t xml:space="preserve">the </w:t>
      </w:r>
      <w:r>
        <w:rPr>
          <w:rFonts w:eastAsia="等线"/>
          <w:szCs w:val="24"/>
        </w:rPr>
        <w:t xml:space="preserve">equation, </w:t>
      </w:r>
      <w:r>
        <w:rPr>
          <w:rFonts w:eastAsia="等线" w:cs="Times New Roman"/>
          <w:i/>
          <w:iCs/>
          <w:szCs w:val="24"/>
        </w:rPr>
        <w:t>κ</w:t>
      </w:r>
      <w:r>
        <w:rPr>
          <w:rFonts w:eastAsia="等线"/>
          <w:szCs w:val="24"/>
        </w:rPr>
        <w:t xml:space="preserve"> is total intracavity power loss, </w:t>
      </w:r>
      <w:r>
        <w:rPr>
          <w:rFonts w:eastAsia="等线"/>
          <w:i/>
          <w:iCs/>
          <w:szCs w:val="24"/>
        </w:rPr>
        <w:t>δω</w:t>
      </w:r>
      <w:r>
        <w:rPr>
          <w:rFonts w:eastAsia="等线"/>
          <w:szCs w:val="24"/>
          <w:vertAlign w:val="subscript"/>
        </w:rPr>
        <w:t>0</w:t>
      </w:r>
      <w:r>
        <w:rPr>
          <w:rFonts w:eastAsia="等线"/>
          <w:szCs w:val="24"/>
        </w:rPr>
        <w:t xml:space="preserve"> is phase-detuning, which can be expressed as </w:t>
      </w:r>
      <w:r>
        <w:rPr>
          <w:rFonts w:eastAsia="等线"/>
          <w:i/>
          <w:iCs/>
          <w:szCs w:val="24"/>
        </w:rPr>
        <w:t>δω</w:t>
      </w:r>
      <w:r>
        <w:rPr>
          <w:rFonts w:eastAsia="等线"/>
          <w:szCs w:val="24"/>
          <w:vertAlign w:val="subscript"/>
        </w:rPr>
        <w:t>0</w:t>
      </w:r>
      <w:r>
        <w:rPr>
          <w:rFonts w:eastAsia="等线"/>
          <w:szCs w:val="24"/>
        </w:rPr>
        <w:t xml:space="preserve"> = </w:t>
      </w:r>
      <w:r>
        <w:rPr>
          <w:rFonts w:eastAsia="等线"/>
          <w:i/>
          <w:iCs/>
          <w:szCs w:val="24"/>
        </w:rPr>
        <w:t xml:space="preserve">δω </w:t>
      </w:r>
      <w:r>
        <w:rPr>
          <w:rFonts w:eastAsia="等线"/>
          <w:szCs w:val="24"/>
        </w:rPr>
        <w:t xml:space="preserve">× </w:t>
      </w:r>
      <w:r>
        <w:rPr>
          <w:rFonts w:eastAsia="等线" w:hint="eastAsia"/>
          <w:i/>
          <w:iCs/>
          <w:szCs w:val="24"/>
        </w:rPr>
        <w:t>t</w:t>
      </w:r>
      <w:r>
        <w:rPr>
          <w:rFonts w:eastAsia="等线" w:hint="eastAsia"/>
          <w:szCs w:val="24"/>
          <w:vertAlign w:val="subscript"/>
        </w:rPr>
        <w:t>R</w:t>
      </w:r>
      <w:r>
        <w:rPr>
          <w:rFonts w:eastAsia="等线"/>
          <w:szCs w:val="24"/>
        </w:rPr>
        <w:t xml:space="preserve">, where detuning </w:t>
      </w:r>
      <w:r>
        <w:rPr>
          <w:rFonts w:eastAsia="等线"/>
          <w:i/>
          <w:iCs/>
          <w:szCs w:val="24"/>
        </w:rPr>
        <w:t xml:space="preserve">δω </w:t>
      </w:r>
      <w:r>
        <w:rPr>
          <w:rFonts w:eastAsia="等线"/>
          <w:szCs w:val="24"/>
        </w:rPr>
        <w:t xml:space="preserve">= </w:t>
      </w:r>
      <w:r>
        <w:rPr>
          <w:rFonts w:eastAsia="等线"/>
          <w:i/>
          <w:iCs/>
          <w:szCs w:val="24"/>
        </w:rPr>
        <w:t>ω</w:t>
      </w:r>
      <w:r>
        <w:rPr>
          <w:rFonts w:eastAsia="等线"/>
          <w:szCs w:val="24"/>
          <w:vertAlign w:val="subscript"/>
        </w:rPr>
        <w:t>0</w:t>
      </w:r>
      <w:r>
        <w:rPr>
          <w:rFonts w:eastAsia="等线"/>
          <w:szCs w:val="24"/>
        </w:rPr>
        <w:t xml:space="preserve"> – </w:t>
      </w:r>
      <w:r>
        <w:rPr>
          <w:rFonts w:eastAsia="等线"/>
          <w:i/>
          <w:iCs/>
          <w:szCs w:val="24"/>
        </w:rPr>
        <w:t>ω</w:t>
      </w:r>
      <w:r>
        <w:rPr>
          <w:rFonts w:eastAsia="等线"/>
          <w:szCs w:val="24"/>
          <w:vertAlign w:val="subscript"/>
        </w:rPr>
        <w:t>p</w:t>
      </w:r>
      <w:r>
        <w:rPr>
          <w:rFonts w:eastAsia="等线"/>
          <w:szCs w:val="24"/>
        </w:rPr>
        <w:t xml:space="preserve">, </w:t>
      </w:r>
      <w:r>
        <w:rPr>
          <w:rFonts w:eastAsia="等线"/>
          <w:i/>
          <w:iCs/>
          <w:szCs w:val="24"/>
        </w:rPr>
        <w:t>ω</w:t>
      </w:r>
      <w:r>
        <w:rPr>
          <w:rFonts w:eastAsia="等线"/>
          <w:szCs w:val="24"/>
          <w:vertAlign w:val="subscript"/>
        </w:rPr>
        <w:t>0</w:t>
      </w:r>
      <w:r>
        <w:rPr>
          <w:rFonts w:eastAsia="等线"/>
          <w:szCs w:val="24"/>
        </w:rPr>
        <w:t xml:space="preserve"> and </w:t>
      </w:r>
      <w:r>
        <w:rPr>
          <w:rFonts w:eastAsia="等线"/>
          <w:i/>
          <w:iCs/>
          <w:szCs w:val="24"/>
        </w:rPr>
        <w:t>ω</w:t>
      </w:r>
      <w:r>
        <w:rPr>
          <w:rFonts w:eastAsia="等线"/>
          <w:szCs w:val="24"/>
          <w:vertAlign w:val="subscript"/>
        </w:rPr>
        <w:t>p</w:t>
      </w:r>
      <w:r>
        <w:rPr>
          <w:rFonts w:eastAsia="等线"/>
          <w:szCs w:val="24"/>
        </w:rPr>
        <w:t xml:space="preserve"> are angular frequencies of pumping resonance and pump, respectively. </w:t>
      </w:r>
      <w:r>
        <w:rPr>
          <w:rFonts w:eastAsia="等线"/>
          <w:i/>
          <w:iCs/>
          <w:szCs w:val="24"/>
        </w:rPr>
        <w:t xml:space="preserve">L </w:t>
      </w:r>
      <w:r>
        <w:rPr>
          <w:rFonts w:eastAsia="等线"/>
          <w:szCs w:val="24"/>
        </w:rPr>
        <w:t xml:space="preserve">is cavity length, </w:t>
      </w:r>
      <w:r>
        <w:rPr>
          <w:rFonts w:eastAsia="等线"/>
          <w:i/>
          <w:iCs/>
          <w:szCs w:val="24"/>
        </w:rPr>
        <w:t>β</w:t>
      </w:r>
      <w:r>
        <w:rPr>
          <w:rFonts w:eastAsia="等线"/>
          <w:szCs w:val="24"/>
          <w:vertAlign w:val="subscript"/>
        </w:rPr>
        <w:t>2</w:t>
      </w:r>
      <w:r>
        <w:rPr>
          <w:rFonts w:eastAsia="等线"/>
          <w:i/>
          <w:iCs/>
          <w:szCs w:val="24"/>
          <w:vertAlign w:val="superscript"/>
        </w:rPr>
        <w:t xml:space="preserve"> </w:t>
      </w:r>
      <w:r>
        <w:rPr>
          <w:rFonts w:eastAsia="等线"/>
          <w:szCs w:val="24"/>
        </w:rPr>
        <w:t xml:space="preserve">is GVD, while higher-order dispersion is neglected. </w:t>
      </w:r>
      <w:r>
        <w:rPr>
          <w:rFonts w:eastAsia="等线"/>
          <w:i/>
          <w:iCs/>
          <w:szCs w:val="24"/>
        </w:rPr>
        <w:t xml:space="preserve">γ </w:t>
      </w:r>
      <w:r>
        <w:rPr>
          <w:rFonts w:eastAsia="等线"/>
          <w:szCs w:val="24"/>
        </w:rPr>
        <w:t xml:space="preserve">is nonlinear coefficient, </w:t>
      </w:r>
      <w:r>
        <w:rPr>
          <w:rFonts w:eastAsia="等线"/>
          <w:i/>
          <w:iCs/>
          <w:szCs w:val="24"/>
        </w:rPr>
        <w:t xml:space="preserve">θ </w:t>
      </w:r>
      <w:r>
        <w:rPr>
          <w:rFonts w:eastAsia="等线"/>
          <w:szCs w:val="24"/>
        </w:rPr>
        <w:t xml:space="preserve">represents coupling power loss, equal to half of </w:t>
      </w:r>
      <w:r>
        <w:rPr>
          <w:rFonts w:eastAsia="等线" w:cs="Times New Roman"/>
          <w:i/>
          <w:iCs/>
          <w:szCs w:val="24"/>
        </w:rPr>
        <w:t>κ</w:t>
      </w:r>
      <w:r>
        <w:rPr>
          <w:rFonts w:eastAsia="等线"/>
          <w:i/>
          <w:iCs/>
          <w:szCs w:val="24"/>
        </w:rPr>
        <w:t xml:space="preserve"> </w:t>
      </w:r>
      <w:r>
        <w:rPr>
          <w:rFonts w:eastAsia="等线"/>
          <w:szCs w:val="24"/>
        </w:rPr>
        <w:t xml:space="preserve">when critical coupling is considered, </w:t>
      </w:r>
      <w:r>
        <w:rPr>
          <w:rFonts w:eastAsia="等线"/>
          <w:i/>
          <w:iCs/>
          <w:szCs w:val="24"/>
        </w:rPr>
        <w:t>E</w:t>
      </w:r>
      <w:r>
        <w:rPr>
          <w:rFonts w:eastAsia="等线"/>
          <w:i/>
          <w:iCs/>
          <w:szCs w:val="24"/>
          <w:vertAlign w:val="subscript"/>
        </w:rPr>
        <w:t>in</w:t>
      </w:r>
      <w:r>
        <w:rPr>
          <w:rFonts w:eastAsia="等线"/>
          <w:szCs w:val="24"/>
        </w:rPr>
        <w:t xml:space="preserve"> is the complex field of pump intracavity</w:t>
      </w:r>
      <w:r w:rsidR="003F12EB">
        <w:rPr>
          <w:rFonts w:eastAsia="等线" w:hint="eastAsia"/>
          <w:szCs w:val="24"/>
        </w:rPr>
        <w:t>,</w:t>
      </w:r>
      <w:r w:rsidR="003F12EB">
        <w:rPr>
          <w:rFonts w:eastAsia="等线"/>
          <w:szCs w:val="24"/>
        </w:rPr>
        <w:t xml:space="preserve"> </w:t>
      </w:r>
      <w:r w:rsidR="003F12EB">
        <w:rPr>
          <w:rFonts w:ascii="TimesNewRomanPS-ItalicMT" w:hAnsi="TimesNewRomanPS-ItalicMT"/>
          <w:i/>
          <w:iCs/>
          <w:color w:val="000000"/>
        </w:rPr>
        <w:t>n</w:t>
      </w:r>
      <w:r w:rsidR="003F12EB">
        <w:rPr>
          <w:rFonts w:ascii="TimesNewRomanPS-ItalicMT" w:hAnsi="TimesNewRomanPS-ItalicMT"/>
          <w:i/>
          <w:iCs/>
          <w:color w:val="000000"/>
          <w:sz w:val="16"/>
          <w:szCs w:val="16"/>
        </w:rPr>
        <w:t xml:space="preserve">eff </w:t>
      </w:r>
      <w:r w:rsidR="003F12EB">
        <w:rPr>
          <w:rFonts w:cs="Times New Roman"/>
          <w:color w:val="000000"/>
        </w:rPr>
        <w:t>is the effective refractive index in fiber</w:t>
      </w:r>
      <w:r w:rsidR="007631B1">
        <w:rPr>
          <w:rFonts w:cs="Times New Roman"/>
          <w:color w:val="000000"/>
        </w:rPr>
        <w:t xml:space="preserve">, </w:t>
      </w:r>
      <w:r w:rsidR="0071612F">
        <w:rPr>
          <w:rFonts w:cs="Times New Roman"/>
          <w:color w:val="000000"/>
        </w:rPr>
        <w:t xml:space="preserve">and </w:t>
      </w:r>
      <w:r w:rsidR="007631B1">
        <w:rPr>
          <w:rFonts w:ascii="TimesNewRomanPS-ItalicMT" w:hAnsi="TimesNewRomanPS-ItalicMT"/>
          <w:i/>
          <w:iCs/>
          <w:color w:val="000000"/>
        </w:rPr>
        <w:t xml:space="preserve">α </w:t>
      </w:r>
      <w:r w:rsidR="007631B1">
        <w:rPr>
          <w:rFonts w:cs="Times New Roman"/>
          <w:color w:val="000000"/>
        </w:rPr>
        <w:t>is the cavity decay per roundtrip.</w:t>
      </w:r>
    </w:p>
    <w:p w14:paraId="498536E9" w14:textId="5020F878" w:rsidR="005A0D3F" w:rsidRDefault="00834DAB">
      <w:pPr>
        <w:adjustRightInd w:val="0"/>
        <w:snapToGrid w:val="0"/>
        <w:ind w:firstLine="480"/>
        <w:rPr>
          <w:szCs w:val="28"/>
        </w:rPr>
      </w:pPr>
      <w:r>
        <w:rPr>
          <w:b/>
          <w:bCs/>
          <w:szCs w:val="28"/>
        </w:rPr>
        <w:t>Fig. S1d-f</w:t>
      </w:r>
      <w:r>
        <w:rPr>
          <w:szCs w:val="28"/>
        </w:rPr>
        <w:t xml:space="preserve"> illustrate </w:t>
      </w:r>
      <w:bookmarkStart w:id="10" w:name="OLE_LINK6"/>
      <w:bookmarkStart w:id="11" w:name="OLE_LINK5"/>
      <w:r>
        <w:rPr>
          <w:szCs w:val="28"/>
        </w:rPr>
        <w:t xml:space="preserve">the calculated evolution of intracavity power. Optical field in time domain and optical field in frequency domain </w:t>
      </w:r>
      <w:r w:rsidR="005D2D81">
        <w:rPr>
          <w:szCs w:val="28"/>
        </w:rPr>
        <w:t>change</w:t>
      </w:r>
      <w:r>
        <w:rPr>
          <w:szCs w:val="28"/>
        </w:rPr>
        <w:t xml:space="preserve"> with the pump wavelength red-detuning,</w:t>
      </w:r>
      <w:bookmarkEnd w:id="10"/>
      <w:bookmarkEnd w:id="11"/>
      <w:r>
        <w:rPr>
          <w:szCs w:val="28"/>
        </w:rPr>
        <w:t xml:space="preserve"> respectively. These three figures demonstrate the typical </w:t>
      </w:r>
      <w:r>
        <w:rPr>
          <w:rFonts w:hint="eastAsia"/>
          <w:szCs w:val="28"/>
        </w:rPr>
        <w:t xml:space="preserve">time-frequency characteristics </w:t>
      </w:r>
      <w:r>
        <w:rPr>
          <w:szCs w:val="28"/>
        </w:rPr>
        <w:t>of a s</w:t>
      </w:r>
      <w:r>
        <w:rPr>
          <w:rFonts w:hint="eastAsia"/>
          <w:szCs w:val="28"/>
        </w:rPr>
        <w:t>oliton frequency comb</w:t>
      </w:r>
      <w:r>
        <w:rPr>
          <w:szCs w:val="28"/>
        </w:rPr>
        <w:t xml:space="preserve"> [</w:t>
      </w:r>
      <w:r>
        <w:rPr>
          <w:szCs w:val="28"/>
        </w:rPr>
        <w:fldChar w:fldCharType="begin" w:fldLock="1"/>
      </w:r>
      <w:r w:rsidR="00FE76DC">
        <w:rPr>
          <w:szCs w:val="28"/>
        </w:rPr>
        <w:instrText xml:space="preserve"> ADDIN ZOTERO_ITEM CSL_CITATION {"citationID":"jWYcuQlo","properties":{"formattedCitation":"\\super 2\\nosupersub{}","plainCitation":"2","noteIndex":0},"citationItems":[{"id":"7KFSzQ2n/KUAE8kdO","uris":["http://www.mendeley.com/documents/?uuid=25814cf0-d522-4938-98fd-6a3722fd17e8"],"itemData":{"DOI":"10.1103/PhysRevLett.130.153802","ISSN":"0031-9007","author":[{"dropping-particle":"","family":"Zhang","given":"Hao","non-dropping-particle":"","parse-names":false,"suffix":""},{"dropping-particle":"","family":"Tan","given":"Teng","non-dropping-particle":"","parse-names":false,"suffix":""},{"dropping-particle":"","family":"Chen","given":"Hao-Jing","non-dropping-particle":"","parse-names":false,"suffix":""},{"dropping-particle":"","family":"Yu","given":"Yan","non-dropping-particle":"","parse-names":false,"suffix":""},{"dropping-particle":"","family":"Wang","given":"Wenting","non-dropping-particle":"","parse-names":false,"suffix":""},{"dropping-particle":"","family":"Chang","given":"Bing","non-dropping-particle":"","parse-names":false,"suffix":""},{"dropping-particle":"","family":"Liang","given":"Yupei","non-dropping-particle":"","parse-names":false,"suffix":""},{"dropping-particle":"","family":"Guo","given":"Yanhong","non-dropping-particle":"","parse-names":false,"suffix":""},{"dropping-particle":"","family":"Zhou","given":"Heng","non-dropping-particle":"","parse-names":false,"suffix":""},{"dropping-particle":"","family":"Xia","given":"Handing","non-dropping-particle":"","parse-names":false,"suffix":""},{"dropping-particle":"","family":"Gong","given":"Qihuang","non-dropping-particle":"","parse-names":false,"suffix":""},{"dropping-particle":"","family":"Wong","given":"Chee Wei","non-dropping-particle":"","parse-names":false,"suffix":""},{"dropping-particle":"","family":"Rao","given":"Yunjiang","non-dropping-particle":"","parse-names":false,"suffix":""},{"dropping-particle":"","family":"Xiao","given":"Yun-Feng","non-dropping-particle":"","parse-names":false,"suffix":""},{"dropping-particle":"","family":"Yao","given":"Baicheng","non-dropping-particle":"","parse-names":false,"suffix":""}],"container-title":"Physical Review Letters","id":"ITEM-1","issue":"15","issued":{"date-parts":[["2023","4","12"]]},"page":"153802","title":"Soliton Microcombs Multiplexing Using Intracavity-Stimulated Brillouin Lasers","type":"article-journal","volume":"130"}}],"schema":"https://github.com/citation-style-language/schema/raw/master/csl-citation.json"} </w:instrText>
      </w:r>
      <w:r>
        <w:rPr>
          <w:szCs w:val="28"/>
        </w:rPr>
        <w:fldChar w:fldCharType="separate"/>
      </w:r>
      <w:r w:rsidR="00FE76DC" w:rsidRPr="00FE76DC">
        <w:rPr>
          <w:rFonts w:cs="Times New Roman"/>
          <w:kern w:val="0"/>
          <w:szCs w:val="24"/>
          <w:vertAlign w:val="superscript"/>
        </w:rPr>
        <w:t>2</w:t>
      </w:r>
      <w:r>
        <w:rPr>
          <w:szCs w:val="28"/>
        </w:rPr>
        <w:fldChar w:fldCharType="end"/>
      </w:r>
      <w:r>
        <w:rPr>
          <w:szCs w:val="28"/>
        </w:rPr>
        <w:t xml:space="preserve">]. </w:t>
      </w:r>
      <w:r>
        <w:rPr>
          <w:rFonts w:hint="eastAsia"/>
          <w:szCs w:val="28"/>
        </w:rPr>
        <w:t xml:space="preserve">During </w:t>
      </w:r>
      <w:r>
        <w:rPr>
          <w:szCs w:val="28"/>
        </w:rPr>
        <w:t xml:space="preserve">this </w:t>
      </w:r>
      <w:r>
        <w:rPr>
          <w:rFonts w:hint="eastAsia"/>
          <w:szCs w:val="28"/>
        </w:rPr>
        <w:t>simulation</w:t>
      </w:r>
      <w:r>
        <w:rPr>
          <w:szCs w:val="28"/>
        </w:rPr>
        <w:t>, a soliton state can be clearly observed. Single soliton appears after the states including primary comb, chaotic state and multi-soliton state.</w:t>
      </w:r>
      <w:r>
        <w:rPr>
          <w:rFonts w:hint="eastAsia"/>
          <w:szCs w:val="28"/>
        </w:rPr>
        <w:t xml:space="preserve"> </w:t>
      </w:r>
      <w:r>
        <w:rPr>
          <w:szCs w:val="28"/>
        </w:rPr>
        <w:t xml:space="preserve">Here, we ignore the effect of </w:t>
      </w:r>
      <w:r>
        <w:rPr>
          <w:rFonts w:hint="eastAsia"/>
          <w:szCs w:val="28"/>
        </w:rPr>
        <w:t>thermal</w:t>
      </w:r>
      <w:r>
        <w:rPr>
          <w:szCs w:val="28"/>
        </w:rPr>
        <w:t xml:space="preserve"> on soliton formation. In practical experiments, an important problem affecting the formation of soliton combs is thermal balance, which limits the stability and robustness of soliton combs in </w:t>
      </w:r>
      <w:r>
        <w:rPr>
          <w:szCs w:val="28"/>
        </w:rPr>
        <w:lastRenderedPageBreak/>
        <w:t>applications. In the experiment, we can obtain deterministic single soliton production in two micro</w:t>
      </w:r>
      <w:r>
        <w:rPr>
          <w:rFonts w:hint="eastAsia"/>
          <w:szCs w:val="28"/>
        </w:rPr>
        <w:t>rings</w:t>
      </w:r>
      <w:r>
        <w:rPr>
          <w:szCs w:val="28"/>
        </w:rPr>
        <w:t xml:space="preserve"> using an auxiliary laser heating scheme [</w:t>
      </w:r>
      <w:r>
        <w:rPr>
          <w:szCs w:val="28"/>
        </w:rPr>
        <w:fldChar w:fldCharType="begin" w:fldLock="1"/>
      </w:r>
      <w:r w:rsidR="00FE76DC">
        <w:rPr>
          <w:szCs w:val="28"/>
        </w:rPr>
        <w:instrText xml:space="preserve"> ADDIN ZOTERO_ITEM CSL_CITATION {"citationID":"Zw7beeLC","properties":{"formattedCitation":"\\super 3\\nosupersub{}","plainCitation":"3","noteIndex":0},"citationItems":[{"id":"7KFSzQ2n/9RUPJ8rA","uris":["http://www.mendeley.com/documents/?uuid=d9560332-8be4-4ec6-a3b0-1f8b19a47936"],"itemData":{"DOI":"10.1038/s41377-019-0161-y","ISSN":"2047-7538","author":[{"dropping-particle":"","family":"Zhou","given":"Heng","non-dropping-particle":"","parse-names":false,"suffix":""},{"dropping-particle":"","family":"Geng","given":"Yong","non-dropping-particle":"","parse-names":false,"suffix":""},{"dropping-particle":"","family":"Cui","given":"Wenwen","non-dropping-particle":"","parse-names":false,"suffix":""},{"dropping-particle":"","family":"Huang","given":"Shu-Wei","non-dropping-particle":"","parse-names":false,"suffix":""},{"dropping-particle":"","family":"Zhou","given":"Qiang","non-dropping-particle":"","parse-names":false,"suffix":""},{"dropping-particle":"","family":"Qiu","given":"Kun","non-dropping-particle":"","parse-names":false,"suffix":""},{"dropping-particle":"","family":"Wei Wong","given":"Chee","non-dropping-particle":"","parse-names":false,"suffix":""}],"container-title":"Light: Science &amp; Applications","id":"ITEM-1","issue":"1","issued":{"date-parts":[["2019","12","29"]]},"page":"50","title":"Soliton bursts and deterministic dissipative Kerr soliton generation in auxiliary-assisted microcavities","type":"article-journal","volume":"8"}}],"schema":"https://github.com/citation-style-language/schema/raw/master/csl-citation.json"} </w:instrText>
      </w:r>
      <w:r>
        <w:rPr>
          <w:szCs w:val="28"/>
        </w:rPr>
        <w:fldChar w:fldCharType="separate"/>
      </w:r>
      <w:r w:rsidR="00FE76DC" w:rsidRPr="00FE76DC">
        <w:rPr>
          <w:rFonts w:cs="Times New Roman"/>
          <w:kern w:val="0"/>
          <w:szCs w:val="24"/>
          <w:vertAlign w:val="superscript"/>
        </w:rPr>
        <w:t>3</w:t>
      </w:r>
      <w:r>
        <w:rPr>
          <w:szCs w:val="28"/>
        </w:rPr>
        <w:fldChar w:fldCharType="end"/>
      </w:r>
      <w:r>
        <w:rPr>
          <w:szCs w:val="28"/>
        </w:rPr>
        <w:t>], a strategy that makes our d</w:t>
      </w:r>
      <w:r>
        <w:rPr>
          <w:rFonts w:hint="eastAsia"/>
          <w:szCs w:val="28"/>
        </w:rPr>
        <w:t>ual</w:t>
      </w:r>
      <w:r>
        <w:rPr>
          <w:szCs w:val="28"/>
        </w:rPr>
        <w:t xml:space="preserve">-comb source reliable and </w:t>
      </w:r>
      <w:r>
        <w:rPr>
          <w:szCs w:val="24"/>
        </w:rPr>
        <w:t>applicable as an out-of-lab tool.</w:t>
      </w:r>
    </w:p>
    <w:p w14:paraId="1698673F" w14:textId="77777777" w:rsidR="005A0D3F" w:rsidRDefault="00834DAB">
      <w:pPr>
        <w:adjustRightInd w:val="0"/>
        <w:snapToGrid w:val="0"/>
        <w:ind w:firstLineChars="0" w:firstLine="0"/>
        <w:jc w:val="center"/>
        <w:rPr>
          <w:rFonts w:cs="Times New Roman"/>
          <w:b/>
          <w:sz w:val="28"/>
        </w:rPr>
      </w:pPr>
      <w:r>
        <w:rPr>
          <w:rFonts w:cs="Times New Roman"/>
          <w:b/>
          <w:noProof/>
          <w:sz w:val="28"/>
        </w:rPr>
        <w:drawing>
          <wp:inline distT="0" distB="0" distL="0" distR="0" wp14:anchorId="33D78B99" wp14:editId="6F134D76">
            <wp:extent cx="6083935" cy="4075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l="-1" r="1115"/>
                    <a:stretch>
                      <a:fillRect/>
                    </a:stretch>
                  </pic:blipFill>
                  <pic:spPr>
                    <a:xfrm>
                      <a:off x="0" y="0"/>
                      <a:ext cx="6084000" cy="4075435"/>
                    </a:xfrm>
                    <a:prstGeom prst="rect">
                      <a:avLst/>
                    </a:prstGeom>
                    <a:noFill/>
                    <a:ln>
                      <a:noFill/>
                    </a:ln>
                  </pic:spPr>
                </pic:pic>
              </a:graphicData>
            </a:graphic>
          </wp:inline>
        </w:drawing>
      </w:r>
    </w:p>
    <w:p w14:paraId="6FBD888B" w14:textId="77777777" w:rsidR="005A0D3F" w:rsidRDefault="00834DAB">
      <w:pPr>
        <w:adjustRightInd w:val="0"/>
        <w:snapToGrid w:val="0"/>
        <w:ind w:firstLineChars="0" w:firstLine="0"/>
      </w:pPr>
      <w:r>
        <w:rPr>
          <w:rFonts w:hint="eastAsia"/>
          <w:b/>
        </w:rPr>
        <w:t>Fig S1</w:t>
      </w:r>
      <w:r>
        <w:rPr>
          <w:b/>
        </w:rPr>
        <w:t>. Numerical simulations of an i</w:t>
      </w:r>
      <w:r>
        <w:rPr>
          <w:rFonts w:hint="eastAsia"/>
          <w:b/>
        </w:rPr>
        <w:t>ntegrated Kerr soliton frequency comb.</w:t>
      </w:r>
      <w:r>
        <w:t xml:space="preserve"> </w:t>
      </w:r>
      <w:r>
        <w:rPr>
          <w:b/>
        </w:rPr>
        <w:t xml:space="preserve">a, </w:t>
      </w:r>
      <w:r>
        <w:t>T</w:t>
      </w:r>
      <w:r>
        <w:rPr>
          <w:rFonts w:hint="eastAsia"/>
        </w:rPr>
        <w:t xml:space="preserve">ransverse mode field </w:t>
      </w:r>
      <w:r>
        <w:t>distribution of m</w:t>
      </w:r>
      <w:r>
        <w:rPr>
          <w:rFonts w:hint="eastAsia"/>
        </w:rPr>
        <w:t>icro</w:t>
      </w:r>
      <w:r>
        <w:t xml:space="preserve">ring resonator. </w:t>
      </w:r>
      <w:r>
        <w:rPr>
          <w:b/>
        </w:rPr>
        <w:t>b,</w:t>
      </w:r>
      <w:r>
        <w:t xml:space="preserve"> Longitudinal resonances of the microring, FSR ≈ 0.8 nm. </w:t>
      </w:r>
      <w:r>
        <w:rPr>
          <w:b/>
        </w:rPr>
        <w:t>c,</w:t>
      </w:r>
      <w:r>
        <w:t xml:space="preserve"> Intracavity electric field distribution of the resonant mode near 1549.6 nm. </w:t>
      </w:r>
      <w:r>
        <w:rPr>
          <w:b/>
        </w:rPr>
        <w:t xml:space="preserve">d-f, </w:t>
      </w:r>
      <w:r>
        <w:t>The evolution of intracavity power, optical field in time domain and optical field in frequency domain with the pump wavelength red-detuning.</w:t>
      </w:r>
    </w:p>
    <w:p w14:paraId="552C203A" w14:textId="77777777" w:rsidR="005A0D3F" w:rsidRDefault="005A0D3F">
      <w:pPr>
        <w:adjustRightInd w:val="0"/>
        <w:snapToGrid w:val="0"/>
        <w:ind w:firstLineChars="0" w:firstLine="0"/>
      </w:pPr>
    </w:p>
    <w:p w14:paraId="18DD21EC" w14:textId="77777777" w:rsidR="005A0D3F" w:rsidRDefault="00834DAB">
      <w:pPr>
        <w:pStyle w:val="2"/>
        <w:adjustRightInd w:val="0"/>
        <w:snapToGrid w:val="0"/>
      </w:pPr>
      <w:r>
        <w:rPr>
          <w:rFonts w:hint="eastAsia"/>
        </w:rPr>
        <w:t>S</w:t>
      </w:r>
      <w:r>
        <w:t>1.2. Fabry-Perot cavity and its acoustic sensing properties.</w:t>
      </w:r>
    </w:p>
    <w:p w14:paraId="766B0DD5" w14:textId="12DAF95B" w:rsidR="005A0D3F" w:rsidRDefault="00834DAB">
      <w:pPr>
        <w:adjustRightInd w:val="0"/>
        <w:snapToGrid w:val="0"/>
        <w:ind w:firstLine="480"/>
      </w:pPr>
      <w:r>
        <w:rPr>
          <w:rFonts w:hint="eastAsia"/>
        </w:rPr>
        <w:t>W</w:t>
      </w:r>
      <w:r>
        <w:t xml:space="preserve">e use optical fiber Fabry-Perot (F-P) microcavities as opto-acoustic sensors. For enhancing acoustic response, these microcavities are incorporated by metal film fabricated via micro electromechanical system </w:t>
      </w:r>
      <w:r>
        <w:rPr>
          <w:rFonts w:hint="eastAsia"/>
        </w:rPr>
        <w:t>(</w:t>
      </w:r>
      <w:r>
        <w:t xml:space="preserve">MEMS). </w:t>
      </w:r>
      <w:r>
        <w:rPr>
          <w:b/>
        </w:rPr>
        <w:t>Fig</w:t>
      </w:r>
      <w:r>
        <w:rPr>
          <w:rFonts w:hint="eastAsia"/>
          <w:b/>
        </w:rPr>
        <w:t xml:space="preserve"> </w:t>
      </w:r>
      <w:r>
        <w:rPr>
          <w:b/>
        </w:rPr>
        <w:t>S2a</w:t>
      </w:r>
      <w:r>
        <w:t xml:space="preserve"> shows the model of our F-P acoustic sensor. When external sound pressure acts on the </w:t>
      </w:r>
      <w:r>
        <w:rPr>
          <w:rFonts w:cs="Times New Roman"/>
          <w:szCs w:val="24"/>
        </w:rPr>
        <w:t>propagation</w:t>
      </w:r>
      <w:r>
        <w:t xml:space="preserve"> film, the deformation of the MEMS film will cause changes in the optical fiber F-P cavity. This leads to a spectral shift of the optical resonance inside [</w:t>
      </w:r>
      <w:r>
        <w:fldChar w:fldCharType="begin" w:fldLock="1"/>
      </w:r>
      <w:r w:rsidR="00FE76DC">
        <w:instrText xml:space="preserve"> ADDIN ZOTERO_ITEM CSL_CITATION {"citationID":"Fv1FFJZ5","properties":{"formattedCitation":"\\super 4\\nosupersub{}","plainCitation":"4","noteIndex":0},"citationItems":[{"id":"7KFSzQ2n/wiFSjOyW","uris":["http://www.mendeley.com/documents/?uuid=c9cb1573-ad7f-4610-b46a-3267c4662b0a"],"itemData":{"DOI":"10.1109/JLT.2018.2868964","ISSN":"0733-8724","author":[{"dropping-particle":"","family":"Lu","given":"Xueqi","non-dropping-particle":"","parse-names":false,"suffix":""},{"dropping-particle":"","family":"Wu","given":"Yu","non-dropping-particle":"","parse-names":false,"suffix":""},{"dropping-particle":"","family":"Gong","given":"Yuan","non-dropping-particle":"","parse-names":false,"suffix":""},{"dropping-particle":"","family":"Rao","given":"Yunjiang","non-dropping-particle":"","parse-names":false,"suffix":""}],"container-title":"Journal of Lightwave Technology","id":"ITEM-1","issue":"22","issued":{"date-parts":[["2018","11","15"]]},"page":"5224-5229","title":"A Miniature Fiber-Optic Microphone Based on an Annular Corrugated MEMS Diaphragm","type":"article-journal","volume":"36"}}],"schema":"https://github.com/citation-style-language/schema/raw/master/csl-citation.json"} </w:instrText>
      </w:r>
      <w:r>
        <w:fldChar w:fldCharType="separate"/>
      </w:r>
      <w:r w:rsidR="00FE76DC" w:rsidRPr="00FE76DC">
        <w:rPr>
          <w:rFonts w:cs="Times New Roman"/>
          <w:kern w:val="0"/>
          <w:szCs w:val="24"/>
          <w:vertAlign w:val="superscript"/>
        </w:rPr>
        <w:t>4</w:t>
      </w:r>
      <w:r>
        <w:fldChar w:fldCharType="end"/>
      </w:r>
      <w:r>
        <w:t xml:space="preserve">]. In our experiment, we use one frequency comb line to detect the resonance shift of every F-P cavity. The intensity alteration of the reflected light refers to the acoustic magnitude. Specifically, the cavity length </w:t>
      </w:r>
      <w:r>
        <w:rPr>
          <w:i/>
          <w:iCs/>
        </w:rPr>
        <w:t>L</w:t>
      </w:r>
      <w:r>
        <w:t xml:space="preserve"> of an F-P cavity can be detected in the following equation:</w:t>
      </w:r>
    </w:p>
    <w:p w14:paraId="03FE9FF1" w14:textId="77777777" w:rsidR="005A0D3F" w:rsidRDefault="00834DAB">
      <w:pPr>
        <w:pStyle w:val="af"/>
        <w:wordWrap/>
        <w:adjustRightInd w:val="0"/>
        <w:snapToGrid w:val="0"/>
        <w:spacing w:line="360" w:lineRule="auto"/>
        <w:ind w:firstLine="480"/>
      </w:pPr>
      <w:r>
        <w:lastRenderedPageBreak/>
        <w:tab/>
      </w:r>
      <w:r>
        <w:object w:dxaOrig="1591" w:dyaOrig="685" w14:anchorId="411D41FD">
          <v:shape id="_x0000_i1026" type="#_x0000_t75" style="width:79.05pt;height:34.45pt" o:ole="">
            <v:imagedata r:id="rId11" o:title=""/>
          </v:shape>
          <o:OLEObject Type="Embed" ProgID="Equation.DSMT4" ShapeID="_x0000_i1026" DrawAspect="Content" ObjectID="_1774013325" r:id="rId12"/>
        </w:object>
      </w:r>
      <w:r>
        <w:tab/>
      </w:r>
      <w:r>
        <w:tab/>
        <w:t>(S2)</w:t>
      </w:r>
    </w:p>
    <w:p w14:paraId="3AB2D7C1" w14:textId="77777777" w:rsidR="005A0D3F" w:rsidRDefault="00834DAB" w:rsidP="00361975">
      <w:pPr>
        <w:adjustRightInd w:val="0"/>
        <w:snapToGrid w:val="0"/>
        <w:ind w:firstLine="480"/>
      </w:pPr>
      <w:r>
        <w:t xml:space="preserve">Here, </w:t>
      </w:r>
      <w:r>
        <w:rPr>
          <w:i/>
          <w:iCs/>
        </w:rPr>
        <w:t>λ</w:t>
      </w:r>
      <w:r>
        <w:rPr>
          <w:vertAlign w:val="subscript"/>
        </w:rPr>
        <w:t>1</w:t>
      </w:r>
      <w:r>
        <w:t xml:space="preserve">and </w:t>
      </w:r>
      <w:r>
        <w:rPr>
          <w:i/>
          <w:iCs/>
        </w:rPr>
        <w:t>λ</w:t>
      </w:r>
      <w:r>
        <w:rPr>
          <w:vertAlign w:val="subscript"/>
        </w:rPr>
        <w:t xml:space="preserve">2 </w:t>
      </w:r>
      <w:r>
        <w:t xml:space="preserve">are the two central wavelengths of adjacent resonance peaks in the Fabry-Perot cavity interference spectrum. They can be directly measured from the interference spectrum; </w:t>
      </w:r>
      <w:r>
        <w:rPr>
          <w:i/>
          <w:iCs/>
        </w:rPr>
        <w:t>n</w:t>
      </w:r>
      <w:r>
        <w:t xml:space="preserve"> = 1 is the refractive index of the medium in the F-P cavity, as the F-P cavity is filled with air. </w:t>
      </w:r>
    </w:p>
    <w:p w14:paraId="7A0BDAF4" w14:textId="759CDCFD" w:rsidR="005A0D3F" w:rsidRDefault="00834DAB">
      <w:pPr>
        <w:adjustRightInd w:val="0"/>
        <w:snapToGrid w:val="0"/>
        <w:ind w:firstLine="480"/>
      </w:pPr>
      <w:r>
        <w:t xml:space="preserve">In sensing application, </w:t>
      </w:r>
      <w:bookmarkStart w:id="12" w:name="OLE_LINK88"/>
      <w:bookmarkStart w:id="13" w:name="OLE_LINK194"/>
      <w:bookmarkStart w:id="14" w:name="OLE_LINK80"/>
      <w:bookmarkStart w:id="15" w:name="OLE_LINK87"/>
      <w:r>
        <w:t>the two reflective end faces of the fiber F-P cavity (MEMS film and single-mode fiber end face) are weakly reflective surfaces (&lt; 5%), we can approximately equate it in double-beam interference model [</w:t>
      </w:r>
      <w:r>
        <w:fldChar w:fldCharType="begin" w:fldLock="1"/>
      </w:r>
      <w:r w:rsidR="00FE76DC">
        <w:instrText xml:space="preserve"> ADDIN ZOTERO_ITEM CSL_CITATION {"citationID":"GsULfZao","properties":{"formattedCitation":"\\super 5\\nosupersub{}","plainCitation":"5","noteIndex":0},"citationItems":[{"id":"7KFSzQ2n/IhwEGp4H","uris":["http://www.mendeley.com/documents/?uuid=00b1e75e-a35d-4a28-b8e6-01439f75f84a"],"itemData":{"DOI":"10.1016/j.yofte.2006.03.004","ISSN":"10685200","author":[{"dropping-particle":"","family":"Rao","given":"Yun-Jiang","non-dropping-particle":"","parse-names":false,"suffix":""}],"container-title":"Optical Fiber Technology","id":"ITEM-1","issue":"3","issued":{"date-parts":[["2006","7"]]},"page":"227-237","title":"Recent progress in fiber-optic extrinsic Fabry–Perot interferometric sensors","type":"article-journal","volume":"12"}}],"schema":"https://github.com/citation-style-language/schema/raw/master/csl-citation.json"} </w:instrText>
      </w:r>
      <w:r>
        <w:fldChar w:fldCharType="separate"/>
      </w:r>
      <w:r w:rsidR="00FE76DC" w:rsidRPr="00FE76DC">
        <w:rPr>
          <w:rFonts w:cs="Times New Roman"/>
          <w:kern w:val="0"/>
          <w:szCs w:val="24"/>
          <w:vertAlign w:val="superscript"/>
        </w:rPr>
        <w:t>5</w:t>
      </w:r>
      <w:r>
        <w:fldChar w:fldCharType="end"/>
      </w:r>
      <w:r>
        <w:t xml:space="preserve">]. Accordingly, the total reflected intensity of the fiber F-P cavity at a wavelength </w:t>
      </w:r>
      <w:r>
        <w:rPr>
          <w:i/>
          <w:iCs/>
        </w:rPr>
        <w:t>λ</w:t>
      </w:r>
      <w:r>
        <w:rPr>
          <w:iCs/>
        </w:rPr>
        <w:t xml:space="preserve"> </w:t>
      </w:r>
      <w:r>
        <w:t>can be expressed as:</w:t>
      </w:r>
    </w:p>
    <w:p w14:paraId="33DBCCA9" w14:textId="77777777" w:rsidR="005A0D3F" w:rsidRDefault="00834DAB">
      <w:pPr>
        <w:pStyle w:val="af"/>
        <w:wordWrap/>
        <w:adjustRightInd w:val="0"/>
        <w:snapToGrid w:val="0"/>
        <w:spacing w:line="360" w:lineRule="auto"/>
        <w:ind w:firstLine="480"/>
      </w:pPr>
      <w:r>
        <w:tab/>
      </w:r>
      <w:bookmarkEnd w:id="12"/>
      <w:bookmarkEnd w:id="13"/>
      <w:bookmarkEnd w:id="14"/>
      <w:bookmarkEnd w:id="15"/>
      <w:r>
        <w:object w:dxaOrig="5609" w:dyaOrig="662" w14:anchorId="234BE275">
          <v:shape id="_x0000_i1027" type="#_x0000_t75" style="width:280.05pt;height:33.55pt" o:ole="">
            <v:imagedata r:id="rId13" o:title=""/>
          </v:shape>
          <o:OLEObject Type="Embed" ProgID="Equation.DSMT4" ShapeID="_x0000_i1027" DrawAspect="Content" ObjectID="_1774013326" r:id="rId14"/>
        </w:object>
      </w:r>
      <w:r>
        <w:tab/>
      </w:r>
      <w:r>
        <w:tab/>
        <w:t>(S3)</w:t>
      </w:r>
    </w:p>
    <w:p w14:paraId="4F46CE5C" w14:textId="77777777" w:rsidR="005A0D3F" w:rsidRDefault="00834DAB">
      <w:pPr>
        <w:adjustRightInd w:val="0"/>
        <w:snapToGrid w:val="0"/>
        <w:ind w:firstLine="480"/>
      </w:pPr>
      <w:r>
        <w:rPr>
          <w:rFonts w:hint="eastAsia"/>
        </w:rPr>
        <w:t>Here,</w:t>
      </w:r>
      <w:r>
        <w:t xml:space="preserve"> </w:t>
      </w:r>
      <w:r>
        <w:rPr>
          <w:i/>
          <w:iCs/>
        </w:rPr>
        <w:t>I</w:t>
      </w:r>
      <w:r>
        <w:rPr>
          <w:vertAlign w:val="subscript"/>
        </w:rPr>
        <w:t>F</w:t>
      </w:r>
      <w:r>
        <w:rPr>
          <w:rFonts w:hint="eastAsia"/>
          <w:vertAlign w:val="subscript"/>
        </w:rPr>
        <w:t>iber</w:t>
      </w:r>
      <w:r>
        <w:t>(</w:t>
      </w:r>
      <w:r>
        <w:rPr>
          <w:i/>
          <w:iCs/>
        </w:rPr>
        <w:t>λ</w:t>
      </w:r>
      <w:r>
        <w:t>) is the reflected intensity of the single-mode fiber (SMF) facet,</w:t>
      </w:r>
      <w:r>
        <w:rPr>
          <w:rFonts w:hint="eastAsia"/>
        </w:rPr>
        <w:t xml:space="preserve"> </w:t>
      </w:r>
      <w:r>
        <w:rPr>
          <w:i/>
          <w:iCs/>
        </w:rPr>
        <w:t>I</w:t>
      </w:r>
      <w:r>
        <w:rPr>
          <w:vertAlign w:val="subscript"/>
        </w:rPr>
        <w:t>MEMS</w:t>
      </w:r>
      <w:r>
        <w:t>(</w:t>
      </w:r>
      <w:r>
        <w:rPr>
          <w:i/>
          <w:iCs/>
        </w:rPr>
        <w:t>λ</w:t>
      </w:r>
      <w:r>
        <w:t>) is the reflected intensity from the MEMS diaphrag</w:t>
      </w:r>
      <w:r>
        <w:rPr>
          <w:rFonts w:cs="Times New Roman"/>
        </w:rPr>
        <w:t xml:space="preserve">m, </w:t>
      </w:r>
      <w:r>
        <w:rPr>
          <w:rFonts w:cs="Times New Roman"/>
          <w:i/>
          <w:iCs/>
        </w:rPr>
        <w:t xml:space="preserve">λ </w:t>
      </w:r>
      <w:r>
        <w:rPr>
          <w:rFonts w:eastAsia="等线" w:cs="Times New Roman"/>
          <w:i/>
          <w:iCs/>
        </w:rPr>
        <w:t>≈</w:t>
      </w:r>
      <w:r>
        <w:rPr>
          <w:rFonts w:cs="Times New Roman"/>
          <w:i/>
          <w:iCs/>
        </w:rPr>
        <w:t xml:space="preserve"> λ</w:t>
      </w:r>
      <w:r>
        <w:rPr>
          <w:rFonts w:cs="Times New Roman"/>
          <w:vertAlign w:val="subscript"/>
        </w:rPr>
        <w:t>1</w:t>
      </w:r>
      <w:r>
        <w:rPr>
          <w:rFonts w:eastAsia="等线" w:cs="Times New Roman"/>
          <w:i/>
          <w:iCs/>
        </w:rPr>
        <w:t>≈</w:t>
      </w:r>
      <w:r>
        <w:rPr>
          <w:rFonts w:cs="Times New Roman"/>
        </w:rPr>
        <w:t xml:space="preserve"> </w:t>
      </w:r>
      <w:r>
        <w:rPr>
          <w:rFonts w:cs="Times New Roman"/>
          <w:i/>
          <w:iCs/>
        </w:rPr>
        <w:t>λ</w:t>
      </w:r>
      <w:r>
        <w:rPr>
          <w:rFonts w:cs="Times New Roman"/>
          <w:vertAlign w:val="subscript"/>
        </w:rPr>
        <w:t>2</w:t>
      </w:r>
      <w:r>
        <w:rPr>
          <w:rFonts w:cs="Times New Roman"/>
        </w:rPr>
        <w:t xml:space="preserve"> when </w:t>
      </w:r>
      <w:r>
        <w:t xml:space="preserve">the free spectral range (FSR) of the F-P resonator (sub-THz level) is much smaller than the optical frequency (200 THz level). In dual comb demodulation, </w:t>
      </w:r>
      <w:r w:rsidRPr="00CF4A8B">
        <w:rPr>
          <w:iCs/>
        </w:rPr>
        <w:t>cos(</w:t>
      </w:r>
      <w:r>
        <w:rPr>
          <w:iCs/>
        </w:rPr>
        <w:t>4π</w:t>
      </w:r>
      <w:r>
        <w:rPr>
          <w:i/>
        </w:rPr>
        <w:t>L</w:t>
      </w:r>
      <w:r>
        <w:rPr>
          <w:iCs/>
        </w:rPr>
        <w:t>/</w:t>
      </w:r>
      <w:r>
        <w:rPr>
          <w:i/>
          <w:iCs/>
        </w:rPr>
        <w:t>λ</w:t>
      </w:r>
      <w:r>
        <w:rPr>
          <w:iCs/>
        </w:rPr>
        <w:t xml:space="preserve">) </w:t>
      </w:r>
      <w:r>
        <w:t xml:space="preserve">mainly demonstrates acoustic modulation. </w:t>
      </w:r>
    </w:p>
    <w:p w14:paraId="6A677FA1" w14:textId="5161AFF1" w:rsidR="005A0D3F" w:rsidRDefault="00834DAB">
      <w:pPr>
        <w:adjustRightInd w:val="0"/>
        <w:snapToGrid w:val="0"/>
        <w:ind w:firstLine="480"/>
      </w:pPr>
      <w:r>
        <w:t xml:space="preserve">When an external sound pressure </w:t>
      </w:r>
      <w:r>
        <w:rPr>
          <w:i/>
          <w:iCs/>
        </w:rPr>
        <w:t>P</w:t>
      </w:r>
      <w:r>
        <w:t xml:space="preserve"> is applied to the MEMS diaphragm, the deformation of the diaphragm will change the F-P cavity length (Δ</w:t>
      </w:r>
      <w:r>
        <w:rPr>
          <w:i/>
          <w:iCs/>
        </w:rPr>
        <w:t>L</w:t>
      </w:r>
      <w:r>
        <w:t xml:space="preserve">), as </w:t>
      </w:r>
      <w:r>
        <w:rPr>
          <w:b/>
        </w:rPr>
        <w:t>Fig. S2b</w:t>
      </w:r>
      <w:r>
        <w:t xml:space="preserve"> illustrates. Within the dynamic range of the </w:t>
      </w:r>
      <w:r w:rsidR="00931AD0">
        <w:t>MEMS</w:t>
      </w:r>
      <w:r>
        <w:t xml:space="preserve"> diaphragm, such a change of cavity length Δ</w:t>
      </w:r>
      <w:r>
        <w:rPr>
          <w:i/>
          <w:iCs/>
        </w:rPr>
        <w:t>L</w:t>
      </w:r>
      <w:r>
        <w:t xml:space="preserve"> caused by the sound pressure is linear:</w:t>
      </w:r>
    </w:p>
    <w:p w14:paraId="1F982605" w14:textId="77777777" w:rsidR="005A0D3F" w:rsidRDefault="00834DAB">
      <w:pPr>
        <w:pStyle w:val="af"/>
        <w:wordWrap/>
        <w:adjustRightInd w:val="0"/>
        <w:snapToGrid w:val="0"/>
        <w:spacing w:line="360" w:lineRule="auto"/>
        <w:ind w:firstLine="480"/>
      </w:pPr>
      <w:r>
        <w:tab/>
      </w:r>
      <w:r>
        <w:object w:dxaOrig="906" w:dyaOrig="302" w14:anchorId="64271CEA">
          <v:shape id="_x0000_i1028" type="#_x0000_t75" style="width:45.95pt;height:15pt" o:ole="">
            <v:imagedata r:id="rId15" o:title=""/>
          </v:shape>
          <o:OLEObject Type="Embed" ProgID="Equation.DSMT4" ShapeID="_x0000_i1028" DrawAspect="Content" ObjectID="_1774013327" r:id="rId16"/>
        </w:object>
      </w:r>
      <w:r>
        <w:tab/>
      </w:r>
      <w:r>
        <w:tab/>
        <w:t>(S4)</w:t>
      </w:r>
    </w:p>
    <w:p w14:paraId="0391DC61" w14:textId="77777777" w:rsidR="005A0D3F" w:rsidRDefault="00834DAB">
      <w:pPr>
        <w:adjustRightInd w:val="0"/>
        <w:snapToGrid w:val="0"/>
        <w:ind w:firstLine="480"/>
      </w:pPr>
      <w:r>
        <w:t xml:space="preserve">In this equation, </w:t>
      </w:r>
      <w:r>
        <w:rPr>
          <w:i/>
          <w:iCs/>
        </w:rPr>
        <w:t>α</w:t>
      </w:r>
      <w:r>
        <w:t xml:space="preserve"> is a constant. Therefore, it can modulate the reflection intensity Δ</w:t>
      </w:r>
      <w:r>
        <w:rPr>
          <w:i/>
          <w:iCs/>
        </w:rPr>
        <w:t>I</w:t>
      </w:r>
      <w:r>
        <w:t>(</w:t>
      </w:r>
      <w:r>
        <w:rPr>
          <w:i/>
          <w:iCs/>
        </w:rPr>
        <w:t>λ</w:t>
      </w:r>
      <w:r>
        <w:t>) by shaping in Δ</w:t>
      </w:r>
      <w:r>
        <w:rPr>
          <w:i/>
          <w:iCs/>
        </w:rPr>
        <w:t>L</w:t>
      </w:r>
      <w:r>
        <w:t>. When changing the Δ</w:t>
      </w:r>
      <w:r>
        <w:rPr>
          <w:i/>
          <w:iCs/>
        </w:rPr>
        <w:t>L</w:t>
      </w:r>
      <w:r>
        <w:rPr>
          <w:iCs/>
        </w:rPr>
        <w:t xml:space="preserve">, </w:t>
      </w:r>
      <w:r>
        <w:rPr>
          <w:i/>
          <w:iCs/>
        </w:rPr>
        <w:t>I</w:t>
      </w:r>
      <w:r>
        <w:t>(</w:t>
      </w:r>
      <w:r>
        <w:rPr>
          <w:i/>
          <w:iCs/>
        </w:rPr>
        <w:t>λ</w:t>
      </w:r>
      <w:r>
        <w:t xml:space="preserve">) become: </w:t>
      </w:r>
    </w:p>
    <w:p w14:paraId="0DC036CE" w14:textId="77777777" w:rsidR="005A0D3F" w:rsidRDefault="00834DAB">
      <w:pPr>
        <w:adjustRightInd w:val="0"/>
        <w:snapToGrid w:val="0"/>
        <w:ind w:firstLineChars="0" w:firstLine="0"/>
        <w:jc w:val="right"/>
      </w:pPr>
      <w:r>
        <w:rPr>
          <w:position w:val="-24"/>
        </w:rPr>
        <w:object w:dxaOrig="6364" w:dyaOrig="662" w14:anchorId="04A32CD6">
          <v:shape id="_x0000_i1029" type="#_x0000_t75" style="width:318.05pt;height:33.55pt" o:ole="">
            <v:imagedata r:id="rId17" o:title=""/>
          </v:shape>
          <o:OLEObject Type="Embed" ProgID="Equation.DSMT4" ShapeID="_x0000_i1029" DrawAspect="Content" ObjectID="_1774013328" r:id="rId18"/>
        </w:object>
      </w:r>
      <w:r>
        <w:tab/>
      </w:r>
      <w:r>
        <w:tab/>
      </w:r>
      <w:r>
        <w:tab/>
      </w:r>
      <w:r>
        <w:tab/>
        <w:t>(S5)</w:t>
      </w:r>
    </w:p>
    <w:p w14:paraId="1146FAF7" w14:textId="77777777" w:rsidR="005A0D3F" w:rsidRDefault="00834DAB">
      <w:pPr>
        <w:adjustRightInd w:val="0"/>
        <w:snapToGrid w:val="0"/>
        <w:ind w:firstLine="480"/>
      </w:pPr>
      <w:r>
        <w:t xml:space="preserve">The intensity modulation writes: </w:t>
      </w:r>
    </w:p>
    <w:p w14:paraId="6B168982" w14:textId="77777777" w:rsidR="005A0D3F" w:rsidRDefault="00834DAB">
      <w:pPr>
        <w:pStyle w:val="af"/>
        <w:wordWrap/>
        <w:adjustRightInd w:val="0"/>
        <w:snapToGrid w:val="0"/>
        <w:spacing w:line="360" w:lineRule="auto"/>
        <w:ind w:firstLine="480"/>
      </w:pPr>
      <w:r>
        <w:tab/>
      </w:r>
      <w:r>
        <w:object w:dxaOrig="8791" w:dyaOrig="662" w14:anchorId="5CC9892E">
          <v:shape id="_x0000_i1030" type="#_x0000_t75" style="width:439.95pt;height:33.55pt" o:ole="">
            <v:imagedata r:id="rId19" o:title=""/>
          </v:shape>
          <o:OLEObject Type="Embed" ProgID="Equation.DSMT4" ShapeID="_x0000_i1030" DrawAspect="Content" ObjectID="_1774013329" r:id="rId20"/>
        </w:object>
      </w:r>
      <w:r>
        <w:tab/>
        <w:t>(S6)</w:t>
      </w:r>
    </w:p>
    <w:p w14:paraId="3D282FC5" w14:textId="77777777" w:rsidR="005A0D3F" w:rsidRDefault="00834DAB">
      <w:pPr>
        <w:adjustRightInd w:val="0"/>
        <w:snapToGrid w:val="0"/>
        <w:ind w:firstLine="480"/>
        <w:rPr>
          <w:iCs/>
        </w:rPr>
      </w:pPr>
      <w:r>
        <w:t xml:space="preserve">For getting the highest sensitivity, we choose a </w:t>
      </w:r>
      <w:r>
        <w:rPr>
          <w:i/>
          <w:iCs/>
        </w:rPr>
        <w:t>λ</w:t>
      </w:r>
      <w:r>
        <w:rPr>
          <w:iCs/>
        </w:rPr>
        <w:t xml:space="preserve"> satisfying </w:t>
      </w:r>
      <w:r>
        <w:t>cos(4π</w:t>
      </w:r>
      <w:r>
        <w:rPr>
          <w:i/>
          <w:iCs/>
        </w:rPr>
        <w:t>L</w:t>
      </w:r>
      <w:r>
        <w:t>/</w:t>
      </w:r>
      <w:r>
        <w:rPr>
          <w:i/>
          <w:iCs/>
        </w:rPr>
        <w:t>λ</w:t>
      </w:r>
      <w:r>
        <w:t>)</w:t>
      </w:r>
      <w:r>
        <w:rPr>
          <w:iCs/>
        </w:rPr>
        <w:t xml:space="preserve"> = 0, so that: </w:t>
      </w:r>
    </w:p>
    <w:p w14:paraId="49BD7D7F" w14:textId="77777777" w:rsidR="005A0D3F" w:rsidRDefault="00834DAB">
      <w:pPr>
        <w:adjustRightInd w:val="0"/>
        <w:snapToGrid w:val="0"/>
        <w:ind w:firstLineChars="0" w:firstLine="0"/>
        <w:jc w:val="right"/>
      </w:pPr>
      <w:r>
        <w:rPr>
          <w:position w:val="-24"/>
        </w:rPr>
        <w:object w:dxaOrig="7154" w:dyaOrig="662" w14:anchorId="4791ED70">
          <v:shape id="_x0000_i1031" type="#_x0000_t75" style="width:356.45pt;height:33.55pt" o:ole="">
            <v:imagedata r:id="rId21" o:title=""/>
          </v:shape>
          <o:OLEObject Type="Embed" ProgID="Equation.DSMT4" ShapeID="_x0000_i1031" DrawAspect="Content" ObjectID="_1774013330" r:id="rId22"/>
        </w:object>
      </w:r>
      <w:r>
        <w:tab/>
      </w:r>
      <w:r>
        <w:tab/>
        <w:t>(S7)</w:t>
      </w:r>
    </w:p>
    <w:p w14:paraId="1DD8A08F" w14:textId="77777777" w:rsidR="005A0D3F" w:rsidRDefault="00834DAB">
      <w:pPr>
        <w:adjustRightInd w:val="0"/>
        <w:snapToGrid w:val="0"/>
        <w:ind w:firstLine="480"/>
        <w:rPr>
          <w:iCs/>
        </w:rPr>
      </w:pPr>
      <w:r>
        <w:t xml:space="preserve">Such an effect is schematically shown in </w:t>
      </w:r>
      <w:r>
        <w:rPr>
          <w:b/>
        </w:rPr>
        <w:t>Fig. S2c</w:t>
      </w:r>
      <w:r>
        <w:t xml:space="preserve">. This optical modulation can be detected by a photodetector (PD) and demonstrated in electronics. Therefore, the sensitivity of the MEMS diaphragm-based fiber optic F-P acoustic wave sensor is mainly affected by the following two factors: 1) the displacement of the elastic diaphragm at the center of the diaphragm under unit sound pressure; </w:t>
      </w:r>
      <w:r>
        <w:lastRenderedPageBreak/>
        <w:t xml:space="preserve">2) the reflected optical intensity. We can check the response via measuring the modulation depth </w:t>
      </w:r>
      <w:r>
        <w:rPr>
          <w:i/>
        </w:rPr>
        <w:t>D</w:t>
      </w:r>
      <w:r>
        <w:t xml:space="preserve"> = |Δ</w:t>
      </w:r>
      <w:r>
        <w:rPr>
          <w:i/>
          <w:iCs/>
        </w:rPr>
        <w:t>I/I</w:t>
      </w:r>
      <w:r>
        <w:t>(</w:t>
      </w:r>
      <w:r>
        <w:rPr>
          <w:i/>
          <w:iCs/>
        </w:rPr>
        <w:t>λ</w:t>
      </w:r>
      <w:r>
        <w:t>)|</w:t>
      </w:r>
      <w:r>
        <w:rPr>
          <w:iCs/>
        </w:rPr>
        <w:t xml:space="preserve">, it equals to: </w:t>
      </w:r>
    </w:p>
    <w:p w14:paraId="1A9451E9" w14:textId="77777777" w:rsidR="005A0D3F" w:rsidRDefault="00834DAB">
      <w:pPr>
        <w:adjustRightInd w:val="0"/>
        <w:snapToGrid w:val="0"/>
        <w:ind w:firstLineChars="0" w:firstLine="0"/>
        <w:jc w:val="right"/>
      </w:pPr>
      <w:r>
        <w:rPr>
          <w:position w:val="-56"/>
        </w:rPr>
        <w:object w:dxaOrig="3542" w:dyaOrig="1243" w14:anchorId="35A01255">
          <v:shape id="_x0000_i1032" type="#_x0000_t75" style="width:177.55pt;height:63.15pt" o:ole="">
            <v:imagedata r:id="rId23" o:title=""/>
          </v:shape>
          <o:OLEObject Type="Embed" ProgID="Equation.DSMT4" ShapeID="_x0000_i1032" DrawAspect="Content" ObjectID="_1774013331" r:id="rId24"/>
        </w:object>
      </w:r>
      <w:r>
        <w:tab/>
      </w:r>
      <w:r>
        <w:tab/>
      </w:r>
      <w:r>
        <w:tab/>
      </w:r>
      <w:r>
        <w:tab/>
      </w:r>
      <w:r>
        <w:tab/>
      </w:r>
      <w:r>
        <w:tab/>
      </w:r>
      <w:r>
        <w:tab/>
        <w:t>(S8)</w:t>
      </w:r>
    </w:p>
    <w:p w14:paraId="7542C96D" w14:textId="1DD6DA50" w:rsidR="005A0D3F" w:rsidRDefault="00834DAB">
      <w:pPr>
        <w:adjustRightInd w:val="0"/>
        <w:snapToGrid w:val="0"/>
        <w:ind w:firstLine="480"/>
      </w:pPr>
      <w:r>
        <w:t xml:space="preserve">When assuming </w:t>
      </w:r>
      <w:r>
        <w:rPr>
          <w:i/>
          <w:iCs/>
        </w:rPr>
        <w:t>I</w:t>
      </w:r>
      <w:r>
        <w:rPr>
          <w:vertAlign w:val="subscript"/>
        </w:rPr>
        <w:t>F</w:t>
      </w:r>
      <w:r>
        <w:rPr>
          <w:rFonts w:hint="eastAsia"/>
          <w:vertAlign w:val="subscript"/>
        </w:rPr>
        <w:t>iber</w:t>
      </w:r>
      <w:r>
        <w:t>(</w:t>
      </w:r>
      <w:r>
        <w:rPr>
          <w:i/>
          <w:iCs/>
        </w:rPr>
        <w:t>λ</w:t>
      </w:r>
      <w:r>
        <w:t xml:space="preserve">) = </w:t>
      </w:r>
      <w:r>
        <w:rPr>
          <w:i/>
          <w:iCs/>
        </w:rPr>
        <w:t>I</w:t>
      </w:r>
      <w:r>
        <w:rPr>
          <w:vertAlign w:val="subscript"/>
        </w:rPr>
        <w:t>MEMS</w:t>
      </w:r>
      <w:r>
        <w:t>(</w:t>
      </w:r>
      <w:r>
        <w:rPr>
          <w:i/>
          <w:iCs/>
        </w:rPr>
        <w:t>λ</w:t>
      </w:r>
      <w:r>
        <w:t xml:space="preserve">), </w:t>
      </w:r>
      <w:r>
        <w:rPr>
          <w:i/>
        </w:rPr>
        <w:t>D</w:t>
      </w:r>
      <w:r>
        <w:t xml:space="preserve"> can be further simplified as |</w:t>
      </w:r>
      <w:r>
        <w:rPr>
          <w:iCs/>
        </w:rPr>
        <w:t>sin(</w:t>
      </w:r>
      <w:r>
        <w:t>4π</w:t>
      </w:r>
      <w:r>
        <w:rPr>
          <w:rFonts w:eastAsia="等线" w:cs="Times New Roman"/>
        </w:rPr>
        <w:t>Δ</w:t>
      </w:r>
      <w:r>
        <w:rPr>
          <w:rFonts w:cs="Times New Roman"/>
          <w:i/>
        </w:rPr>
        <w:t>L</w:t>
      </w:r>
      <w:r>
        <w:rPr>
          <w:rFonts w:cs="Times New Roman"/>
          <w:iCs/>
        </w:rPr>
        <w:t>/</w:t>
      </w:r>
      <w:r>
        <w:rPr>
          <w:rFonts w:cs="Times New Roman"/>
          <w:i/>
          <w:iCs/>
        </w:rPr>
        <w:t>λ</w:t>
      </w:r>
      <w:r>
        <w:rPr>
          <w:iCs/>
        </w:rPr>
        <w:t>)</w:t>
      </w:r>
      <w:r>
        <w:rPr>
          <w:i/>
        </w:rPr>
        <w:t>|</w:t>
      </w:r>
      <w:r>
        <w:t xml:space="preserve">. When </w:t>
      </w:r>
      <w:r>
        <w:rPr>
          <w:rFonts w:eastAsia="等线" w:cs="Times New Roman"/>
        </w:rPr>
        <w:t>Δ</w:t>
      </w:r>
      <w:r>
        <w:rPr>
          <w:rFonts w:cs="Times New Roman"/>
          <w:i/>
        </w:rPr>
        <w:t xml:space="preserve">L </w:t>
      </w:r>
      <w:r>
        <w:t xml:space="preserve">is far smaller than </w:t>
      </w:r>
      <w:r>
        <w:rPr>
          <w:rFonts w:cs="Times New Roman"/>
          <w:i/>
          <w:iCs/>
        </w:rPr>
        <w:t>λ</w:t>
      </w:r>
      <w:r>
        <w:t>, the response is approximately linear,</w:t>
      </w:r>
      <w:r>
        <w:rPr>
          <w:rFonts w:cs="Times New Roman"/>
        </w:rPr>
        <w:t xml:space="preserve"> </w:t>
      </w:r>
      <w:r>
        <w:rPr>
          <w:rFonts w:eastAsia="等线" w:cs="Times New Roman"/>
        </w:rPr>
        <w:t>≈</w:t>
      </w:r>
      <w:r>
        <w:rPr>
          <w:rFonts w:cs="Times New Roman"/>
        </w:rPr>
        <w:t xml:space="preserve"> </w:t>
      </w:r>
      <w:r>
        <w:rPr>
          <w:rFonts w:cs="Times New Roman"/>
          <w:iCs/>
        </w:rPr>
        <w:t>4π</w:t>
      </w:r>
      <w:r>
        <w:rPr>
          <w:rFonts w:eastAsia="等线" w:cs="Times New Roman"/>
        </w:rPr>
        <w:t>Δ</w:t>
      </w:r>
      <w:r>
        <w:rPr>
          <w:rFonts w:cs="Times New Roman"/>
          <w:i/>
        </w:rPr>
        <w:t>L</w:t>
      </w:r>
      <w:r>
        <w:rPr>
          <w:rFonts w:cs="Times New Roman"/>
        </w:rPr>
        <w:t>/</w:t>
      </w:r>
      <w:r>
        <w:rPr>
          <w:rFonts w:cs="Times New Roman"/>
          <w:i/>
          <w:iCs/>
        </w:rPr>
        <w:t>λ</w:t>
      </w:r>
      <w:r>
        <w:t>. For a circular elastic diaphragm with a fixed periphery, its acoustic response sensitivity (</w:t>
      </w:r>
      <w:r>
        <w:rPr>
          <w:i/>
          <w:iCs/>
        </w:rPr>
        <w:t>S</w:t>
      </w:r>
      <w:r>
        <w:t xml:space="preserve">) can be expressed as the maximum diaphragm displacement caused by unit sound pressure change </w:t>
      </w:r>
      <w:r>
        <w:rPr>
          <w:position w:val="-4"/>
        </w:rPr>
        <w:object w:dxaOrig="255" w:dyaOrig="255" w14:anchorId="134784A0">
          <v:shape id="_x0000_i1033" type="#_x0000_t75" style="width:13.7pt;height:13.7pt" o:ole="">
            <v:imagedata r:id="rId25" o:title=""/>
          </v:shape>
          <o:OLEObject Type="Embed" ProgID="Equation.DSMT4" ShapeID="_x0000_i1033" DrawAspect="Content" ObjectID="_1774013332" r:id="rId26"/>
        </w:object>
      </w:r>
      <w:r>
        <w:rPr>
          <w:i/>
          <w:iCs/>
        </w:rPr>
        <w:t>L</w:t>
      </w:r>
      <w:r>
        <w:t>, written in the following equation [</w:t>
      </w:r>
      <w:r>
        <w:fldChar w:fldCharType="begin" w:fldLock="1"/>
      </w:r>
      <w:r w:rsidR="00FE76DC">
        <w:instrText xml:space="preserve"> ADDIN ZOTERO_ITEM CSL_CITATION {"citationID":"kIU5Powc","properties":{"formattedCitation":"\\super 6\\nosupersub{}","plainCitation":"6","noteIndex":0},"citationItems":[{"id":"7KFSzQ2n/0dWRVSgm","uris":["http://www.mendeley.com/documents/?uuid=dc50c78c-97c9-4d3a-98e0-3b17179a45a6"],"itemData":{"DOI":"10.1109/JLT.2017.2737639","ISSN":"0733-8724","author":[{"dropping-particle":"","family":"Wu","given":"Yu","non-dropping-particle":"","parse-names":false,"suffix":""},{"dropping-particle":"","family":"Yu","given":"Caibin","non-dropping-particle":"","parse-names":false,"suffix":""},{"dropping-particle":"","family":"Wu","given":"Fan","non-dropping-particle":"","parse-names":false,"suffix":""},{"dropping-particle":"","family":"Li","given":"Chen","non-dropping-particle":"","parse-names":false,"suffix":""},{"dropping-particle":"","family":"Zhou","given":"Jinhao","non-dropping-particle":"","parse-names":false,"suffix":""},{"dropping-particle":"","family":"Gong","given":"Yuan","non-dropping-particle":"","parse-names":false,"suffix":""},{"dropping-particle":"","family":"Rao","given":"Yunjiang","non-dropping-particle":"","parse-names":false,"suffix":""},{"dropping-particle":"","family":"Chen","given":"Yuanfu","non-dropping-particle":"","parse-names":false,"suffix":""}],"container-title":"Journal of Lightwave Technology","id":"ITEM-1","issue":"19","issued":{"date-parts":[["2017","10","1"]]},"page":"4344-4349","title":"A Highly Sensitive Fiber-Optic Microphone Based on Graphene Oxide Membrane","type":"article-journal","volume":"35"}}],"schema":"https://github.com/citation-style-language/schema/raw/master/csl-citation.json"} </w:instrText>
      </w:r>
      <w:r>
        <w:fldChar w:fldCharType="separate"/>
      </w:r>
      <w:r w:rsidR="00FE76DC" w:rsidRPr="00FE76DC">
        <w:rPr>
          <w:rFonts w:cs="Times New Roman"/>
          <w:kern w:val="0"/>
          <w:szCs w:val="24"/>
          <w:vertAlign w:val="superscript"/>
        </w:rPr>
        <w:t>6</w:t>
      </w:r>
      <w:r>
        <w:fldChar w:fldCharType="end"/>
      </w:r>
      <w:r>
        <w:t>]:</w:t>
      </w:r>
    </w:p>
    <w:p w14:paraId="5701289F" w14:textId="77777777" w:rsidR="005A0D3F" w:rsidRDefault="00834DAB">
      <w:pPr>
        <w:pStyle w:val="af"/>
        <w:wordWrap/>
        <w:adjustRightInd w:val="0"/>
        <w:snapToGrid w:val="0"/>
        <w:spacing w:line="360" w:lineRule="auto"/>
        <w:ind w:firstLine="480"/>
      </w:pPr>
      <w:r>
        <w:tab/>
      </w:r>
      <w:r>
        <w:object w:dxaOrig="2195" w:dyaOrig="662" w14:anchorId="525BCF54">
          <v:shape id="_x0000_i1034" type="#_x0000_t75" style="width:109.55pt;height:33.55pt" o:ole="">
            <v:imagedata r:id="rId27" o:title=""/>
          </v:shape>
          <o:OLEObject Type="Embed" ProgID="Equation.DSMT4" ShapeID="_x0000_i1034" DrawAspect="Content" ObjectID="_1774013333" r:id="rId28"/>
        </w:object>
      </w:r>
      <w:r>
        <w:tab/>
      </w:r>
      <w:r>
        <w:tab/>
        <w:t>(S9)</w:t>
      </w:r>
    </w:p>
    <w:p w14:paraId="20618362" w14:textId="6E7E7293" w:rsidR="005A0D3F" w:rsidRDefault="00D37EBF">
      <w:pPr>
        <w:pStyle w:val="af"/>
        <w:wordWrap/>
        <w:adjustRightInd w:val="0"/>
        <w:snapToGrid w:val="0"/>
        <w:spacing w:line="360" w:lineRule="auto"/>
        <w:ind w:firstLine="480"/>
        <w:jc w:val="both"/>
      </w:pPr>
      <w:r>
        <w:t>The</w:t>
      </w:r>
      <w:r w:rsidR="00834DAB">
        <w:t xml:space="preserve"> cut-off frequency of forced vibration is</w:t>
      </w:r>
      <w:r>
        <w:rPr>
          <w:rFonts w:hint="eastAsia"/>
        </w:rPr>
        <w:t>:</w:t>
      </w:r>
      <w:r w:rsidR="00834DAB">
        <w:t xml:space="preserve"> </w:t>
      </w:r>
    </w:p>
    <w:p w14:paraId="57FA0C35" w14:textId="26ABFB3F" w:rsidR="005A0D3F" w:rsidRDefault="00834DAB">
      <w:pPr>
        <w:adjustRightInd w:val="0"/>
        <w:snapToGrid w:val="0"/>
        <w:ind w:firstLineChars="0" w:firstLine="0"/>
        <w:jc w:val="right"/>
      </w:pPr>
      <w:r>
        <w:tab/>
      </w:r>
      <w:r>
        <w:tab/>
      </w:r>
      <w:r w:rsidR="00A849EB">
        <w:rPr>
          <w:position w:val="-30"/>
        </w:rPr>
        <w:object w:dxaOrig="1700" w:dyaOrig="740" w14:anchorId="61B268E1">
          <v:shape id="_x0000_i1035" type="#_x0000_t75" style="width:84.8pt;height:37.1pt" o:ole="">
            <v:imagedata r:id="rId29" o:title=""/>
          </v:shape>
          <o:OLEObject Type="Embed" ProgID="Equation.DSMT4" ShapeID="_x0000_i1035" DrawAspect="Content" ObjectID="_1774013334" r:id="rId30"/>
        </w:object>
      </w:r>
      <w:r>
        <w:tab/>
      </w:r>
      <w:r>
        <w:tab/>
      </w:r>
      <w:r>
        <w:tab/>
      </w:r>
      <w:r>
        <w:tab/>
      </w:r>
      <w:r>
        <w:tab/>
      </w:r>
      <w:r>
        <w:tab/>
      </w:r>
      <w:r>
        <w:tab/>
      </w:r>
      <w:r>
        <w:tab/>
      </w:r>
      <w:r>
        <w:tab/>
        <w:t>(S10)</w:t>
      </w:r>
    </w:p>
    <w:p w14:paraId="686F546F" w14:textId="1AA022D2" w:rsidR="005A0D3F" w:rsidRDefault="00834DAB">
      <w:pPr>
        <w:adjustRightInd w:val="0"/>
        <w:snapToGrid w:val="0"/>
        <w:ind w:firstLine="480"/>
      </w:pPr>
      <w:r>
        <w:t xml:space="preserve">In these equations, </w:t>
      </w:r>
      <w:r>
        <w:rPr>
          <w:i/>
          <w:iCs/>
        </w:rPr>
        <w:t xml:space="preserve">r </w:t>
      </w:r>
      <w:r>
        <w:t xml:space="preserve">is the effective radius of the film, that is, the inner radius of the glass sleeve of the fiber optic F-P acoustic sensor, </w:t>
      </w:r>
      <w:r>
        <w:rPr>
          <w:i/>
          <w:iCs/>
        </w:rPr>
        <w:t>h</w:t>
      </w:r>
      <w:r>
        <w:t xml:space="preserve"> is the thickness of the film, </w:t>
      </w:r>
      <w:r>
        <w:rPr>
          <w:i/>
          <w:iCs/>
        </w:rPr>
        <w:t>μ</w:t>
      </w:r>
      <w:r>
        <w:t xml:space="preserve"> is the Poisson's ratio of the film, and </w:t>
      </w:r>
      <w:r>
        <w:rPr>
          <w:i/>
          <w:iCs/>
        </w:rPr>
        <w:t>Y</w:t>
      </w:r>
      <w:r>
        <w:t xml:space="preserve"> is the Young’s modulus of the film, </w:t>
      </w:r>
      <w:r>
        <w:rPr>
          <w:rFonts w:cs="Times New Roman"/>
          <w:i/>
        </w:rPr>
        <w:t>ρ</w:t>
      </w:r>
      <w:r>
        <w:t xml:space="preserve"> = 3.17</w:t>
      </w:r>
      <w:r w:rsidR="00111D88">
        <w:t xml:space="preserve"> </w:t>
      </w:r>
      <w:r>
        <w:t>g/cm</w:t>
      </w:r>
      <w:r>
        <w:rPr>
          <w:vertAlign w:val="superscript"/>
        </w:rPr>
        <w:t>3</w:t>
      </w:r>
      <w:r>
        <w:t xml:space="preserve"> is the material density. When the external sound pressure of the film is constant, a larger radius of the film or a smaller thickness of the film can enable a higher sensitivity. Besides, a smaller Young’s modulus can also promote sensitivity. In practice, the above parameters which determine </w:t>
      </w:r>
      <w:r w:rsidR="00994457">
        <w:t xml:space="preserve">the </w:t>
      </w:r>
      <w:r>
        <w:t xml:space="preserve">sensitivity of the diaphragm cannot be freely designed. For instance, in fabrication, due to the thermal preparation, a diaphragm will suffer initial stress. As a result, </w:t>
      </w:r>
      <w:r>
        <w:rPr>
          <w:i/>
        </w:rPr>
        <w:t>h</w:t>
      </w:r>
      <w:r>
        <w:t xml:space="preserve"> cannot be infinitely small. In this work, we use a thin film with </w:t>
      </w:r>
      <w:r w:rsidR="002D6902">
        <w:t xml:space="preserve">a </w:t>
      </w:r>
      <w:r>
        <w:t xml:space="preserve">designed micro-structure instead of a pure flat film. The schematic design is shown in </w:t>
      </w:r>
      <w:r>
        <w:rPr>
          <w:b/>
          <w:bCs/>
        </w:rPr>
        <w:t>Fig. S2d</w:t>
      </w:r>
      <w:r>
        <w:t xml:space="preserve">. This structure can reduce rigid resistance and residual stress by using the annular corrugated geometry, e.g. 5 concentric rings. This can increase the </w:t>
      </w:r>
      <w:r>
        <w:rPr>
          <w:i/>
          <w:iCs/>
        </w:rPr>
        <w:t>μ</w:t>
      </w:r>
      <w:r>
        <w:rPr>
          <w:iCs/>
        </w:rPr>
        <w:t xml:space="preserve"> and decrease the </w:t>
      </w:r>
      <w:r>
        <w:rPr>
          <w:i/>
          <w:iCs/>
        </w:rPr>
        <w:t>Y</w:t>
      </w:r>
      <w:r>
        <w:rPr>
          <w:iCs/>
        </w:rPr>
        <w:t xml:space="preserve">. </w:t>
      </w:r>
      <w:r>
        <w:t xml:space="preserve">In our device, </w:t>
      </w:r>
      <w:r>
        <w:rPr>
          <w:i/>
        </w:rPr>
        <w:t>r</w:t>
      </w:r>
      <w:r>
        <w:t xml:space="preserve"> = 0.9 </w:t>
      </w:r>
      <w:r>
        <w:rPr>
          <w:rFonts w:cs="Times New Roman"/>
        </w:rPr>
        <w:t>m</w:t>
      </w:r>
      <w:r>
        <w:t xml:space="preserve">m, </w:t>
      </w:r>
      <w:r>
        <w:rPr>
          <w:i/>
        </w:rPr>
        <w:t>h</w:t>
      </w:r>
      <w:r>
        <w:t xml:space="preserve"> = 400 nm. </w:t>
      </w:r>
      <w:r>
        <w:rPr>
          <w:iCs/>
        </w:rPr>
        <w:t xml:space="preserve">Specifically, </w:t>
      </w:r>
      <w:r>
        <w:rPr>
          <w:i/>
          <w:iCs/>
        </w:rPr>
        <w:t xml:space="preserve">μ </w:t>
      </w:r>
      <w:r>
        <w:rPr>
          <w:iCs/>
        </w:rPr>
        <w:t xml:space="preserve">of a flat silicon nitride film (made via PECVD) is 0.2, </w:t>
      </w:r>
      <w:r>
        <w:rPr>
          <w:i/>
          <w:iCs/>
        </w:rPr>
        <w:t>Y</w:t>
      </w:r>
      <w:r>
        <w:rPr>
          <w:iCs/>
        </w:rPr>
        <w:t xml:space="preserve"> of a flat silicon nitride film is 280 GPa [</w:t>
      </w:r>
      <w:r>
        <w:rPr>
          <w:iCs/>
        </w:rPr>
        <w:fldChar w:fldCharType="begin" w:fldLock="1"/>
      </w:r>
      <w:r w:rsidR="00FE76DC">
        <w:rPr>
          <w:iCs/>
        </w:rPr>
        <w:instrText xml:space="preserve"> ADDIN ZOTERO_ITEM CSL_CITATION {"citationID":"RO2aOrY0","properties":{"formattedCitation":"\\super 7\\nosupersub{}","plainCitation":"7","noteIndex":0},"citationItems":[{"id":"7KFSzQ2n/IAWEuhZ5","uris":["http://www.mendeley.com/documents/?uuid=6c6d2c36-f323-470f-bbd3-a6102c891e1e"],"itemData":{"DOI":"10.1063/1.1638886","ISSN":"0021-8979","abstract":"The Young’s modulus and Poisson’s ratio of high-quality silicon nitride films with 800 nm thickness, grown on silicon substrates by low-pressure chemical vapor deposition, were determined by measuring the dispersion of laser-induced surface acoustic waves. The Young’s modulus was also measured by mechanical tuning of commercially available silicon nitride cantilevers, manufactured from the same material, using the tapping mode of a scanning force microscope. For this experiment, an expression for the oscillation frequencies of two-media beam systems is derived. Both methods yield a Young’s modulus of 280–290 GPa for amorphous silicon nitride, which is substantially higher than previously reported (E=146 GPa). For Poisson’s ratio, a value of ν=0.20 was obtained. These values are relevant for the determination of the spring constant of the cantilever and the effective tip–sample stiffness.","author":[{"dropping-particle":"","family":"Khan","given":"A.","non-dropping-particle":"","parse-names":false,"suffix":""},{"dropping-particle":"","family":"Philip","given":"J.","non-dropping-particle":"","parse-names":false,"suffix":""},{"dropping-particle":"","family":"Hess","given":"P.","non-dropping-particle":"","parse-names":false,"suffix":""}],"container-title":"Journal of Applied Physics","id":"ITEM-1","issue":"4","issued":{"date-parts":[["2004","2","15"]]},"page":"1667-1672","title":"Young’s modulus of silicon nitride used in scanning force microscope cantilevers","type":"article-journal","volume":"95"}}],"schema":"https://github.com/citation-style-language/schema/raw/master/csl-citation.json"} </w:instrText>
      </w:r>
      <w:r>
        <w:rPr>
          <w:iCs/>
        </w:rPr>
        <w:fldChar w:fldCharType="separate"/>
      </w:r>
      <w:r w:rsidR="00FE76DC" w:rsidRPr="00FE76DC">
        <w:rPr>
          <w:rFonts w:cs="Times New Roman"/>
          <w:kern w:val="0"/>
          <w:szCs w:val="24"/>
          <w:vertAlign w:val="superscript"/>
        </w:rPr>
        <w:t>7</w:t>
      </w:r>
      <w:r>
        <w:rPr>
          <w:iCs/>
        </w:rPr>
        <w:fldChar w:fldCharType="end"/>
      </w:r>
      <w:r>
        <w:rPr>
          <w:iCs/>
        </w:rPr>
        <w:t xml:space="preserve">]. </w:t>
      </w:r>
      <w:r>
        <w:t xml:space="preserve">In </w:t>
      </w:r>
      <w:r>
        <w:rPr>
          <w:b/>
        </w:rPr>
        <w:t>Table S2</w:t>
      </w:r>
      <w:r>
        <w:t xml:space="preserve">, we compare the parameters of a flat silicon nitride film and a structured silicon nitride film. </w:t>
      </w:r>
    </w:p>
    <w:p w14:paraId="12072615" w14:textId="77777777" w:rsidR="005A0D3F" w:rsidRDefault="00834DAB">
      <w:pPr>
        <w:adjustRightInd w:val="0"/>
        <w:snapToGrid w:val="0"/>
        <w:ind w:firstLineChars="0" w:firstLine="0"/>
        <w:jc w:val="center"/>
      </w:pPr>
      <w:r>
        <w:rPr>
          <w:b/>
        </w:rPr>
        <w:t>Table S2</w:t>
      </w:r>
      <w:r>
        <w:t>. Parametric comparisons between pristine and micro-structured SiN diaphragm.</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01"/>
        <w:gridCol w:w="1559"/>
        <w:gridCol w:w="1701"/>
        <w:gridCol w:w="1661"/>
      </w:tblGrid>
      <w:tr w:rsidR="005A0D3F" w14:paraId="7379FA80" w14:textId="77777777">
        <w:tc>
          <w:tcPr>
            <w:tcW w:w="3114" w:type="dxa"/>
            <w:tcBorders>
              <w:top w:val="single" w:sz="4" w:space="0" w:color="auto"/>
              <w:bottom w:val="single" w:sz="4" w:space="0" w:color="auto"/>
            </w:tcBorders>
            <w:vAlign w:val="center"/>
          </w:tcPr>
          <w:p w14:paraId="374C9B7E" w14:textId="77777777" w:rsidR="005A0D3F" w:rsidRDefault="005A0D3F">
            <w:pPr>
              <w:adjustRightInd w:val="0"/>
              <w:snapToGrid w:val="0"/>
              <w:ind w:firstLineChars="0" w:firstLine="0"/>
              <w:jc w:val="center"/>
              <w:rPr>
                <w:kern w:val="0"/>
                <w:szCs w:val="20"/>
              </w:rPr>
            </w:pPr>
          </w:p>
        </w:tc>
        <w:tc>
          <w:tcPr>
            <w:tcW w:w="1701" w:type="dxa"/>
            <w:tcBorders>
              <w:top w:val="single" w:sz="4" w:space="0" w:color="auto"/>
              <w:bottom w:val="single" w:sz="4" w:space="0" w:color="auto"/>
            </w:tcBorders>
            <w:vAlign w:val="center"/>
          </w:tcPr>
          <w:p w14:paraId="10F5FC87" w14:textId="77777777" w:rsidR="005A0D3F" w:rsidRDefault="00834DAB">
            <w:pPr>
              <w:adjustRightInd w:val="0"/>
              <w:snapToGrid w:val="0"/>
              <w:ind w:firstLineChars="0" w:firstLine="0"/>
              <w:jc w:val="center"/>
              <w:rPr>
                <w:i/>
                <w:kern w:val="0"/>
                <w:szCs w:val="20"/>
              </w:rPr>
            </w:pPr>
            <w:r>
              <w:rPr>
                <w:rFonts w:hint="eastAsia"/>
                <w:i/>
                <w:kern w:val="0"/>
                <w:szCs w:val="20"/>
              </w:rPr>
              <w:t>Y</w:t>
            </w:r>
            <w:r>
              <w:rPr>
                <w:i/>
                <w:kern w:val="0"/>
                <w:szCs w:val="20"/>
              </w:rPr>
              <w:t xml:space="preserve"> </w:t>
            </w:r>
            <w:r>
              <w:rPr>
                <w:kern w:val="0"/>
                <w:szCs w:val="20"/>
              </w:rPr>
              <w:t>(GPa)</w:t>
            </w:r>
          </w:p>
        </w:tc>
        <w:tc>
          <w:tcPr>
            <w:tcW w:w="1559" w:type="dxa"/>
            <w:tcBorders>
              <w:top w:val="single" w:sz="4" w:space="0" w:color="auto"/>
              <w:bottom w:val="single" w:sz="4" w:space="0" w:color="auto"/>
            </w:tcBorders>
            <w:vAlign w:val="center"/>
          </w:tcPr>
          <w:p w14:paraId="47E59305" w14:textId="77777777" w:rsidR="005A0D3F" w:rsidRDefault="00834DAB">
            <w:pPr>
              <w:adjustRightInd w:val="0"/>
              <w:snapToGrid w:val="0"/>
              <w:ind w:firstLineChars="0" w:firstLine="0"/>
              <w:jc w:val="center"/>
              <w:rPr>
                <w:kern w:val="0"/>
                <w:szCs w:val="20"/>
              </w:rPr>
            </w:pPr>
            <w:r>
              <w:rPr>
                <w:i/>
                <w:iCs/>
                <w:kern w:val="0"/>
                <w:szCs w:val="20"/>
              </w:rPr>
              <w:t>μ</w:t>
            </w:r>
          </w:p>
        </w:tc>
        <w:tc>
          <w:tcPr>
            <w:tcW w:w="1701" w:type="dxa"/>
            <w:tcBorders>
              <w:top w:val="single" w:sz="4" w:space="0" w:color="auto"/>
              <w:bottom w:val="single" w:sz="4" w:space="0" w:color="auto"/>
            </w:tcBorders>
            <w:vAlign w:val="center"/>
          </w:tcPr>
          <w:p w14:paraId="4D4607B3" w14:textId="77777777" w:rsidR="005A0D3F" w:rsidRDefault="00834DAB">
            <w:pPr>
              <w:adjustRightInd w:val="0"/>
              <w:snapToGrid w:val="0"/>
              <w:ind w:firstLineChars="0" w:firstLine="0"/>
              <w:jc w:val="center"/>
              <w:rPr>
                <w:i/>
                <w:kern w:val="0"/>
                <w:szCs w:val="20"/>
              </w:rPr>
            </w:pPr>
            <w:r>
              <w:rPr>
                <w:rFonts w:hint="eastAsia"/>
                <w:i/>
                <w:kern w:val="0"/>
                <w:szCs w:val="20"/>
              </w:rPr>
              <w:t>S</w:t>
            </w:r>
            <w:r>
              <w:rPr>
                <w:i/>
                <w:kern w:val="0"/>
                <w:szCs w:val="20"/>
              </w:rPr>
              <w:t xml:space="preserve"> </w:t>
            </w:r>
            <w:r>
              <w:rPr>
                <w:kern w:val="0"/>
                <w:szCs w:val="20"/>
              </w:rPr>
              <w:t>(</w:t>
            </w:r>
            <w:r>
              <w:rPr>
                <w:rFonts w:cs="Times New Roman"/>
                <w:kern w:val="0"/>
                <w:szCs w:val="20"/>
              </w:rPr>
              <w:t>μ</w:t>
            </w:r>
            <w:r>
              <w:rPr>
                <w:kern w:val="0"/>
                <w:szCs w:val="20"/>
              </w:rPr>
              <w:t>m/Pa)</w:t>
            </w:r>
          </w:p>
        </w:tc>
        <w:tc>
          <w:tcPr>
            <w:tcW w:w="1661" w:type="dxa"/>
            <w:tcBorders>
              <w:top w:val="single" w:sz="4" w:space="0" w:color="auto"/>
              <w:bottom w:val="single" w:sz="4" w:space="0" w:color="auto"/>
            </w:tcBorders>
            <w:vAlign w:val="center"/>
          </w:tcPr>
          <w:p w14:paraId="12A2328D" w14:textId="77777777" w:rsidR="005A0D3F" w:rsidRDefault="00834DAB">
            <w:pPr>
              <w:adjustRightInd w:val="0"/>
              <w:snapToGrid w:val="0"/>
              <w:ind w:firstLineChars="0" w:firstLine="0"/>
              <w:jc w:val="center"/>
              <w:rPr>
                <w:kern w:val="0"/>
                <w:szCs w:val="20"/>
              </w:rPr>
            </w:pPr>
            <w:r>
              <w:rPr>
                <w:rFonts w:hint="eastAsia"/>
                <w:i/>
                <w:kern w:val="0"/>
                <w:szCs w:val="20"/>
              </w:rPr>
              <w:t>f</w:t>
            </w:r>
            <w:r>
              <w:rPr>
                <w:iCs/>
                <w:kern w:val="0"/>
                <w:szCs w:val="20"/>
                <w:vertAlign w:val="subscript"/>
              </w:rPr>
              <w:t>Cut</w:t>
            </w:r>
            <w:r>
              <w:rPr>
                <w:iCs/>
                <w:kern w:val="0"/>
                <w:szCs w:val="20"/>
              </w:rPr>
              <w:t xml:space="preserve"> </w:t>
            </w:r>
            <w:r>
              <w:rPr>
                <w:kern w:val="0"/>
                <w:szCs w:val="20"/>
              </w:rPr>
              <w:t>(GHz)</w:t>
            </w:r>
          </w:p>
        </w:tc>
      </w:tr>
      <w:tr w:rsidR="005A0D3F" w14:paraId="05F4B178" w14:textId="77777777">
        <w:tc>
          <w:tcPr>
            <w:tcW w:w="3114" w:type="dxa"/>
            <w:tcBorders>
              <w:top w:val="single" w:sz="4" w:space="0" w:color="auto"/>
            </w:tcBorders>
            <w:vAlign w:val="center"/>
          </w:tcPr>
          <w:p w14:paraId="298BF1F1" w14:textId="77777777" w:rsidR="005A0D3F" w:rsidRDefault="00834DAB">
            <w:pPr>
              <w:adjustRightInd w:val="0"/>
              <w:snapToGrid w:val="0"/>
              <w:ind w:firstLineChars="0" w:firstLine="0"/>
              <w:jc w:val="center"/>
              <w:rPr>
                <w:kern w:val="0"/>
                <w:szCs w:val="20"/>
              </w:rPr>
            </w:pPr>
            <w:r>
              <w:rPr>
                <w:kern w:val="0"/>
                <w:szCs w:val="20"/>
              </w:rPr>
              <w:t>Flat diaphragm</w:t>
            </w:r>
          </w:p>
        </w:tc>
        <w:tc>
          <w:tcPr>
            <w:tcW w:w="1701" w:type="dxa"/>
            <w:tcBorders>
              <w:top w:val="single" w:sz="4" w:space="0" w:color="auto"/>
            </w:tcBorders>
            <w:vAlign w:val="center"/>
          </w:tcPr>
          <w:p w14:paraId="78CD84B0" w14:textId="77777777" w:rsidR="005A0D3F" w:rsidRDefault="00834DAB">
            <w:pPr>
              <w:adjustRightInd w:val="0"/>
              <w:snapToGrid w:val="0"/>
              <w:ind w:firstLineChars="0" w:firstLine="0"/>
              <w:jc w:val="center"/>
              <w:rPr>
                <w:kern w:val="0"/>
                <w:szCs w:val="20"/>
              </w:rPr>
            </w:pPr>
            <w:r>
              <w:rPr>
                <w:rFonts w:hint="eastAsia"/>
                <w:kern w:val="0"/>
                <w:szCs w:val="20"/>
              </w:rPr>
              <w:t>2</w:t>
            </w:r>
            <w:r>
              <w:rPr>
                <w:kern w:val="0"/>
                <w:szCs w:val="20"/>
              </w:rPr>
              <w:t>80</w:t>
            </w:r>
          </w:p>
        </w:tc>
        <w:tc>
          <w:tcPr>
            <w:tcW w:w="1559" w:type="dxa"/>
            <w:tcBorders>
              <w:top w:val="single" w:sz="4" w:space="0" w:color="auto"/>
            </w:tcBorders>
            <w:vAlign w:val="center"/>
          </w:tcPr>
          <w:p w14:paraId="7F68417B" w14:textId="77777777" w:rsidR="005A0D3F" w:rsidRDefault="00834DAB">
            <w:pPr>
              <w:adjustRightInd w:val="0"/>
              <w:snapToGrid w:val="0"/>
              <w:ind w:firstLineChars="0" w:firstLine="0"/>
              <w:jc w:val="center"/>
              <w:rPr>
                <w:kern w:val="0"/>
                <w:szCs w:val="20"/>
              </w:rPr>
            </w:pPr>
            <w:r>
              <w:rPr>
                <w:rFonts w:hint="eastAsia"/>
                <w:kern w:val="0"/>
                <w:szCs w:val="20"/>
              </w:rPr>
              <w:t>0</w:t>
            </w:r>
            <w:r>
              <w:rPr>
                <w:kern w:val="0"/>
                <w:szCs w:val="20"/>
              </w:rPr>
              <w:t>.2</w:t>
            </w:r>
          </w:p>
        </w:tc>
        <w:tc>
          <w:tcPr>
            <w:tcW w:w="1701" w:type="dxa"/>
            <w:tcBorders>
              <w:top w:val="single" w:sz="4" w:space="0" w:color="auto"/>
            </w:tcBorders>
            <w:vAlign w:val="center"/>
          </w:tcPr>
          <w:p w14:paraId="5DA4FB1A" w14:textId="77777777" w:rsidR="005A0D3F" w:rsidRDefault="00834DAB">
            <w:pPr>
              <w:adjustRightInd w:val="0"/>
              <w:snapToGrid w:val="0"/>
              <w:ind w:firstLineChars="0" w:firstLine="0"/>
              <w:jc w:val="center"/>
              <w:rPr>
                <w:kern w:val="0"/>
                <w:szCs w:val="20"/>
              </w:rPr>
            </w:pPr>
            <w:r>
              <w:rPr>
                <w:kern w:val="0"/>
                <w:szCs w:val="20"/>
              </w:rPr>
              <w:t>6.59</w:t>
            </w:r>
          </w:p>
        </w:tc>
        <w:tc>
          <w:tcPr>
            <w:tcW w:w="1661" w:type="dxa"/>
            <w:tcBorders>
              <w:top w:val="single" w:sz="4" w:space="0" w:color="auto"/>
            </w:tcBorders>
            <w:vAlign w:val="center"/>
          </w:tcPr>
          <w:p w14:paraId="1D41F22F" w14:textId="77777777" w:rsidR="005A0D3F" w:rsidRDefault="00834DAB">
            <w:pPr>
              <w:adjustRightInd w:val="0"/>
              <w:snapToGrid w:val="0"/>
              <w:ind w:firstLineChars="0" w:firstLine="0"/>
              <w:jc w:val="center"/>
              <w:rPr>
                <w:kern w:val="0"/>
                <w:szCs w:val="20"/>
              </w:rPr>
            </w:pPr>
            <w:r>
              <w:rPr>
                <w:kern w:val="0"/>
                <w:szCs w:val="20"/>
              </w:rPr>
              <w:t>83.1</w:t>
            </w:r>
          </w:p>
        </w:tc>
      </w:tr>
      <w:tr w:rsidR="005A0D3F" w14:paraId="2D906066" w14:textId="77777777">
        <w:tc>
          <w:tcPr>
            <w:tcW w:w="3114" w:type="dxa"/>
            <w:tcBorders>
              <w:bottom w:val="single" w:sz="4" w:space="0" w:color="auto"/>
            </w:tcBorders>
            <w:vAlign w:val="center"/>
          </w:tcPr>
          <w:p w14:paraId="17490B82" w14:textId="77777777" w:rsidR="005A0D3F" w:rsidRDefault="00834DAB">
            <w:pPr>
              <w:adjustRightInd w:val="0"/>
              <w:snapToGrid w:val="0"/>
              <w:ind w:firstLineChars="0" w:firstLine="0"/>
              <w:jc w:val="center"/>
              <w:rPr>
                <w:kern w:val="0"/>
                <w:szCs w:val="20"/>
              </w:rPr>
            </w:pPr>
            <w:r>
              <w:rPr>
                <w:rFonts w:hint="eastAsia"/>
                <w:kern w:val="0"/>
                <w:szCs w:val="20"/>
              </w:rPr>
              <w:t>M</w:t>
            </w:r>
            <w:r>
              <w:rPr>
                <w:kern w:val="0"/>
                <w:szCs w:val="20"/>
              </w:rPr>
              <w:t>icro-structured diaphragm</w:t>
            </w:r>
          </w:p>
        </w:tc>
        <w:tc>
          <w:tcPr>
            <w:tcW w:w="1701" w:type="dxa"/>
            <w:tcBorders>
              <w:bottom w:val="single" w:sz="4" w:space="0" w:color="auto"/>
            </w:tcBorders>
            <w:vAlign w:val="center"/>
          </w:tcPr>
          <w:p w14:paraId="684B3591" w14:textId="77777777" w:rsidR="005A0D3F" w:rsidRDefault="00834DAB">
            <w:pPr>
              <w:adjustRightInd w:val="0"/>
              <w:snapToGrid w:val="0"/>
              <w:ind w:firstLineChars="0" w:firstLine="0"/>
              <w:jc w:val="center"/>
              <w:rPr>
                <w:kern w:val="0"/>
                <w:szCs w:val="20"/>
              </w:rPr>
            </w:pPr>
            <w:r>
              <w:rPr>
                <w:kern w:val="0"/>
                <w:szCs w:val="20"/>
              </w:rPr>
              <w:t>100</w:t>
            </w:r>
          </w:p>
        </w:tc>
        <w:tc>
          <w:tcPr>
            <w:tcW w:w="1559" w:type="dxa"/>
            <w:tcBorders>
              <w:bottom w:val="single" w:sz="4" w:space="0" w:color="auto"/>
            </w:tcBorders>
            <w:vAlign w:val="center"/>
          </w:tcPr>
          <w:p w14:paraId="2852F67C" w14:textId="77777777" w:rsidR="005A0D3F" w:rsidRDefault="00834DAB">
            <w:pPr>
              <w:adjustRightInd w:val="0"/>
              <w:snapToGrid w:val="0"/>
              <w:ind w:firstLineChars="0" w:firstLine="0"/>
              <w:jc w:val="center"/>
              <w:rPr>
                <w:kern w:val="0"/>
                <w:szCs w:val="20"/>
              </w:rPr>
            </w:pPr>
            <w:r>
              <w:rPr>
                <w:rFonts w:hint="eastAsia"/>
                <w:kern w:val="0"/>
                <w:szCs w:val="20"/>
              </w:rPr>
              <w:t>0</w:t>
            </w:r>
            <w:r>
              <w:rPr>
                <w:kern w:val="0"/>
                <w:szCs w:val="20"/>
              </w:rPr>
              <w:t>.1</w:t>
            </w:r>
          </w:p>
        </w:tc>
        <w:tc>
          <w:tcPr>
            <w:tcW w:w="1701" w:type="dxa"/>
            <w:tcBorders>
              <w:bottom w:val="single" w:sz="4" w:space="0" w:color="auto"/>
            </w:tcBorders>
            <w:vAlign w:val="center"/>
          </w:tcPr>
          <w:p w14:paraId="11C6C1BA" w14:textId="77777777" w:rsidR="005A0D3F" w:rsidRDefault="00834DAB">
            <w:pPr>
              <w:adjustRightInd w:val="0"/>
              <w:snapToGrid w:val="0"/>
              <w:ind w:firstLineChars="0" w:firstLine="0"/>
              <w:jc w:val="center"/>
              <w:rPr>
                <w:kern w:val="0"/>
                <w:szCs w:val="20"/>
              </w:rPr>
            </w:pPr>
            <w:r>
              <w:rPr>
                <w:kern w:val="0"/>
                <w:szCs w:val="20"/>
              </w:rPr>
              <w:t>19.02</w:t>
            </w:r>
          </w:p>
        </w:tc>
        <w:tc>
          <w:tcPr>
            <w:tcW w:w="1661" w:type="dxa"/>
            <w:tcBorders>
              <w:bottom w:val="single" w:sz="4" w:space="0" w:color="auto"/>
            </w:tcBorders>
            <w:vAlign w:val="center"/>
          </w:tcPr>
          <w:p w14:paraId="1102A569" w14:textId="77777777" w:rsidR="005A0D3F" w:rsidRDefault="00834DAB">
            <w:pPr>
              <w:adjustRightInd w:val="0"/>
              <w:snapToGrid w:val="0"/>
              <w:ind w:firstLineChars="0" w:firstLine="0"/>
              <w:jc w:val="center"/>
              <w:rPr>
                <w:kern w:val="0"/>
                <w:szCs w:val="20"/>
              </w:rPr>
            </w:pPr>
            <w:r>
              <w:rPr>
                <w:kern w:val="0"/>
                <w:szCs w:val="20"/>
              </w:rPr>
              <w:t>12.4</w:t>
            </w:r>
          </w:p>
        </w:tc>
      </w:tr>
    </w:tbl>
    <w:p w14:paraId="16CEE5D3" w14:textId="77777777" w:rsidR="005A0D3F" w:rsidRDefault="005A0D3F">
      <w:pPr>
        <w:adjustRightInd w:val="0"/>
        <w:snapToGrid w:val="0"/>
        <w:ind w:firstLineChars="0" w:firstLine="0"/>
      </w:pPr>
    </w:p>
    <w:p w14:paraId="1A538F0B" w14:textId="4412D716" w:rsidR="005A0D3F" w:rsidRDefault="00834DAB">
      <w:pPr>
        <w:adjustRightInd w:val="0"/>
        <w:snapToGrid w:val="0"/>
        <w:ind w:firstLineChars="0" w:firstLine="480"/>
        <w:rPr>
          <w:rFonts w:cs="Times New Roman"/>
        </w:rPr>
      </w:pPr>
      <w:r>
        <w:t xml:space="preserve">In acoustic sensing applications, sensitivity and frequency response bandwidth are the two most </w:t>
      </w:r>
      <w:r>
        <w:lastRenderedPageBreak/>
        <w:t>important indicators. W</w:t>
      </w:r>
      <w:r>
        <w:rPr>
          <w:rFonts w:hint="eastAsia"/>
        </w:rPr>
        <w:t>e</w:t>
      </w:r>
      <w:r>
        <w:t xml:space="preserve"> </w:t>
      </w:r>
      <w:r>
        <w:rPr>
          <w:rFonts w:hint="eastAsia"/>
        </w:rPr>
        <w:t>u</w:t>
      </w:r>
      <w:r>
        <w:t>s</w:t>
      </w:r>
      <w:r>
        <w:rPr>
          <w:rFonts w:hint="eastAsia"/>
        </w:rPr>
        <w:t>e</w:t>
      </w:r>
      <w:r>
        <w:t xml:space="preserve"> the commercial software ANSYS to establish a simulation model of the MEMS diaphragm, as </w:t>
      </w:r>
      <w:r>
        <w:rPr>
          <w:b/>
        </w:rPr>
        <w:t>Fig. S2e</w:t>
      </w:r>
      <w:r>
        <w:t xml:space="preserve"> shows. The simulation area is </w:t>
      </w:r>
      <w:r>
        <w:rPr>
          <w:rFonts w:cs="Times New Roman"/>
        </w:rPr>
        <w:t>π×</w:t>
      </w:r>
      <w:r>
        <w:rPr>
          <w:rFonts w:cs="Times New Roman" w:hint="eastAsia"/>
        </w:rPr>
        <w:t>(</w:t>
      </w:r>
      <w:r>
        <w:t>0.9)</w:t>
      </w:r>
      <w:r>
        <w:rPr>
          <w:vertAlign w:val="superscript"/>
        </w:rPr>
        <w:t>2</w:t>
      </w:r>
      <w:r>
        <w:t xml:space="preserve"> mm</w:t>
      </w:r>
      <w:r>
        <w:rPr>
          <w:rFonts w:hint="eastAsia"/>
          <w:vertAlign w:val="superscript"/>
        </w:rPr>
        <w:t>2</w:t>
      </w:r>
      <w:r>
        <w:t xml:space="preserve"> on the </w:t>
      </w:r>
      <w:r>
        <w:rPr>
          <w:i/>
        </w:rPr>
        <w:t>x-z</w:t>
      </w:r>
      <w:r>
        <w:t xml:space="preserve"> plane. The diaphragm has 5 concentric corrugated rings, and its thickness </w:t>
      </w:r>
      <w:r>
        <w:rPr>
          <w:i/>
        </w:rPr>
        <w:t>h</w:t>
      </w:r>
      <w:r>
        <w:t xml:space="preserve"> = 400nm. In this simulation, the diaphragm material is silicon nitride. </w:t>
      </w:r>
      <w:r>
        <w:rPr>
          <w:b/>
        </w:rPr>
        <w:t xml:space="preserve">Fig. S2f </w:t>
      </w:r>
      <w:r>
        <w:t xml:space="preserve">shows the simulated displacement of the diaphragm when we set the pressure </w:t>
      </w:r>
      <w:r>
        <w:rPr>
          <w:i/>
        </w:rPr>
        <w:t>P</w:t>
      </w:r>
      <w:r>
        <w:t xml:space="preserve"> = 2 </w:t>
      </w:r>
      <w:r>
        <w:rPr>
          <w:rFonts w:cs="Times New Roman"/>
        </w:rPr>
        <w:t>m</w:t>
      </w:r>
      <w:r>
        <w:t>Pa. Specifically, when the pressure is temporal constant (</w:t>
      </w:r>
      <w:r>
        <w:rPr>
          <w:i/>
        </w:rPr>
        <w:t>f</w:t>
      </w:r>
      <w:r w:rsidRPr="00CF4A8B">
        <w:rPr>
          <w:iCs/>
          <w:vertAlign w:val="subscript"/>
        </w:rPr>
        <w:t>P</w:t>
      </w:r>
      <w:r w:rsidRPr="00CF4A8B">
        <w:rPr>
          <w:iCs/>
        </w:rPr>
        <w:t xml:space="preserve"> </w:t>
      </w:r>
      <w:r>
        <w:t>= 0 Hz), the maximum Δ</w:t>
      </w:r>
      <w:r>
        <w:rPr>
          <w:i/>
          <w:iCs/>
        </w:rPr>
        <w:t xml:space="preserve">L </w:t>
      </w:r>
      <w:r>
        <w:rPr>
          <w:iCs/>
        </w:rPr>
        <w:t xml:space="preserve">is 38 </w:t>
      </w:r>
      <w:r>
        <w:rPr>
          <w:rFonts w:eastAsia="等线" w:cs="Times New Roman"/>
        </w:rPr>
        <w:t>n</w:t>
      </w:r>
      <w:r>
        <w:rPr>
          <w:rFonts w:cs="Times New Roman"/>
        </w:rPr>
        <w:t xml:space="preserve">m. when the </w:t>
      </w:r>
      <w:r>
        <w:t>pressure changes fast (</w:t>
      </w:r>
      <w:r>
        <w:rPr>
          <w:i/>
        </w:rPr>
        <w:t>f</w:t>
      </w:r>
      <w:r w:rsidRPr="00CF4A8B">
        <w:rPr>
          <w:iCs/>
          <w:vertAlign w:val="subscript"/>
        </w:rPr>
        <w:t>P</w:t>
      </w:r>
      <w:r w:rsidRPr="00CF4A8B">
        <w:rPr>
          <w:iCs/>
        </w:rPr>
        <w:t xml:space="preserve"> </w:t>
      </w:r>
      <w:r>
        <w:t>= 1 MHz), the maximum Δ</w:t>
      </w:r>
      <w:r>
        <w:rPr>
          <w:i/>
          <w:iCs/>
        </w:rPr>
        <w:t xml:space="preserve">L </w:t>
      </w:r>
      <w:r>
        <w:rPr>
          <w:iCs/>
        </w:rPr>
        <w:t xml:space="preserve">is 38 </w:t>
      </w:r>
      <w:r>
        <w:rPr>
          <w:rFonts w:eastAsia="等线" w:cs="Times New Roman"/>
        </w:rPr>
        <w:t>n</w:t>
      </w:r>
      <w:r>
        <w:rPr>
          <w:rFonts w:cs="Times New Roman"/>
        </w:rPr>
        <w:t xml:space="preserve">m as well. When in our work, typical FSR of the F-P cavity is 1.5 THz and </w:t>
      </w:r>
      <w:r>
        <w:rPr>
          <w:rFonts w:cs="Times New Roman"/>
          <w:i/>
        </w:rPr>
        <w:t>L</w:t>
      </w:r>
      <w:r>
        <w:rPr>
          <w:rFonts w:cs="Times New Roman"/>
        </w:rPr>
        <w:t xml:space="preserve"> is 100 μm in approximation. Using this parameter, we set </w:t>
      </w:r>
      <w:r>
        <w:rPr>
          <w:rFonts w:cs="Times New Roman"/>
          <w:i/>
          <w:iCs/>
        </w:rPr>
        <w:t>λ</w:t>
      </w:r>
      <w:r>
        <w:rPr>
          <w:rFonts w:cs="Times New Roman"/>
        </w:rPr>
        <w:t xml:space="preserve"> = 1550.4 nm. In </w:t>
      </w:r>
      <w:r>
        <w:rPr>
          <w:rFonts w:cs="Times New Roman"/>
          <w:b/>
        </w:rPr>
        <w:t>Fig. S2g</w:t>
      </w:r>
      <w:r>
        <w:rPr>
          <w:rFonts w:cs="Times New Roman"/>
        </w:rPr>
        <w:t xml:space="preserve"> we calculate the optical modulation depth (</w:t>
      </w:r>
      <w:r>
        <w:rPr>
          <w:rFonts w:cs="Times New Roman"/>
          <w:i/>
        </w:rPr>
        <w:t>D</w:t>
      </w:r>
      <w:r>
        <w:rPr>
          <w:rFonts w:cs="Times New Roman"/>
        </w:rPr>
        <w:t>) versus the frequency of pressure (</w:t>
      </w:r>
      <w:r>
        <w:rPr>
          <w:rFonts w:cs="Times New Roman"/>
          <w:i/>
        </w:rPr>
        <w:t>f</w:t>
      </w:r>
      <w:r w:rsidRPr="00CF4A8B">
        <w:rPr>
          <w:rFonts w:cs="Times New Roman"/>
          <w:iCs/>
          <w:vertAlign w:val="subscript"/>
        </w:rPr>
        <w:t>P</w:t>
      </w:r>
      <w:r>
        <w:rPr>
          <w:rFonts w:cs="Times New Roman"/>
        </w:rPr>
        <w:t xml:space="preserve">). We see that the silicon nitride MEMS film can well detect a fast vibration higher than 10 MHz, which is sufficient for acoustic sensing. </w:t>
      </w:r>
    </w:p>
    <w:p w14:paraId="44D9637C" w14:textId="68219F81" w:rsidR="005A0D3F" w:rsidRDefault="00160864">
      <w:pPr>
        <w:adjustRightInd w:val="0"/>
        <w:snapToGrid w:val="0"/>
        <w:ind w:firstLineChars="0" w:firstLine="0"/>
        <w:jc w:val="center"/>
        <w:rPr>
          <w:rFonts w:cs="Times New Roman"/>
        </w:rPr>
      </w:pPr>
      <w:r>
        <w:rPr>
          <w:rFonts w:cs="Times New Roman"/>
          <w:noProof/>
        </w:rPr>
        <w:drawing>
          <wp:inline distT="0" distB="0" distL="0" distR="0" wp14:anchorId="6CF11238" wp14:editId="7754DFEF">
            <wp:extent cx="6120000" cy="302433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r="2722"/>
                    <a:stretch/>
                  </pic:blipFill>
                  <pic:spPr bwMode="auto">
                    <a:xfrm>
                      <a:off x="0" y="0"/>
                      <a:ext cx="6120000" cy="3024336"/>
                    </a:xfrm>
                    <a:prstGeom prst="rect">
                      <a:avLst/>
                    </a:prstGeom>
                    <a:noFill/>
                    <a:ln>
                      <a:noFill/>
                    </a:ln>
                    <a:extLst>
                      <a:ext uri="{53640926-AAD7-44D8-BBD7-CCE9431645EC}">
                        <a14:shadowObscured xmlns:a14="http://schemas.microsoft.com/office/drawing/2010/main"/>
                      </a:ext>
                    </a:extLst>
                  </pic:spPr>
                </pic:pic>
              </a:graphicData>
            </a:graphic>
          </wp:inline>
        </w:drawing>
      </w:r>
    </w:p>
    <w:p w14:paraId="62CA674F" w14:textId="77777777" w:rsidR="005A0D3F" w:rsidRDefault="00834DAB">
      <w:pPr>
        <w:pStyle w:val="af1"/>
        <w:adjustRightInd w:val="0"/>
        <w:snapToGrid w:val="0"/>
        <w:spacing w:line="360" w:lineRule="auto"/>
        <w:rPr>
          <w:sz w:val="24"/>
        </w:rPr>
      </w:pPr>
      <w:r>
        <w:rPr>
          <w:b/>
          <w:bCs/>
          <w:sz w:val="24"/>
        </w:rPr>
        <w:t xml:space="preserve">Fig.S2. Acoustic sensing using a MEMS </w:t>
      </w:r>
      <w:r>
        <w:rPr>
          <w:b/>
          <w:sz w:val="24"/>
        </w:rPr>
        <w:t>diagram-based F-P cavity</w:t>
      </w:r>
      <w:r>
        <w:rPr>
          <w:b/>
          <w:bCs/>
          <w:sz w:val="24"/>
        </w:rPr>
        <w:t>.</w:t>
      </w:r>
      <w:r>
        <w:rPr>
          <w:sz w:val="24"/>
        </w:rPr>
        <w:t xml:space="preserve"> </w:t>
      </w:r>
      <w:r>
        <w:rPr>
          <w:b/>
          <w:bCs/>
          <w:sz w:val="24"/>
        </w:rPr>
        <w:t>a,</w:t>
      </w:r>
      <w:r>
        <w:rPr>
          <w:sz w:val="24"/>
        </w:rPr>
        <w:t xml:space="preserve"> Schematic diagram of a</w:t>
      </w:r>
      <w:r>
        <w:rPr>
          <w:rFonts w:hint="eastAsia"/>
          <w:sz w:val="24"/>
        </w:rPr>
        <w:t>n</w:t>
      </w:r>
      <w:r>
        <w:rPr>
          <w:sz w:val="24"/>
        </w:rPr>
        <w:t xml:space="preserve"> F-P cavity, which is sensitive to external pressure, SMF: single mode fiber. </w:t>
      </w:r>
      <w:r>
        <w:rPr>
          <w:b/>
          <w:bCs/>
          <w:sz w:val="24"/>
        </w:rPr>
        <w:t xml:space="preserve">b, </w:t>
      </w:r>
      <w:r>
        <w:rPr>
          <w:bCs/>
          <w:sz w:val="24"/>
        </w:rPr>
        <w:t xml:space="preserve">Principle of the response, external pressure changes the shape of the MEMS film, and tunes the cavity length of the F-P resonator. </w:t>
      </w:r>
      <w:r>
        <w:rPr>
          <w:b/>
          <w:sz w:val="24"/>
        </w:rPr>
        <w:t>c,</w:t>
      </w:r>
      <w:r>
        <w:rPr>
          <w:sz w:val="24"/>
        </w:rPr>
        <w:t xml:space="preserve"> Alteration of the cavity length changes the optical resonance, which leads to reflected intensity modulation at a specific wavelength. </w:t>
      </w:r>
      <w:r>
        <w:rPr>
          <w:b/>
          <w:sz w:val="24"/>
        </w:rPr>
        <w:t>d,</w:t>
      </w:r>
      <w:r>
        <w:rPr>
          <w:sz w:val="24"/>
        </w:rPr>
        <w:t xml:space="preserve"> Top view of our MEMS diaphragm. </w:t>
      </w:r>
      <w:r>
        <w:rPr>
          <w:b/>
          <w:sz w:val="24"/>
        </w:rPr>
        <w:t>e-f,</w:t>
      </w:r>
      <w:r>
        <w:rPr>
          <w:sz w:val="24"/>
        </w:rPr>
        <w:t xml:space="preserve"> Simulated displacements of the MEMS film, when adding pressure on it. </w:t>
      </w:r>
      <w:r>
        <w:rPr>
          <w:b/>
          <w:sz w:val="24"/>
        </w:rPr>
        <w:t>g,</w:t>
      </w:r>
      <w:r>
        <w:rPr>
          <w:sz w:val="24"/>
        </w:rPr>
        <w:t xml:space="preserve"> Calculated response bandwidth of the MEMS diaphragm. </w:t>
      </w:r>
    </w:p>
    <w:p w14:paraId="09EA24AF" w14:textId="77777777" w:rsidR="005A0D3F" w:rsidRDefault="005A0D3F">
      <w:pPr>
        <w:adjustRightInd w:val="0"/>
        <w:snapToGrid w:val="0"/>
        <w:ind w:firstLineChars="0" w:firstLine="0"/>
      </w:pPr>
    </w:p>
    <w:p w14:paraId="768DFF06" w14:textId="77777777" w:rsidR="005A0D3F" w:rsidRDefault="00834DAB">
      <w:pPr>
        <w:pStyle w:val="2"/>
        <w:adjustRightInd w:val="0"/>
        <w:snapToGrid w:val="0"/>
      </w:pPr>
      <w:r>
        <w:rPr>
          <w:rFonts w:hint="eastAsia"/>
        </w:rPr>
        <w:t>S</w:t>
      </w:r>
      <w:r>
        <w:t>1.3. Influences from the laser instability.</w:t>
      </w:r>
    </w:p>
    <w:p w14:paraId="407D84E3" w14:textId="6C2B7FDC" w:rsidR="005A0D3F" w:rsidRDefault="00834DAB">
      <w:pPr>
        <w:adjustRightInd w:val="0"/>
        <w:snapToGrid w:val="0"/>
        <w:ind w:firstLine="480"/>
        <w:rPr>
          <w:rFonts w:cs="Times New Roman"/>
          <w:b/>
          <w:szCs w:val="24"/>
        </w:rPr>
      </w:pPr>
      <w:r>
        <w:rPr>
          <w:rFonts w:cs="Times New Roman"/>
          <w:szCs w:val="24"/>
        </w:rPr>
        <w:t xml:space="preserve">In schematics, </w:t>
      </w:r>
      <w:r>
        <w:rPr>
          <w:rFonts w:cs="Times New Roman"/>
          <w:b/>
          <w:szCs w:val="24"/>
        </w:rPr>
        <w:t>Fig. S3a</w:t>
      </w:r>
      <w:r>
        <w:rPr>
          <w:rFonts w:cs="Times New Roman"/>
          <w:szCs w:val="24"/>
        </w:rPr>
        <w:t xml:space="preserve"> shows the model </w:t>
      </w:r>
      <w:r w:rsidR="00784163">
        <w:rPr>
          <w:rFonts w:cs="Times New Roman"/>
          <w:szCs w:val="24"/>
        </w:rPr>
        <w:t xml:space="preserve">in </w:t>
      </w:r>
      <w:r>
        <w:rPr>
          <w:rFonts w:cs="Times New Roman"/>
          <w:szCs w:val="24"/>
        </w:rPr>
        <w:t xml:space="preserve">which we use a fixed laser line (e.g. a comb line) to detect the resonance shift. Since </w:t>
      </w:r>
      <w:r w:rsidR="00784163">
        <w:rPr>
          <w:rFonts w:cs="Times New Roman"/>
          <w:szCs w:val="24"/>
        </w:rPr>
        <w:t xml:space="preserve">the </w:t>
      </w:r>
      <w:r>
        <w:rPr>
          <w:rFonts w:cs="Times New Roman"/>
          <w:szCs w:val="24"/>
        </w:rPr>
        <w:t>reflectivity of the fiber/air facet and the air/MEMS film is pretty small (&lt;5%), such an F-P resonator has a very low finesse (</w:t>
      </w:r>
      <w:r>
        <w:rPr>
          <w:rFonts w:eastAsia="等线" w:cs="Times New Roman"/>
          <w:szCs w:val="24"/>
        </w:rPr>
        <w:t xml:space="preserve">≈ </w:t>
      </w:r>
      <w:r>
        <w:rPr>
          <w:rFonts w:cs="Times New Roman"/>
          <w:szCs w:val="24"/>
        </w:rPr>
        <w:t xml:space="preserve">1). The resonant spectrum of our FOM </w:t>
      </w:r>
      <w:r>
        <w:rPr>
          <w:rFonts w:cs="Times New Roman"/>
          <w:szCs w:val="24"/>
        </w:rPr>
        <w:lastRenderedPageBreak/>
        <w:t>could be approximately written in</w:t>
      </w:r>
      <w:r>
        <w:rPr>
          <w:rFonts w:cs="Times New Roman" w:hint="eastAsia"/>
          <w:szCs w:val="24"/>
        </w:rPr>
        <w:t>:</w:t>
      </w:r>
    </w:p>
    <w:p w14:paraId="2A5FCE1C" w14:textId="2B3FC773" w:rsidR="005A0D3F" w:rsidRDefault="00A849EB">
      <w:pPr>
        <w:adjustRightInd w:val="0"/>
        <w:snapToGrid w:val="0"/>
        <w:ind w:firstLine="480"/>
        <w:jc w:val="right"/>
        <w:rPr>
          <w:rFonts w:cs="Times New Roman"/>
          <w:szCs w:val="24"/>
        </w:rPr>
      </w:pPr>
      <w:r>
        <w:rPr>
          <w:position w:val="-28"/>
        </w:rPr>
        <w:object w:dxaOrig="2799" w:dyaOrig="680" w14:anchorId="5F284C74">
          <v:shape id="_x0000_i1036" type="#_x0000_t75" style="width:139.6pt;height:34.45pt" o:ole="">
            <v:imagedata r:id="rId32" o:title=""/>
          </v:shape>
          <o:OLEObject Type="Embed" ProgID="Equation.DSMT4" ShapeID="_x0000_i1036" DrawAspect="Content" ObjectID="_1774013335" r:id="rId33"/>
        </w:object>
      </w:r>
      <w:r w:rsidR="00834DAB">
        <w:tab/>
      </w:r>
      <w:r w:rsidR="00834DAB">
        <w:tab/>
      </w:r>
      <w:r w:rsidR="00834DAB">
        <w:tab/>
      </w:r>
      <w:r w:rsidR="00834DAB">
        <w:tab/>
      </w:r>
      <w:r w:rsidR="00834DAB">
        <w:tab/>
      </w:r>
      <w:r w:rsidR="00834DAB">
        <w:tab/>
      </w:r>
      <w:r w:rsidR="00834DAB">
        <w:tab/>
      </w:r>
      <w:r w:rsidR="00834DAB">
        <w:tab/>
        <w:t>(S11)</w:t>
      </w:r>
    </w:p>
    <w:p w14:paraId="1F44AC1D" w14:textId="77777777" w:rsidR="005A0D3F" w:rsidRDefault="00834DAB">
      <w:pPr>
        <w:adjustRightInd w:val="0"/>
        <w:snapToGrid w:val="0"/>
        <w:ind w:firstLine="480"/>
        <w:rPr>
          <w:rFonts w:cs="Times New Roman"/>
          <w:szCs w:val="24"/>
        </w:rPr>
      </w:pPr>
      <w:r>
        <w:rPr>
          <w:rFonts w:cs="Times New Roman"/>
          <w:szCs w:val="24"/>
        </w:rPr>
        <w:t xml:space="preserve">Here </w:t>
      </w:r>
      <w:r>
        <w:rPr>
          <w:rFonts w:cs="Times New Roman"/>
          <w:i/>
          <w:szCs w:val="24"/>
        </w:rPr>
        <w:t>f</w:t>
      </w:r>
      <w:r>
        <w:rPr>
          <w:rFonts w:cs="Times New Roman"/>
          <w:szCs w:val="24"/>
        </w:rPr>
        <w:t xml:space="preserve"> is the optical frequency, </w:t>
      </w:r>
      <w:r>
        <w:rPr>
          <w:rFonts w:cs="Times New Roman"/>
          <w:i/>
          <w:szCs w:val="24"/>
        </w:rPr>
        <w:t>r</w:t>
      </w:r>
      <w:r>
        <w:rPr>
          <w:rFonts w:cs="Times New Roman"/>
          <w:szCs w:val="24"/>
        </w:rPr>
        <w:t xml:space="preserve"> is the resonant magnitude, </w:t>
      </w:r>
      <w:r>
        <w:rPr>
          <w:rFonts w:cs="Times New Roman"/>
          <w:i/>
          <w:szCs w:val="24"/>
        </w:rPr>
        <w:t>c</w:t>
      </w:r>
      <w:r>
        <w:rPr>
          <w:rFonts w:cs="Times New Roman"/>
          <w:szCs w:val="24"/>
        </w:rPr>
        <w:t xml:space="preserve"> = 3</w:t>
      </w:r>
      <w:r>
        <w:rPr>
          <w:rFonts w:cs="Times New Roman"/>
          <w:color w:val="4D5156"/>
          <w:szCs w:val="24"/>
          <w:shd w:val="clear" w:color="auto" w:fill="FFFFFF"/>
        </w:rPr>
        <w:t>×</w:t>
      </w:r>
      <w:r>
        <w:rPr>
          <w:rFonts w:cs="Times New Roman"/>
          <w:szCs w:val="24"/>
        </w:rPr>
        <w:t>10</w:t>
      </w:r>
      <w:r>
        <w:rPr>
          <w:rFonts w:cs="Times New Roman"/>
          <w:szCs w:val="24"/>
          <w:vertAlign w:val="superscript"/>
        </w:rPr>
        <w:t>8</w:t>
      </w:r>
      <w:r>
        <w:rPr>
          <w:rFonts w:cs="Times New Roman"/>
          <w:szCs w:val="24"/>
        </w:rPr>
        <w:t xml:space="preserve"> m/s is the light velocity, </w:t>
      </w:r>
      <w:r>
        <w:rPr>
          <w:rFonts w:eastAsia="等线" w:cs="Times New Roman"/>
          <w:szCs w:val="24"/>
        </w:rPr>
        <w:t>Δ</w:t>
      </w:r>
      <w:r>
        <w:rPr>
          <w:rFonts w:cs="Times New Roman"/>
          <w:i/>
          <w:szCs w:val="24"/>
        </w:rPr>
        <w:t>L</w:t>
      </w:r>
      <w:r>
        <w:rPr>
          <w:rFonts w:cs="Times New Roman"/>
          <w:szCs w:val="24"/>
        </w:rPr>
        <w:t xml:space="preserve"> </w:t>
      </w:r>
      <w:r>
        <w:rPr>
          <w:rFonts w:eastAsia="等线" w:cs="Times New Roman"/>
          <w:szCs w:val="24"/>
        </w:rPr>
        <w:t>≈</w:t>
      </w:r>
      <w:r>
        <w:rPr>
          <w:rFonts w:cs="Times New Roman"/>
          <w:szCs w:val="24"/>
        </w:rPr>
        <w:t xml:space="preserve"> 10</w:t>
      </w:r>
      <w:r>
        <w:rPr>
          <w:rFonts w:cs="Times New Roman"/>
          <w:szCs w:val="24"/>
          <w:vertAlign w:val="superscript"/>
        </w:rPr>
        <w:t>-4</w:t>
      </w:r>
      <w:r>
        <w:rPr>
          <w:rFonts w:cs="Times New Roman"/>
          <w:szCs w:val="24"/>
        </w:rPr>
        <w:t xml:space="preserve"> mm is the cavity length. Free-spectral-range (FSR) of every FOM is on 1.475 THz level around 1550 nm. On the other hand, power spectrum of the laser can be simplified as:</w:t>
      </w:r>
    </w:p>
    <w:p w14:paraId="288B92CD" w14:textId="77777777" w:rsidR="005A0D3F" w:rsidRDefault="00834DAB">
      <w:pPr>
        <w:adjustRightInd w:val="0"/>
        <w:snapToGrid w:val="0"/>
        <w:ind w:firstLine="480"/>
        <w:jc w:val="right"/>
        <w:rPr>
          <w:rFonts w:cs="Times New Roman"/>
          <w:szCs w:val="24"/>
        </w:rPr>
      </w:pPr>
      <w:r>
        <w:rPr>
          <w:position w:val="-28"/>
        </w:rPr>
        <w:object w:dxaOrig="2346" w:dyaOrig="662" w14:anchorId="4CFAB64F">
          <v:shape id="_x0000_i1037" type="#_x0000_t75" style="width:117.95pt;height:33.55pt" o:ole="">
            <v:imagedata r:id="rId34" o:title=""/>
          </v:shape>
          <o:OLEObject Type="Embed" ProgID="Equation.DSMT4" ShapeID="_x0000_i1037" DrawAspect="Content" ObjectID="_1774013336" r:id="rId35"/>
        </w:object>
      </w:r>
      <w:r>
        <w:tab/>
      </w:r>
      <w:r>
        <w:tab/>
      </w:r>
      <w:r>
        <w:tab/>
      </w:r>
      <w:r>
        <w:tab/>
      </w:r>
      <w:r>
        <w:tab/>
      </w:r>
      <w:r>
        <w:tab/>
      </w:r>
      <w:r>
        <w:tab/>
      </w:r>
      <w:r>
        <w:tab/>
      </w:r>
      <w:r>
        <w:tab/>
        <w:t>(S12)</w:t>
      </w:r>
    </w:p>
    <w:p w14:paraId="71AC8793" w14:textId="674F421D" w:rsidR="005A0D3F" w:rsidRDefault="00834DAB">
      <w:pPr>
        <w:adjustRightInd w:val="0"/>
        <w:snapToGrid w:val="0"/>
        <w:ind w:firstLine="480"/>
        <w:rPr>
          <w:rFonts w:cs="Times New Roman"/>
          <w:szCs w:val="24"/>
        </w:rPr>
      </w:pPr>
      <w:r>
        <w:rPr>
          <w:rFonts w:cs="Times New Roman"/>
          <w:szCs w:val="24"/>
        </w:rPr>
        <w:t xml:space="preserve">Full width at half maximum (FWHM) of </w:t>
      </w:r>
      <w:r>
        <w:rPr>
          <w:rFonts w:cs="Times New Roman"/>
          <w:i/>
          <w:szCs w:val="24"/>
        </w:rPr>
        <w:t>L</w:t>
      </w:r>
      <w:r>
        <w:rPr>
          <w:rFonts w:cs="Times New Roman"/>
          <w:szCs w:val="24"/>
        </w:rPr>
        <w:t>(</w:t>
      </w:r>
      <w:r>
        <w:rPr>
          <w:rFonts w:cs="Times New Roman"/>
          <w:i/>
          <w:szCs w:val="24"/>
        </w:rPr>
        <w:t>f</w:t>
      </w:r>
      <w:r>
        <w:rPr>
          <w:rFonts w:cs="Times New Roman"/>
          <w:szCs w:val="24"/>
        </w:rPr>
        <w:t>) is 1.76</w:t>
      </w:r>
      <w:r>
        <w:rPr>
          <w:rFonts w:cs="Times New Roman"/>
          <w:i/>
          <w:szCs w:val="24"/>
        </w:rPr>
        <w:t>M</w:t>
      </w:r>
      <w:r>
        <w:rPr>
          <w:rFonts w:cs="Times New Roman"/>
          <w:szCs w:val="24"/>
        </w:rPr>
        <w:t xml:space="preserve">. </w:t>
      </w:r>
      <w:r>
        <w:rPr>
          <w:rFonts w:cs="Times New Roman" w:hint="eastAsia"/>
          <w:szCs w:val="24"/>
        </w:rPr>
        <w:t>T</w:t>
      </w:r>
      <w:r>
        <w:rPr>
          <w:rFonts w:cs="Times New Roman"/>
          <w:szCs w:val="24"/>
        </w:rPr>
        <w:t>he reflected laser power is ∫</w:t>
      </w:r>
      <w:r>
        <w:rPr>
          <w:rFonts w:cs="Times New Roman"/>
          <w:i/>
          <w:szCs w:val="24"/>
        </w:rPr>
        <w:t>L</w:t>
      </w:r>
      <w:r>
        <w:rPr>
          <w:rFonts w:cs="Times New Roman"/>
          <w:szCs w:val="24"/>
        </w:rPr>
        <w:t>(</w:t>
      </w:r>
      <w:r>
        <w:rPr>
          <w:rFonts w:cs="Times New Roman"/>
          <w:i/>
          <w:szCs w:val="24"/>
        </w:rPr>
        <w:t>f</w:t>
      </w:r>
      <w:r>
        <w:rPr>
          <w:rFonts w:cs="Times New Roman"/>
          <w:szCs w:val="24"/>
        </w:rPr>
        <w:t>)</w:t>
      </w:r>
      <w:r>
        <w:rPr>
          <w:rFonts w:cs="Times New Roman"/>
          <w:i/>
          <w:szCs w:val="24"/>
        </w:rPr>
        <w:t>R</w:t>
      </w:r>
      <w:r>
        <w:rPr>
          <w:rFonts w:cs="Times New Roman" w:hint="eastAsia"/>
          <w:szCs w:val="24"/>
        </w:rPr>
        <w:t>(</w:t>
      </w:r>
      <w:r>
        <w:rPr>
          <w:rFonts w:cs="Times New Roman"/>
          <w:i/>
          <w:szCs w:val="24"/>
        </w:rPr>
        <w:t>f</w:t>
      </w:r>
      <w:r>
        <w:rPr>
          <w:rFonts w:cs="Times New Roman"/>
          <w:szCs w:val="24"/>
        </w:rPr>
        <w:t>)</w:t>
      </w:r>
      <w:r>
        <w:rPr>
          <w:rFonts w:cs="Times New Roman"/>
          <w:i/>
          <w:szCs w:val="24"/>
        </w:rPr>
        <w:t>df</w:t>
      </w:r>
      <w:r>
        <w:rPr>
          <w:rFonts w:cs="Times New Roman"/>
          <w:szCs w:val="24"/>
        </w:rPr>
        <w:t xml:space="preserve">. </w:t>
      </w:r>
      <w:r>
        <w:rPr>
          <w:rFonts w:cs="Times New Roman" w:hint="eastAsia"/>
          <w:szCs w:val="24"/>
        </w:rPr>
        <w:t>H</w:t>
      </w:r>
      <w:r>
        <w:rPr>
          <w:rFonts w:cs="Times New Roman"/>
          <w:szCs w:val="24"/>
        </w:rPr>
        <w:t xml:space="preserve">ere </w:t>
      </w:r>
      <w:r>
        <w:rPr>
          <w:rFonts w:cs="Times New Roman"/>
          <w:i/>
          <w:szCs w:val="24"/>
        </w:rPr>
        <w:t>l</w:t>
      </w:r>
      <w:r>
        <w:rPr>
          <w:rFonts w:cs="Times New Roman"/>
          <w:szCs w:val="24"/>
        </w:rPr>
        <w:t xml:space="preserve"> is the laser’s peak power density, </w:t>
      </w:r>
      <w:r>
        <w:rPr>
          <w:rFonts w:cs="Times New Roman"/>
          <w:i/>
          <w:szCs w:val="24"/>
        </w:rPr>
        <w:t>f</w:t>
      </w:r>
      <w:r w:rsidRPr="00EE71AD">
        <w:rPr>
          <w:rFonts w:cs="Times New Roman"/>
          <w:iCs/>
          <w:szCs w:val="24"/>
          <w:vertAlign w:val="subscript"/>
        </w:rPr>
        <w:t>0</w:t>
      </w:r>
      <w:r w:rsidRPr="00EE71AD">
        <w:rPr>
          <w:rFonts w:cs="Times New Roman"/>
          <w:iCs/>
          <w:szCs w:val="24"/>
        </w:rPr>
        <w:t xml:space="preserve"> </w:t>
      </w:r>
      <w:r>
        <w:rPr>
          <w:rFonts w:cs="Times New Roman"/>
          <w:szCs w:val="24"/>
        </w:rPr>
        <w:t xml:space="preserve">is the central frequency of the laser, and </w:t>
      </w:r>
      <w:r>
        <w:rPr>
          <w:rFonts w:cs="Times New Roman"/>
          <w:i/>
          <w:szCs w:val="24"/>
        </w:rPr>
        <w:t>M</w:t>
      </w:r>
      <w:r>
        <w:rPr>
          <w:rFonts w:cs="Times New Roman"/>
          <w:szCs w:val="24"/>
        </w:rPr>
        <w:t xml:space="preserve"> determines the linewidth of the laser. For a fixed </w:t>
      </w:r>
      <w:r>
        <w:rPr>
          <w:rFonts w:cs="Times New Roman"/>
          <w:i/>
          <w:szCs w:val="24"/>
        </w:rPr>
        <w:t>L</w:t>
      </w:r>
      <w:r>
        <w:rPr>
          <w:rFonts w:cs="Times New Roman"/>
          <w:szCs w:val="24"/>
        </w:rPr>
        <w:t>(</w:t>
      </w:r>
      <w:r>
        <w:rPr>
          <w:rFonts w:cs="Times New Roman"/>
          <w:i/>
          <w:szCs w:val="24"/>
        </w:rPr>
        <w:t>f</w:t>
      </w:r>
      <w:r>
        <w:rPr>
          <w:rFonts w:cs="Times New Roman"/>
          <w:szCs w:val="24"/>
        </w:rPr>
        <w:t xml:space="preserve">), when the reflection curve changes from </w:t>
      </w:r>
      <w:r>
        <w:rPr>
          <w:rFonts w:cs="Times New Roman"/>
          <w:i/>
          <w:szCs w:val="24"/>
        </w:rPr>
        <w:t>R</w:t>
      </w:r>
      <w:r>
        <w:rPr>
          <w:rFonts w:cs="Times New Roman"/>
          <w:szCs w:val="24"/>
        </w:rPr>
        <w:t>(</w:t>
      </w:r>
      <w:r>
        <w:rPr>
          <w:rFonts w:cs="Times New Roman"/>
          <w:i/>
          <w:szCs w:val="24"/>
        </w:rPr>
        <w:t>f</w:t>
      </w:r>
      <w:r>
        <w:rPr>
          <w:rFonts w:cs="Times New Roman"/>
          <w:szCs w:val="24"/>
        </w:rPr>
        <w:t xml:space="preserve">) to </w:t>
      </w:r>
      <w:r>
        <w:rPr>
          <w:rFonts w:cs="Times New Roman"/>
          <w:i/>
          <w:szCs w:val="24"/>
        </w:rPr>
        <w:t>R’</w:t>
      </w:r>
      <w:r>
        <w:rPr>
          <w:rFonts w:cs="Times New Roman"/>
          <w:szCs w:val="24"/>
        </w:rPr>
        <w:t>(</w:t>
      </w:r>
      <w:r>
        <w:rPr>
          <w:rFonts w:cs="Times New Roman"/>
          <w:i/>
          <w:szCs w:val="24"/>
        </w:rPr>
        <w:t>f</w:t>
      </w:r>
      <w:r>
        <w:rPr>
          <w:rFonts w:cs="Times New Roman"/>
          <w:szCs w:val="24"/>
        </w:rPr>
        <w:t xml:space="preserve">), the reflected laser power alters, as the red area shows in schematics. In qualitative simplification, we can approximately assume </w:t>
      </w:r>
      <w:r>
        <w:rPr>
          <w:rFonts w:cs="Times New Roman"/>
          <w:i/>
          <w:szCs w:val="24"/>
        </w:rPr>
        <w:t>f</w:t>
      </w:r>
      <w:r w:rsidRPr="00EE71AD">
        <w:rPr>
          <w:rFonts w:cs="Times New Roman"/>
          <w:iCs/>
          <w:szCs w:val="24"/>
          <w:vertAlign w:val="subscript"/>
        </w:rPr>
        <w:t>0</w:t>
      </w:r>
      <w:r>
        <w:rPr>
          <w:rFonts w:cs="Times New Roman"/>
          <w:szCs w:val="24"/>
        </w:rPr>
        <w:t xml:space="preserve"> = 0 and linearly simplify </w:t>
      </w:r>
      <w:r>
        <w:rPr>
          <w:rFonts w:cs="Times New Roman"/>
          <w:i/>
          <w:szCs w:val="24"/>
        </w:rPr>
        <w:t>L</w:t>
      </w:r>
      <w:r>
        <w:rPr>
          <w:rFonts w:cs="Times New Roman"/>
          <w:szCs w:val="24"/>
        </w:rPr>
        <w:t>(</w:t>
      </w:r>
      <w:r>
        <w:rPr>
          <w:rFonts w:cs="Times New Roman"/>
          <w:i/>
          <w:szCs w:val="24"/>
        </w:rPr>
        <w:t>f</w:t>
      </w:r>
      <w:r>
        <w:rPr>
          <w:rFonts w:cs="Times New Roman"/>
          <w:szCs w:val="24"/>
        </w:rPr>
        <w:t xml:space="preserve">), </w:t>
      </w:r>
      <w:r>
        <w:rPr>
          <w:rFonts w:cs="Times New Roman"/>
          <w:i/>
          <w:szCs w:val="24"/>
        </w:rPr>
        <w:t>R</w:t>
      </w:r>
      <w:r>
        <w:rPr>
          <w:rFonts w:cs="Times New Roman"/>
          <w:szCs w:val="24"/>
        </w:rPr>
        <w:t>(</w:t>
      </w:r>
      <w:r>
        <w:rPr>
          <w:rFonts w:cs="Times New Roman"/>
          <w:i/>
          <w:szCs w:val="24"/>
        </w:rPr>
        <w:t>f</w:t>
      </w:r>
      <w:r>
        <w:rPr>
          <w:rFonts w:cs="Times New Roman"/>
          <w:szCs w:val="24"/>
        </w:rPr>
        <w:t xml:space="preserve">) and </w:t>
      </w:r>
      <w:r>
        <w:rPr>
          <w:rFonts w:cs="Times New Roman"/>
          <w:i/>
          <w:szCs w:val="24"/>
        </w:rPr>
        <w:t>R</w:t>
      </w:r>
      <w:r w:rsidR="002E39D8">
        <w:rPr>
          <w:rFonts w:cs="Times New Roman"/>
          <w:i/>
          <w:szCs w:val="24"/>
        </w:rPr>
        <w:t>’</w:t>
      </w:r>
      <w:r>
        <w:rPr>
          <w:rFonts w:cs="Times New Roman"/>
          <w:szCs w:val="24"/>
        </w:rPr>
        <w:t>(</w:t>
      </w:r>
      <w:r>
        <w:rPr>
          <w:rFonts w:cs="Times New Roman"/>
          <w:i/>
          <w:szCs w:val="24"/>
        </w:rPr>
        <w:t>f</w:t>
      </w:r>
      <w:r>
        <w:rPr>
          <w:rFonts w:cs="Times New Roman"/>
          <w:szCs w:val="24"/>
        </w:rPr>
        <w:t>) in a narrow band:</w:t>
      </w:r>
    </w:p>
    <w:p w14:paraId="02DA1934" w14:textId="77777777" w:rsidR="005A0D3F" w:rsidRDefault="00834DAB">
      <w:pPr>
        <w:adjustRightInd w:val="0"/>
        <w:snapToGrid w:val="0"/>
        <w:ind w:firstLine="480"/>
        <w:jc w:val="right"/>
        <w:rPr>
          <w:rFonts w:cs="Times New Roman"/>
          <w:szCs w:val="24"/>
        </w:rPr>
      </w:pPr>
      <w:r>
        <w:rPr>
          <w:position w:val="-50"/>
        </w:rPr>
        <w:object w:dxaOrig="2195" w:dyaOrig="1057" w14:anchorId="41B1F4F5">
          <v:shape id="_x0000_i1038" type="#_x0000_t75" style="width:109.55pt;height:53pt" o:ole="">
            <v:imagedata r:id="rId36" o:title=""/>
          </v:shape>
          <o:OLEObject Type="Embed" ProgID="Equation.DSMT4" ShapeID="_x0000_i1038" DrawAspect="Content" ObjectID="_1774013337" r:id="rId37"/>
        </w:object>
      </w:r>
      <w:r>
        <w:tab/>
      </w:r>
      <w:r>
        <w:tab/>
      </w:r>
      <w:r>
        <w:tab/>
      </w:r>
      <w:r>
        <w:tab/>
      </w:r>
      <w:r>
        <w:tab/>
      </w:r>
      <w:r>
        <w:tab/>
      </w:r>
      <w:r>
        <w:tab/>
      </w:r>
      <w:r>
        <w:tab/>
      </w:r>
      <w:r>
        <w:tab/>
        <w:t>(S13)</w:t>
      </w:r>
    </w:p>
    <w:p w14:paraId="59A1B1AF" w14:textId="77777777" w:rsidR="005A0D3F" w:rsidRDefault="00834DAB">
      <w:pPr>
        <w:adjustRightInd w:val="0"/>
        <w:snapToGrid w:val="0"/>
        <w:ind w:firstLine="480"/>
        <w:rPr>
          <w:rFonts w:cs="Times New Roman"/>
          <w:szCs w:val="24"/>
        </w:rPr>
      </w:pPr>
      <w:r>
        <w:rPr>
          <w:rFonts w:cs="Times New Roman"/>
          <w:szCs w:val="24"/>
        </w:rPr>
        <w:t xml:space="preserve">Here </w:t>
      </w:r>
      <w:r>
        <w:rPr>
          <w:rFonts w:cs="Times New Roman"/>
          <w:i/>
          <w:szCs w:val="24"/>
        </w:rPr>
        <w:t>a</w:t>
      </w:r>
      <w:r>
        <w:rPr>
          <w:rFonts w:cs="Times New Roman"/>
          <w:szCs w:val="24"/>
        </w:rPr>
        <w:t xml:space="preserve"> and </w:t>
      </w:r>
      <w:r>
        <w:rPr>
          <w:rFonts w:cs="Times New Roman"/>
          <w:i/>
          <w:szCs w:val="24"/>
        </w:rPr>
        <w:t>b</w:t>
      </w:r>
      <w:r>
        <w:rPr>
          <w:rFonts w:cs="Times New Roman"/>
          <w:szCs w:val="24"/>
        </w:rPr>
        <w:t xml:space="preserve"> are reflectivity at </w:t>
      </w:r>
      <w:r>
        <w:rPr>
          <w:rFonts w:cs="Times New Roman"/>
          <w:i/>
          <w:szCs w:val="24"/>
        </w:rPr>
        <w:t xml:space="preserve">f </w:t>
      </w:r>
      <w:r>
        <w:rPr>
          <w:rFonts w:cs="Times New Roman"/>
          <w:szCs w:val="24"/>
        </w:rPr>
        <w:t xml:space="preserve">= 0, before and after applying an acoustic pressure, </w:t>
      </w:r>
      <w:r>
        <w:rPr>
          <w:rFonts w:cs="Times New Roman"/>
          <w:i/>
          <w:szCs w:val="24"/>
        </w:rPr>
        <w:t>n</w:t>
      </w:r>
      <w:r>
        <w:rPr>
          <w:rFonts w:cs="Times New Roman"/>
          <w:szCs w:val="24"/>
        </w:rPr>
        <w:t xml:space="preserve"> is a parameter relying on the laser linewidth (</w:t>
      </w:r>
      <w:r>
        <w:rPr>
          <w:rFonts w:eastAsia="等线" w:cs="Times New Roman"/>
          <w:i/>
          <w:szCs w:val="24"/>
        </w:rPr>
        <w:t>δ</w:t>
      </w:r>
      <w:r>
        <w:rPr>
          <w:rFonts w:cs="Times New Roman"/>
          <w:szCs w:val="24"/>
        </w:rPr>
        <w:t xml:space="preserve">), </w:t>
      </w:r>
      <w:r>
        <w:rPr>
          <w:rFonts w:eastAsia="等线" w:cs="Times New Roman"/>
          <w:i/>
          <w:szCs w:val="24"/>
        </w:rPr>
        <w:t xml:space="preserve">δ </w:t>
      </w:r>
      <w:r>
        <w:rPr>
          <w:rFonts w:cs="Times New Roman"/>
          <w:szCs w:val="24"/>
        </w:rPr>
        <w:t xml:space="preserve">= </w:t>
      </w:r>
      <w:r>
        <w:rPr>
          <w:rFonts w:cs="Times New Roman"/>
          <w:i/>
          <w:szCs w:val="24"/>
        </w:rPr>
        <w:t>l</w:t>
      </w:r>
      <w:r>
        <w:rPr>
          <w:rFonts w:cs="Times New Roman"/>
          <w:szCs w:val="24"/>
        </w:rPr>
        <w:t>/</w:t>
      </w:r>
      <w:r>
        <w:rPr>
          <w:rFonts w:cs="Times New Roman"/>
          <w:i/>
          <w:szCs w:val="24"/>
        </w:rPr>
        <w:t>n</w:t>
      </w:r>
      <w:r>
        <w:rPr>
          <w:rFonts w:cs="Times New Roman"/>
          <w:szCs w:val="24"/>
        </w:rPr>
        <w:t xml:space="preserve">. </w:t>
      </w:r>
      <w:r>
        <w:rPr>
          <w:rFonts w:cs="Times New Roman"/>
          <w:b/>
          <w:szCs w:val="24"/>
        </w:rPr>
        <w:t>Fig. S3b</w:t>
      </w:r>
      <w:r>
        <w:rPr>
          <w:rFonts w:cs="Times New Roman"/>
          <w:szCs w:val="24"/>
        </w:rPr>
        <w:t xml:space="preserve"> shows this simplification. The acoustic pressure induced reflected power alteration is: </w:t>
      </w:r>
    </w:p>
    <w:p w14:paraId="2B2A5E64" w14:textId="77777777" w:rsidR="005A0D3F" w:rsidRDefault="00834DAB">
      <w:pPr>
        <w:adjustRightInd w:val="0"/>
        <w:snapToGrid w:val="0"/>
        <w:ind w:firstLine="480"/>
        <w:jc w:val="right"/>
        <w:rPr>
          <w:rFonts w:cs="Times New Roman"/>
          <w:szCs w:val="24"/>
        </w:rPr>
      </w:pPr>
      <w:r>
        <w:rPr>
          <w:position w:val="-24"/>
        </w:rPr>
        <w:object w:dxaOrig="2125" w:dyaOrig="604" w14:anchorId="41A800AA">
          <v:shape id="_x0000_i1039" type="#_x0000_t75" style="width:106.45pt;height:30.05pt" o:ole="">
            <v:imagedata r:id="rId38" o:title=""/>
          </v:shape>
          <o:OLEObject Type="Embed" ProgID="Equation.DSMT4" ShapeID="_x0000_i1039" DrawAspect="Content" ObjectID="_1774013338" r:id="rId39"/>
        </w:object>
      </w:r>
      <w:r>
        <w:tab/>
      </w:r>
      <w:r>
        <w:tab/>
      </w:r>
      <w:r>
        <w:tab/>
      </w:r>
      <w:r>
        <w:tab/>
      </w:r>
      <w:r>
        <w:tab/>
      </w:r>
      <w:r>
        <w:tab/>
      </w:r>
      <w:r>
        <w:tab/>
      </w:r>
      <w:r>
        <w:tab/>
      </w:r>
      <w:r>
        <w:tab/>
        <w:t>(S14)</w:t>
      </w:r>
    </w:p>
    <w:p w14:paraId="3C838F2E" w14:textId="77777777" w:rsidR="005A0D3F" w:rsidRDefault="00834DAB">
      <w:pPr>
        <w:adjustRightInd w:val="0"/>
        <w:snapToGrid w:val="0"/>
        <w:ind w:firstLine="480"/>
        <w:rPr>
          <w:rFonts w:cs="Times New Roman"/>
          <w:szCs w:val="24"/>
        </w:rPr>
      </w:pPr>
      <w:r>
        <w:rPr>
          <w:rFonts w:cs="Times New Roman"/>
          <w:szCs w:val="24"/>
        </w:rPr>
        <w:t xml:space="preserve">Now we consider that there exists power fluctuation </w:t>
      </w:r>
      <w:r>
        <w:rPr>
          <w:rFonts w:eastAsia="等线" w:cs="Times New Roman"/>
          <w:szCs w:val="24"/>
        </w:rPr>
        <w:t>Δ</w:t>
      </w:r>
      <w:r>
        <w:rPr>
          <w:rFonts w:eastAsia="等线" w:cs="Times New Roman"/>
          <w:i/>
          <w:szCs w:val="24"/>
        </w:rPr>
        <w:t>l</w:t>
      </w:r>
      <w:r>
        <w:rPr>
          <w:rFonts w:cs="Times New Roman"/>
          <w:szCs w:val="24"/>
        </w:rPr>
        <w:t xml:space="preserve"> and frequency drift </w:t>
      </w:r>
      <w:r>
        <w:rPr>
          <w:rFonts w:eastAsia="等线" w:cs="Times New Roman"/>
          <w:szCs w:val="24"/>
        </w:rPr>
        <w:t>Δ</w:t>
      </w:r>
      <w:r>
        <w:rPr>
          <w:rFonts w:eastAsia="等线" w:cs="Times New Roman"/>
          <w:i/>
          <w:szCs w:val="24"/>
        </w:rPr>
        <w:t>f</w:t>
      </w:r>
      <w:r>
        <w:rPr>
          <w:rFonts w:cs="Times New Roman"/>
          <w:szCs w:val="24"/>
        </w:rPr>
        <w:t xml:space="preserve"> in the laser between two measurements, i.e. the </w:t>
      </w:r>
      <w:r>
        <w:rPr>
          <w:rFonts w:cs="Times New Roman"/>
          <w:i/>
          <w:szCs w:val="24"/>
        </w:rPr>
        <w:t>L</w:t>
      </w:r>
      <w:r>
        <w:rPr>
          <w:rFonts w:cs="Times New Roman"/>
          <w:szCs w:val="24"/>
        </w:rPr>
        <w:t>(</w:t>
      </w:r>
      <w:r>
        <w:rPr>
          <w:rFonts w:cs="Times New Roman"/>
          <w:i/>
          <w:szCs w:val="24"/>
        </w:rPr>
        <w:t>f</w:t>
      </w:r>
      <w:r>
        <w:rPr>
          <w:rFonts w:cs="Times New Roman"/>
          <w:szCs w:val="24"/>
        </w:rPr>
        <w:t xml:space="preserve">) writes: </w:t>
      </w:r>
    </w:p>
    <w:p w14:paraId="1E189A8D" w14:textId="77777777" w:rsidR="005A0D3F" w:rsidRDefault="00834DAB">
      <w:pPr>
        <w:adjustRightInd w:val="0"/>
        <w:snapToGrid w:val="0"/>
        <w:ind w:firstLine="480"/>
        <w:jc w:val="right"/>
        <w:rPr>
          <w:rFonts w:cs="Times New Roman"/>
          <w:szCs w:val="24"/>
        </w:rPr>
      </w:pPr>
      <w:r>
        <w:rPr>
          <w:position w:val="-24"/>
        </w:rPr>
        <w:object w:dxaOrig="2880" w:dyaOrig="604" w14:anchorId="04CFA444">
          <v:shape id="_x0000_i1040" type="#_x0000_t75" style="width:2in;height:30.05pt" o:ole="">
            <v:imagedata r:id="rId40" o:title=""/>
          </v:shape>
          <o:OLEObject Type="Embed" ProgID="Equation.DSMT4" ShapeID="_x0000_i1040" DrawAspect="Content" ObjectID="_1774013339" r:id="rId41"/>
        </w:object>
      </w:r>
      <w:r>
        <w:tab/>
      </w:r>
      <w:r>
        <w:tab/>
      </w:r>
      <w:r>
        <w:tab/>
      </w:r>
      <w:r>
        <w:tab/>
      </w:r>
      <w:r>
        <w:tab/>
      </w:r>
      <w:r>
        <w:tab/>
      </w:r>
      <w:r>
        <w:tab/>
        <w:t>(S15)</w:t>
      </w:r>
    </w:p>
    <w:p w14:paraId="4874E194" w14:textId="77777777" w:rsidR="005A0D3F" w:rsidRDefault="00834DAB">
      <w:pPr>
        <w:adjustRightInd w:val="0"/>
        <w:snapToGrid w:val="0"/>
        <w:ind w:firstLine="480"/>
        <w:rPr>
          <w:rFonts w:cs="Times New Roman"/>
          <w:szCs w:val="24"/>
        </w:rPr>
      </w:pPr>
      <w:r>
        <w:rPr>
          <w:rFonts w:cs="Times New Roman" w:hint="eastAsia"/>
          <w:szCs w:val="24"/>
        </w:rPr>
        <w:t>T</w:t>
      </w:r>
      <w:r>
        <w:rPr>
          <w:rFonts w:cs="Times New Roman"/>
          <w:szCs w:val="24"/>
        </w:rPr>
        <w:t>herefore, the acoustic pressure induced reflected power alteration in this case is:</w:t>
      </w:r>
    </w:p>
    <w:p w14:paraId="46FED22B" w14:textId="77777777" w:rsidR="005A0D3F" w:rsidRDefault="00834DAB">
      <w:pPr>
        <w:adjustRightInd w:val="0"/>
        <w:snapToGrid w:val="0"/>
        <w:ind w:firstLine="480"/>
        <w:jc w:val="right"/>
        <w:rPr>
          <w:rFonts w:cs="Times New Roman"/>
          <w:szCs w:val="24"/>
        </w:rPr>
      </w:pPr>
      <w:r>
        <w:rPr>
          <w:position w:val="-24"/>
        </w:rPr>
        <w:object w:dxaOrig="6108" w:dyaOrig="604" w14:anchorId="5C411A91">
          <v:shape id="_x0000_i1041" type="#_x0000_t75" style="width:305.25pt;height:30.05pt" o:ole="">
            <v:imagedata r:id="rId42" o:title=""/>
          </v:shape>
          <o:OLEObject Type="Embed" ProgID="Equation.DSMT4" ShapeID="_x0000_i1041" DrawAspect="Content" ObjectID="_1774013340" r:id="rId43"/>
        </w:object>
      </w:r>
      <w:r>
        <w:tab/>
      </w:r>
      <w:r>
        <w:tab/>
      </w:r>
      <w:r>
        <w:tab/>
      </w:r>
      <w:r>
        <w:tab/>
        <w:t>(S16)</w:t>
      </w:r>
    </w:p>
    <w:p w14:paraId="7E176633" w14:textId="1A9F275F" w:rsidR="005A0D3F" w:rsidRDefault="00834DAB">
      <w:pPr>
        <w:adjustRightInd w:val="0"/>
        <w:snapToGrid w:val="0"/>
        <w:ind w:firstLine="480"/>
        <w:rPr>
          <w:rFonts w:cs="Times New Roman"/>
          <w:szCs w:val="24"/>
        </w:rPr>
      </w:pPr>
      <w:r>
        <w:rPr>
          <w:rFonts w:cs="Times New Roman" w:hint="eastAsia"/>
          <w:szCs w:val="24"/>
        </w:rPr>
        <w:t>T</w:t>
      </w:r>
      <w:r>
        <w:rPr>
          <w:rFonts w:cs="Times New Roman"/>
          <w:szCs w:val="24"/>
        </w:rPr>
        <w:t xml:space="preserve">he noise-induced reflected power uncertainty is </w:t>
      </w:r>
      <w:r>
        <w:rPr>
          <w:rFonts w:cs="Times New Roman"/>
          <w:i/>
          <w:szCs w:val="24"/>
        </w:rPr>
        <w:t>N</w:t>
      </w:r>
      <w:r w:rsidR="00556AB5" w:rsidRPr="00556AB5">
        <w:rPr>
          <w:rFonts w:cs="Times New Roman"/>
          <w:iCs/>
          <w:szCs w:val="24"/>
          <w:vertAlign w:val="subscript"/>
        </w:rPr>
        <w:t>P</w:t>
      </w:r>
      <w:r>
        <w:rPr>
          <w:rFonts w:cs="Times New Roman"/>
          <w:szCs w:val="24"/>
        </w:rPr>
        <w:t xml:space="preserve"> = </w:t>
      </w:r>
      <w:r>
        <w:rPr>
          <w:rFonts w:eastAsia="等线" w:cs="Times New Roman"/>
          <w:szCs w:val="24"/>
        </w:rPr>
        <w:t>Δ</w:t>
      </w:r>
      <w:r>
        <w:rPr>
          <w:rFonts w:eastAsia="等线" w:cs="Times New Roman"/>
          <w:i/>
          <w:szCs w:val="24"/>
        </w:rPr>
        <w:t xml:space="preserve">P’ – </w:t>
      </w:r>
      <w:r>
        <w:rPr>
          <w:rFonts w:eastAsia="等线" w:cs="Times New Roman"/>
          <w:szCs w:val="24"/>
        </w:rPr>
        <w:t>Δ</w:t>
      </w:r>
      <w:r>
        <w:rPr>
          <w:rFonts w:eastAsia="等线" w:cs="Times New Roman"/>
          <w:i/>
          <w:szCs w:val="24"/>
        </w:rPr>
        <w:t>P</w:t>
      </w:r>
      <w:r>
        <w:rPr>
          <w:rFonts w:eastAsia="等线" w:cs="Times New Roman"/>
          <w:szCs w:val="24"/>
        </w:rPr>
        <w:t>, and the final SNR is Δ</w:t>
      </w:r>
      <w:r>
        <w:rPr>
          <w:rFonts w:eastAsia="等线" w:cs="Times New Roman"/>
          <w:i/>
          <w:szCs w:val="24"/>
        </w:rPr>
        <w:t>P</w:t>
      </w:r>
      <w:r>
        <w:rPr>
          <w:rFonts w:eastAsia="等线" w:cs="Times New Roman"/>
          <w:szCs w:val="24"/>
        </w:rPr>
        <w:t>/</w:t>
      </w:r>
      <w:r>
        <w:rPr>
          <w:rFonts w:eastAsia="等线" w:cs="Times New Roman"/>
          <w:i/>
          <w:szCs w:val="24"/>
        </w:rPr>
        <w:t>N</w:t>
      </w:r>
      <w:r w:rsidR="00556AB5" w:rsidRPr="00556AB5">
        <w:rPr>
          <w:rFonts w:cs="Times New Roman"/>
          <w:iCs/>
          <w:szCs w:val="24"/>
          <w:vertAlign w:val="subscript"/>
        </w:rPr>
        <w:t>P</w:t>
      </w:r>
      <w:r>
        <w:rPr>
          <w:rFonts w:cs="Times New Roman"/>
          <w:szCs w:val="24"/>
        </w:rPr>
        <w:t xml:space="preserve">. </w:t>
      </w:r>
      <w:r>
        <w:rPr>
          <w:rFonts w:cs="Times New Roman" w:hint="eastAsia"/>
          <w:szCs w:val="24"/>
        </w:rPr>
        <w:t>T</w:t>
      </w:r>
      <w:r>
        <w:rPr>
          <w:rFonts w:cs="Times New Roman"/>
          <w:szCs w:val="24"/>
        </w:rPr>
        <w:t xml:space="preserve">ypically, the FSR of the FOM (&gt; 1 THz) is much larger than the linewidth of the laser (&lt;&lt; 1 GHz), we can linearly approximate the resonance curve and obtain a relation: </w:t>
      </w:r>
    </w:p>
    <w:p w14:paraId="62B8AB4F" w14:textId="46382C55" w:rsidR="005A0D3F" w:rsidRDefault="000631E0">
      <w:pPr>
        <w:adjustRightInd w:val="0"/>
        <w:snapToGrid w:val="0"/>
        <w:ind w:firstLine="480"/>
        <w:jc w:val="right"/>
        <w:rPr>
          <w:rFonts w:cs="Times New Roman"/>
          <w:szCs w:val="24"/>
        </w:rPr>
      </w:pPr>
      <w:r>
        <w:rPr>
          <w:position w:val="-28"/>
        </w:rPr>
        <w:object w:dxaOrig="2480" w:dyaOrig="660" w14:anchorId="5C28E063">
          <v:shape id="_x0000_i1042" type="#_x0000_t75" style="width:124.1pt;height:33.55pt" o:ole="">
            <v:imagedata r:id="rId44" o:title=""/>
          </v:shape>
          <o:OLEObject Type="Embed" ProgID="Equation.DSMT4" ShapeID="_x0000_i1042" DrawAspect="Content" ObjectID="_1774013341" r:id="rId45"/>
        </w:object>
      </w:r>
      <w:r w:rsidR="00834DAB">
        <w:tab/>
      </w:r>
      <w:r w:rsidR="00834DAB">
        <w:tab/>
      </w:r>
      <w:r w:rsidR="00834DAB">
        <w:tab/>
      </w:r>
      <w:r w:rsidR="00834DAB">
        <w:tab/>
      </w:r>
      <w:r w:rsidR="00834DAB">
        <w:tab/>
      </w:r>
      <w:r w:rsidR="00834DAB">
        <w:tab/>
      </w:r>
      <w:r w:rsidR="00834DAB">
        <w:tab/>
      </w:r>
      <w:r w:rsidR="00834DAB">
        <w:tab/>
        <w:t>(S17)</w:t>
      </w:r>
    </w:p>
    <w:p w14:paraId="3BAEAC5C" w14:textId="29F733FD" w:rsidR="005A0D3F" w:rsidRDefault="00834DAB">
      <w:pPr>
        <w:adjustRightInd w:val="0"/>
        <w:snapToGrid w:val="0"/>
        <w:ind w:firstLine="480"/>
        <w:rPr>
          <w:rFonts w:eastAsia="等线" w:cs="Times New Roman"/>
          <w:szCs w:val="24"/>
        </w:rPr>
      </w:pPr>
      <w:r>
        <w:rPr>
          <w:rFonts w:cs="Times New Roman"/>
          <w:szCs w:val="24"/>
        </w:rPr>
        <w:t xml:space="preserve">We summarize the relation as SNR </w:t>
      </w:r>
      <w:r>
        <w:rPr>
          <w:rFonts w:eastAsia="等线" w:cs="Times New Roman"/>
          <w:szCs w:val="24"/>
        </w:rPr>
        <w:t>≈</w:t>
      </w:r>
      <w:r>
        <w:rPr>
          <w:rFonts w:cs="Times New Roman"/>
          <w:szCs w:val="24"/>
        </w:rPr>
        <w:t xml:space="preserve"> </w:t>
      </w:r>
      <w:r>
        <w:rPr>
          <w:rFonts w:eastAsia="等线" w:cs="Times New Roman"/>
          <w:szCs w:val="24"/>
        </w:rPr>
        <w:t>ζ</w:t>
      </w:r>
      <w:r>
        <w:rPr>
          <w:rFonts w:eastAsia="等线" w:cs="Times New Roman"/>
          <w:szCs w:val="24"/>
          <w:vertAlign w:val="subscript"/>
        </w:rPr>
        <w:t>1</w:t>
      </w:r>
      <w:r>
        <w:rPr>
          <w:rFonts w:cs="Times New Roman"/>
          <w:szCs w:val="24"/>
        </w:rPr>
        <w:t>/[</w:t>
      </w:r>
      <w:r>
        <w:rPr>
          <w:rFonts w:eastAsia="等线" w:cs="Times New Roman"/>
          <w:szCs w:val="24"/>
        </w:rPr>
        <w:t>ζ</w:t>
      </w:r>
      <w:r>
        <w:rPr>
          <w:rFonts w:eastAsia="等线" w:cs="Times New Roman"/>
          <w:szCs w:val="24"/>
          <w:vertAlign w:val="subscript"/>
        </w:rPr>
        <w:t>2</w:t>
      </w:r>
      <w:r w:rsidRPr="009267EA">
        <w:rPr>
          <w:rFonts w:cs="Times New Roman"/>
          <w:iCs/>
          <w:szCs w:val="24"/>
        </w:rPr>
        <w:t>RIN</w:t>
      </w:r>
      <w:r>
        <w:rPr>
          <w:rFonts w:cs="Times New Roman"/>
          <w:i/>
          <w:szCs w:val="24"/>
        </w:rPr>
        <w:t>+m</w:t>
      </w:r>
      <w:r>
        <w:rPr>
          <w:rFonts w:eastAsia="等线" w:cs="Times New Roman"/>
          <w:szCs w:val="24"/>
        </w:rPr>
        <w:t>Δ</w:t>
      </w:r>
      <w:r>
        <w:rPr>
          <w:rFonts w:eastAsia="等线" w:cs="Times New Roman"/>
          <w:i/>
          <w:szCs w:val="24"/>
        </w:rPr>
        <w:t>f</w:t>
      </w:r>
      <w:r>
        <w:rPr>
          <w:rFonts w:cs="Times New Roman"/>
          <w:iCs/>
          <w:szCs w:val="24"/>
        </w:rPr>
        <w:t>]</w:t>
      </w:r>
      <w:r>
        <w:rPr>
          <w:rFonts w:cs="Times New Roman" w:hint="eastAsia"/>
          <w:szCs w:val="24"/>
        </w:rPr>
        <w:t>.</w:t>
      </w:r>
      <w:r>
        <w:rPr>
          <w:rFonts w:cs="Times New Roman"/>
          <w:szCs w:val="24"/>
        </w:rPr>
        <w:t xml:space="preserve"> </w:t>
      </w:r>
      <w:r>
        <w:rPr>
          <w:rFonts w:eastAsia="等线" w:cs="Times New Roman"/>
          <w:szCs w:val="24"/>
        </w:rPr>
        <w:t>Here ζ</w:t>
      </w:r>
      <w:r>
        <w:rPr>
          <w:rFonts w:eastAsia="等线" w:cs="Times New Roman"/>
          <w:szCs w:val="24"/>
          <w:vertAlign w:val="subscript"/>
        </w:rPr>
        <w:t>1</w:t>
      </w:r>
      <w:r>
        <w:rPr>
          <w:rFonts w:eastAsia="等线" w:cs="Times New Roman"/>
          <w:szCs w:val="24"/>
        </w:rPr>
        <w:t xml:space="preserve"> and ζ</w:t>
      </w:r>
      <w:r>
        <w:rPr>
          <w:rFonts w:eastAsia="等线" w:cs="Times New Roman"/>
          <w:szCs w:val="24"/>
          <w:vertAlign w:val="subscript"/>
        </w:rPr>
        <w:t>2</w:t>
      </w:r>
      <w:r>
        <w:rPr>
          <w:rFonts w:eastAsia="等线" w:cs="Times New Roman"/>
          <w:szCs w:val="24"/>
        </w:rPr>
        <w:t xml:space="preserve"> are constants determined </w:t>
      </w:r>
      <w:r>
        <w:rPr>
          <w:rFonts w:eastAsia="等线" w:cs="Times New Roman"/>
          <w:szCs w:val="24"/>
        </w:rPr>
        <w:lastRenderedPageBreak/>
        <w:t>by the FOM. Specifically, ζ</w:t>
      </w:r>
      <w:r>
        <w:rPr>
          <w:rFonts w:eastAsia="等线" w:cs="Times New Roman"/>
          <w:szCs w:val="24"/>
          <w:vertAlign w:val="subscript"/>
        </w:rPr>
        <w:t>1</w:t>
      </w:r>
      <w:r>
        <w:rPr>
          <w:rFonts w:eastAsia="等线" w:cs="Times New Roman"/>
          <w:szCs w:val="24"/>
        </w:rPr>
        <w:t xml:space="preserve"> </w:t>
      </w:r>
      <w:r>
        <w:rPr>
          <w:rFonts w:ascii="宋体" w:eastAsia="宋体" w:hAnsi="宋体" w:cs="宋体" w:hint="eastAsia"/>
          <w:szCs w:val="24"/>
        </w:rPr>
        <w:t>∝</w:t>
      </w:r>
      <w:r>
        <w:rPr>
          <w:rFonts w:eastAsia="宋体" w:cs="Times New Roman"/>
          <w:szCs w:val="24"/>
        </w:rPr>
        <w:t xml:space="preserve"> </w:t>
      </w:r>
      <w:r>
        <w:rPr>
          <w:rFonts w:eastAsia="宋体" w:cs="Times New Roman"/>
          <w:i/>
          <w:szCs w:val="24"/>
        </w:rPr>
        <w:t>a-b</w:t>
      </w:r>
      <w:r>
        <w:rPr>
          <w:rFonts w:eastAsia="宋体" w:cs="Times New Roman"/>
          <w:szCs w:val="24"/>
        </w:rPr>
        <w:t xml:space="preserve">, </w:t>
      </w:r>
      <w:r>
        <w:rPr>
          <w:rFonts w:eastAsia="等线" w:cs="Times New Roman"/>
          <w:szCs w:val="24"/>
        </w:rPr>
        <w:t>ζ</w:t>
      </w:r>
      <w:r>
        <w:rPr>
          <w:rFonts w:eastAsia="等线" w:cs="Times New Roman"/>
          <w:szCs w:val="24"/>
          <w:vertAlign w:val="subscript"/>
        </w:rPr>
        <w:t>2</w:t>
      </w:r>
      <w:r>
        <w:rPr>
          <w:rFonts w:eastAsia="等线" w:cs="Times New Roman"/>
          <w:szCs w:val="24"/>
        </w:rPr>
        <w:t xml:space="preserve"> </w:t>
      </w:r>
      <w:r>
        <w:rPr>
          <w:rFonts w:ascii="宋体" w:eastAsia="宋体" w:hAnsi="宋体" w:cs="宋体" w:hint="eastAsia"/>
          <w:szCs w:val="24"/>
        </w:rPr>
        <w:t>∝</w:t>
      </w:r>
      <w:r>
        <w:rPr>
          <w:rFonts w:eastAsia="宋体" w:cs="Times New Roman"/>
          <w:szCs w:val="24"/>
        </w:rPr>
        <w:t xml:space="preserve"> </w:t>
      </w:r>
      <w:r>
        <w:rPr>
          <w:rFonts w:eastAsia="宋体" w:cs="Times New Roman"/>
          <w:i/>
          <w:szCs w:val="24"/>
        </w:rPr>
        <w:t>m</w:t>
      </w:r>
      <w:r>
        <w:rPr>
          <w:rFonts w:eastAsia="宋体" w:cs="Times New Roman"/>
          <w:szCs w:val="24"/>
        </w:rPr>
        <w:t xml:space="preserve">. </w:t>
      </w:r>
      <w:r>
        <w:rPr>
          <w:rFonts w:eastAsia="等线" w:cs="Times New Roman"/>
          <w:szCs w:val="24"/>
        </w:rPr>
        <w:t>In practice, RIN and Δ</w:t>
      </w:r>
      <w:r>
        <w:rPr>
          <w:rFonts w:eastAsia="等线" w:cs="Times New Roman"/>
          <w:i/>
          <w:szCs w:val="24"/>
        </w:rPr>
        <w:t>f</w:t>
      </w:r>
      <w:r>
        <w:rPr>
          <w:rFonts w:eastAsia="等线" w:cs="Times New Roman"/>
          <w:szCs w:val="24"/>
        </w:rPr>
        <w:t xml:space="preserve"> can be directly measured by using noise analyzers. In </w:t>
      </w:r>
      <w:r>
        <w:rPr>
          <w:rFonts w:eastAsia="等线" w:cs="Times New Roman"/>
          <w:b/>
          <w:szCs w:val="24"/>
        </w:rPr>
        <w:t>Fig. S3c</w:t>
      </w:r>
      <w:r>
        <w:rPr>
          <w:rFonts w:eastAsia="等线" w:cs="Times New Roman"/>
          <w:szCs w:val="24"/>
        </w:rPr>
        <w:t>, by fixing ζ</w:t>
      </w:r>
      <w:r>
        <w:rPr>
          <w:rFonts w:eastAsia="等线" w:cs="Times New Roman"/>
          <w:szCs w:val="24"/>
          <w:vertAlign w:val="subscript"/>
        </w:rPr>
        <w:t>1</w:t>
      </w:r>
      <w:r>
        <w:rPr>
          <w:rFonts w:eastAsia="等线" w:cs="Times New Roman"/>
          <w:szCs w:val="24"/>
        </w:rPr>
        <w:t xml:space="preserve"> = 10</w:t>
      </w:r>
      <w:r>
        <w:rPr>
          <w:rFonts w:eastAsia="等线" w:cs="Times New Roman"/>
          <w:szCs w:val="24"/>
          <w:vertAlign w:val="superscript"/>
        </w:rPr>
        <w:t>-6</w:t>
      </w:r>
      <w:r>
        <w:rPr>
          <w:rFonts w:eastAsia="等线" w:cs="Times New Roman"/>
          <w:szCs w:val="24"/>
        </w:rPr>
        <w:t>, ζ</w:t>
      </w:r>
      <w:r>
        <w:rPr>
          <w:rFonts w:eastAsia="等线" w:cs="Times New Roman"/>
          <w:szCs w:val="24"/>
          <w:vertAlign w:val="subscript"/>
        </w:rPr>
        <w:t>2</w:t>
      </w:r>
      <w:r>
        <w:rPr>
          <w:rFonts w:eastAsia="等线" w:cs="Times New Roman"/>
          <w:szCs w:val="24"/>
        </w:rPr>
        <w:t xml:space="preserve"> = 10</w:t>
      </w:r>
      <w:r>
        <w:rPr>
          <w:rFonts w:eastAsia="等线" w:cs="Times New Roman"/>
          <w:szCs w:val="24"/>
          <w:vertAlign w:val="superscript"/>
        </w:rPr>
        <w:t>-1</w:t>
      </w:r>
      <w:r>
        <w:rPr>
          <w:rFonts w:eastAsia="等线" w:cs="Times New Roman"/>
          <w:szCs w:val="24"/>
        </w:rPr>
        <w:t>, we map the SNR varying with Δ</w:t>
      </w:r>
      <w:r>
        <w:rPr>
          <w:rFonts w:eastAsia="等线" w:cs="Times New Roman"/>
          <w:i/>
          <w:szCs w:val="24"/>
        </w:rPr>
        <w:t>f</w:t>
      </w:r>
      <w:r>
        <w:rPr>
          <w:rFonts w:eastAsia="等线" w:cs="Times New Roman"/>
          <w:szCs w:val="24"/>
        </w:rPr>
        <w:t xml:space="preserve"> and RIN. In sum, using a laser line with higher RIN and lower frequency drift is a key point to improve the accuracy of acoustic detection based on FOMs. In our experiment, when using a stabilized comb line, the frequency drifting is at 10</w:t>
      </w:r>
      <w:r>
        <w:rPr>
          <w:rFonts w:eastAsia="等线" w:cs="Times New Roman"/>
          <w:szCs w:val="24"/>
          <w:vertAlign w:val="superscript"/>
        </w:rPr>
        <w:t>2</w:t>
      </w:r>
      <w:r>
        <w:rPr>
          <w:rFonts w:eastAsia="等线" w:cs="Times New Roman"/>
          <w:szCs w:val="24"/>
        </w:rPr>
        <w:t xml:space="preserve"> level, while its total RIN is at -90 dB level, meeting the expectation that SNR &gt; 90 dB.</w:t>
      </w:r>
    </w:p>
    <w:p w14:paraId="3717160C" w14:textId="58B64162" w:rsidR="005A0D3F" w:rsidRDefault="005C6863">
      <w:pPr>
        <w:adjustRightInd w:val="0"/>
        <w:snapToGrid w:val="0"/>
        <w:ind w:firstLine="480"/>
        <w:jc w:val="center"/>
        <w:rPr>
          <w:rFonts w:cs="Times New Roman"/>
          <w:szCs w:val="24"/>
        </w:rPr>
      </w:pPr>
      <w:r>
        <w:rPr>
          <w:rFonts w:cs="Times New Roman"/>
          <w:noProof/>
          <w:szCs w:val="24"/>
        </w:rPr>
        <w:drawing>
          <wp:inline distT="0" distB="0" distL="0" distR="0" wp14:anchorId="62F725C4" wp14:editId="3E70AFE3">
            <wp:extent cx="6120000" cy="240311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2403119"/>
                    </a:xfrm>
                    <a:prstGeom prst="rect">
                      <a:avLst/>
                    </a:prstGeom>
                    <a:noFill/>
                  </pic:spPr>
                </pic:pic>
              </a:graphicData>
            </a:graphic>
          </wp:inline>
        </w:drawing>
      </w:r>
    </w:p>
    <w:p w14:paraId="0BB58EEC" w14:textId="3F3E09EE" w:rsidR="005A0D3F" w:rsidRDefault="00834DAB">
      <w:pPr>
        <w:adjustRightInd w:val="0"/>
        <w:snapToGrid w:val="0"/>
        <w:ind w:firstLineChars="0" w:firstLine="0"/>
        <w:rPr>
          <w:rFonts w:cs="Times New Roman"/>
          <w:szCs w:val="24"/>
        </w:rPr>
      </w:pPr>
      <w:r>
        <w:rPr>
          <w:rFonts w:cs="Times New Roman" w:hint="eastAsia"/>
          <w:b/>
          <w:szCs w:val="24"/>
        </w:rPr>
        <w:t>F</w:t>
      </w:r>
      <w:r>
        <w:rPr>
          <w:rFonts w:cs="Times New Roman"/>
          <w:b/>
          <w:szCs w:val="24"/>
        </w:rPr>
        <w:t xml:space="preserve">ig. S3. Stabilization of the laser line plays a role </w:t>
      </w:r>
      <w:r w:rsidR="00CC6CD7">
        <w:rPr>
          <w:rFonts w:cs="Times New Roman"/>
          <w:b/>
          <w:szCs w:val="24"/>
        </w:rPr>
        <w:t>in improving</w:t>
      </w:r>
      <w:r>
        <w:rPr>
          <w:rFonts w:cs="Times New Roman"/>
          <w:b/>
          <w:szCs w:val="24"/>
        </w:rPr>
        <w:t xml:space="preserve"> the SNR for acoustic detection. a, </w:t>
      </w:r>
      <w:r>
        <w:rPr>
          <w:rFonts w:cs="Times New Roman"/>
          <w:szCs w:val="24"/>
        </w:rPr>
        <w:t xml:space="preserve">Schematic principle. </w:t>
      </w:r>
      <w:r>
        <w:rPr>
          <w:rFonts w:cs="Times New Roman"/>
          <w:b/>
          <w:szCs w:val="24"/>
        </w:rPr>
        <w:t xml:space="preserve">b, </w:t>
      </w:r>
      <w:r>
        <w:rPr>
          <w:rFonts w:cs="Times New Roman"/>
          <w:szCs w:val="24"/>
        </w:rPr>
        <w:t xml:space="preserve">Uncertainties from the laser line, including power fluctuation </w:t>
      </w:r>
      <w:r>
        <w:rPr>
          <w:rFonts w:eastAsia="等线" w:cs="Times New Roman"/>
          <w:szCs w:val="24"/>
        </w:rPr>
        <w:t>Δ</w:t>
      </w:r>
      <w:r>
        <w:rPr>
          <w:rFonts w:eastAsia="等线" w:cs="Times New Roman"/>
          <w:i/>
          <w:szCs w:val="24"/>
        </w:rPr>
        <w:t>l</w:t>
      </w:r>
      <w:r>
        <w:rPr>
          <w:rFonts w:cs="Times New Roman"/>
          <w:szCs w:val="24"/>
        </w:rPr>
        <w:t xml:space="preserve"> and frequency drift </w:t>
      </w:r>
      <w:r>
        <w:rPr>
          <w:rFonts w:eastAsia="等线" w:cs="Times New Roman"/>
          <w:szCs w:val="24"/>
        </w:rPr>
        <w:t>Δ</w:t>
      </w:r>
      <w:r>
        <w:rPr>
          <w:rFonts w:eastAsia="等线" w:cs="Times New Roman"/>
          <w:i/>
          <w:szCs w:val="24"/>
        </w:rPr>
        <w:t>f</w:t>
      </w:r>
      <w:r>
        <w:rPr>
          <w:rFonts w:eastAsia="等线" w:cs="Times New Roman"/>
          <w:szCs w:val="24"/>
        </w:rPr>
        <w:t xml:space="preserve">. </w:t>
      </w:r>
      <w:r>
        <w:rPr>
          <w:rFonts w:eastAsia="等线" w:cs="Times New Roman"/>
          <w:b/>
          <w:szCs w:val="24"/>
        </w:rPr>
        <w:t>c,</w:t>
      </w:r>
      <w:r>
        <w:rPr>
          <w:rFonts w:eastAsia="等线" w:cs="Times New Roman"/>
          <w:szCs w:val="24"/>
        </w:rPr>
        <w:t xml:space="preserve"> Calculated SNR when fixing ζ</w:t>
      </w:r>
      <w:r>
        <w:rPr>
          <w:rFonts w:eastAsia="等线" w:cs="Times New Roman"/>
          <w:szCs w:val="24"/>
          <w:vertAlign w:val="subscript"/>
        </w:rPr>
        <w:t>1</w:t>
      </w:r>
      <w:r>
        <w:rPr>
          <w:rFonts w:eastAsia="等线" w:cs="Times New Roman"/>
          <w:szCs w:val="24"/>
        </w:rPr>
        <w:t xml:space="preserve"> = 10</w:t>
      </w:r>
      <w:r>
        <w:rPr>
          <w:rFonts w:eastAsia="等线" w:cs="Times New Roman"/>
          <w:szCs w:val="24"/>
          <w:vertAlign w:val="superscript"/>
        </w:rPr>
        <w:t>-6</w:t>
      </w:r>
      <w:r>
        <w:rPr>
          <w:rFonts w:eastAsia="等线" w:cs="Times New Roman"/>
          <w:szCs w:val="24"/>
        </w:rPr>
        <w:t>, ζ</w:t>
      </w:r>
      <w:r>
        <w:rPr>
          <w:rFonts w:eastAsia="等线" w:cs="Times New Roman"/>
          <w:szCs w:val="24"/>
          <w:vertAlign w:val="subscript"/>
        </w:rPr>
        <w:t>2</w:t>
      </w:r>
      <w:r>
        <w:rPr>
          <w:rFonts w:eastAsia="等线" w:cs="Times New Roman"/>
          <w:szCs w:val="24"/>
        </w:rPr>
        <w:t xml:space="preserve"> = 10</w:t>
      </w:r>
      <w:r>
        <w:rPr>
          <w:rFonts w:eastAsia="等线" w:cs="Times New Roman"/>
          <w:szCs w:val="24"/>
          <w:vertAlign w:val="superscript"/>
        </w:rPr>
        <w:t>-1</w:t>
      </w:r>
      <w:r>
        <w:rPr>
          <w:rFonts w:eastAsia="等线" w:cs="Times New Roman"/>
          <w:szCs w:val="24"/>
        </w:rPr>
        <w:t xml:space="preserve">. </w:t>
      </w:r>
    </w:p>
    <w:p w14:paraId="4F38AEED" w14:textId="77777777" w:rsidR="005A0D3F" w:rsidRDefault="005A0D3F">
      <w:pPr>
        <w:adjustRightInd w:val="0"/>
        <w:snapToGrid w:val="0"/>
        <w:ind w:firstLineChars="0" w:firstLine="0"/>
        <w:rPr>
          <w:rFonts w:eastAsiaTheme="majorEastAsia" w:cstheme="majorBidi"/>
          <w:b/>
          <w:bCs/>
          <w:szCs w:val="32"/>
        </w:rPr>
      </w:pPr>
    </w:p>
    <w:p w14:paraId="4C9BA6F8" w14:textId="77777777" w:rsidR="005A0D3F" w:rsidRDefault="00834DAB">
      <w:pPr>
        <w:pStyle w:val="2"/>
        <w:adjustRightInd w:val="0"/>
        <w:snapToGrid w:val="0"/>
      </w:pPr>
      <w:r>
        <w:rPr>
          <w:rFonts w:hint="eastAsia"/>
        </w:rPr>
        <w:t>S</w:t>
      </w:r>
      <w:r>
        <w:t>1.4 Acoustic positioning algorithm.</w:t>
      </w:r>
    </w:p>
    <w:p w14:paraId="0A614F04" w14:textId="5AE6A322" w:rsidR="005A0D3F" w:rsidRDefault="00834DAB">
      <w:pPr>
        <w:adjustRightInd w:val="0"/>
        <w:snapToGrid w:val="0"/>
        <w:ind w:firstLine="480"/>
      </w:pPr>
      <w:r>
        <w:rPr>
          <w:rFonts w:hint="eastAsia"/>
        </w:rPr>
        <w:t>T</w:t>
      </w:r>
      <w:r>
        <w:t>he 3-dimensional acoustic positioning relies on solving the propagation paths of sound waves. Leveraging multiplexed sensors, the times when the sound waves reach different sensors are distinct. Related to beam synthesis [</w:t>
      </w:r>
      <w:r>
        <w:fldChar w:fldCharType="begin" w:fldLock="1"/>
      </w:r>
      <w:r w:rsidR="00FE76DC">
        <w:instrText xml:space="preserve"> ADDIN ZOTERO_ITEM CSL_CITATION {"citationID":"S0n84Pjf","properties":{"formattedCitation":"\\super 8\\nosupersub{}","plainCitation":"8","noteIndex":0},"citationItems":[{"id":"7KFSzQ2n/iM2r81Qt","uris":["http://www.mendeley.com/documents/?uuid=1d683532-4434-474b-b2ba-42424347b4f8"],"itemData":{"DOI":"10.1038/ncomms5316","ISSN":"2041-1723","author":[{"dropping-particle":"","family":"Zhang","given":"Peng","non-dropping-particle":"","parse-names":false,"suffix":""},{"dropping-particle":"","family":"Li","given":"Tongcang","non-dropping-particle":"","parse-names":false,"suffix":""},{"dropping-particle":"","family":"Zhu","given":"Jie","non-dropping-particle":"","parse-names":false,"suffix":""},{"dropping-particle":"","family":"Zhu","given":"Xuefeng","non-dropping-particle":"","parse-names":false,"suffix":""},{"dropping-particle":"","family":"Yang","given":"Sui","non-dropping-particle":"","parse-names":false,"suffix":""},{"dropping-particle":"","family":"Wang","given":"Yuan","non-dropping-particle":"","parse-names":false,"suffix":""},{"dropping-particle":"","family":"Yin","given":"Xiaobo","non-dropping-particle":"","parse-names":false,"suffix":""},{"dropping-particle":"","family":"Zhang","given":"Xiang","non-dropping-particle":"","parse-names":false,"suffix":""}],"container-title":"Nature Communications","id":"ITEM-1","issue":"1","issued":{"date-parts":[["2014","7","3"]]},"page":"4316","title":"Generation of acoustic self-bending and bottle beams by phase engineering","type":"article-journal","volume":"5"}}],"schema":"https://github.com/citation-style-language/schema/raw/master/csl-citation.json"} </w:instrText>
      </w:r>
      <w:r>
        <w:fldChar w:fldCharType="separate"/>
      </w:r>
      <w:r w:rsidR="00FE76DC" w:rsidRPr="00FE76DC">
        <w:rPr>
          <w:rFonts w:cs="Times New Roman"/>
          <w:kern w:val="0"/>
          <w:szCs w:val="24"/>
          <w:vertAlign w:val="superscript"/>
        </w:rPr>
        <w:t>8</w:t>
      </w:r>
      <w:r>
        <w:fldChar w:fldCharType="end"/>
      </w:r>
      <w:r>
        <w:t>], this method is simple, cheap, easy to transport, and convenient to set up on-site. Moreover, it can offer high resolution when the arrival time analysis is accurate [</w:t>
      </w:r>
      <w:r>
        <w:fldChar w:fldCharType="begin" w:fldLock="1"/>
      </w:r>
      <w:r w:rsidR="00FE76DC">
        <w:instrText xml:space="preserve"> ADDIN ZOTERO_ITEM CSL_CITATION {"citationID":"Ffqm1gXJ","properties":{"formattedCitation":"\\super 9\\nosupersub{}","plainCitation":"9","noteIndex":0},"citationItems":[{"id":"7KFSzQ2n/Q8O8tA5H","uris":["http://www.mendeley.com/documents/?uuid=1c1ea7aa-c8f6-4914-ba95-969fd21125b7"],"itemData":{"DOI":"10.1109/TIM.2020.2981985","ISSN":"0018-9456","author":[{"dropping-particle":"","family":"Cao","given":"Shuai","non-dropping-particle":"","parse-names":false,"suffix":""},{"dropping-particle":"","family":"Chen","given":"Xiang","non-dropping-particle":"","parse-names":false,"suffix":""},{"dropping-particle":"","family":"Zhang","given":"Xu","non-dropping-particle":"","parse-names":false,"suffix":""},{"dropping-particle":"","family":"Chen","given":"Xun","non-dropping-particle":"","parse-names":false,"suffix":""}],"container-title":"IEEE Transactions on Instrumentation and Measurement","id":"ITEM-1","issue":"10","issued":{"date-parts":[["2020","10"]]},"page":"7341-7352","title":"Effective Audio Signal Arrival Time Detection Algorithm for Realization of Robust Acoustic Indoor Positioning","type":"article-journal","volume":"69"}}],"schema":"https://github.com/citation-style-language/schema/raw/master/csl-citation.json"} </w:instrText>
      </w:r>
      <w:r>
        <w:fldChar w:fldCharType="separate"/>
      </w:r>
      <w:r w:rsidR="00FE76DC" w:rsidRPr="00FE76DC">
        <w:rPr>
          <w:rFonts w:cs="Times New Roman"/>
          <w:kern w:val="0"/>
          <w:szCs w:val="24"/>
          <w:vertAlign w:val="superscript"/>
        </w:rPr>
        <w:t>9</w:t>
      </w:r>
      <w:r>
        <w:fldChar w:fldCharType="end"/>
      </w:r>
      <w:r>
        <w:t>]. In our design, fiber optic microphones (FOMs) are placed at varied locations, the minimum distance (</w:t>
      </w:r>
      <w:r>
        <w:rPr>
          <w:i/>
        </w:rPr>
        <w:t>L</w:t>
      </w:r>
      <w:r w:rsidRPr="00EE71AD">
        <w:rPr>
          <w:iCs/>
          <w:vertAlign w:val="subscript"/>
        </w:rPr>
        <w:t>m</w:t>
      </w:r>
      <w:r>
        <w:t xml:space="preserve">) between them determines the sampling rate of sound localization. Typically, we use </w:t>
      </w:r>
      <w:r w:rsidR="00945B99">
        <w:t>a</w:t>
      </w:r>
      <w:r>
        <w:t xml:space="preserve"> </w:t>
      </w:r>
      <w:r>
        <w:rPr>
          <w:i/>
        </w:rPr>
        <w:t>L</w:t>
      </w:r>
      <w:r w:rsidRPr="00EE71AD">
        <w:rPr>
          <w:iCs/>
          <w:vertAlign w:val="subscript"/>
        </w:rPr>
        <w:t>m</w:t>
      </w:r>
      <w:r w:rsidRPr="00EE71AD">
        <w:rPr>
          <w:iCs/>
        </w:rPr>
        <w:t xml:space="preserve"> </w:t>
      </w:r>
      <w:r>
        <w:t xml:space="preserve">= 40 cm in </w:t>
      </w:r>
      <w:r w:rsidR="009D6B39">
        <w:t xml:space="preserve">the </w:t>
      </w:r>
      <w:r>
        <w:t xml:space="preserve">experiment, suggesting that the maximum sampling rate for acoustic waves is 850 Hz. </w:t>
      </w:r>
    </w:p>
    <w:p w14:paraId="5220F48A" w14:textId="27BEC83B" w:rsidR="005A0D3F" w:rsidRDefault="00834DAB">
      <w:pPr>
        <w:adjustRightInd w:val="0"/>
        <w:snapToGrid w:val="0"/>
        <w:ind w:firstLine="480"/>
      </w:pPr>
      <w:r>
        <w:t xml:space="preserve">When using this sensor array system to measure the three-dimensional coordinates of an acoustic target in the open air, we introduce our positioning method based on </w:t>
      </w:r>
      <w:r w:rsidR="009D6B39">
        <w:t xml:space="preserve">the </w:t>
      </w:r>
      <w:r>
        <w:t xml:space="preserve">time difference of arrival (TDOA). </w:t>
      </w:r>
      <w:r w:rsidR="00430497">
        <w:rPr>
          <w:rFonts w:cs="Times New Roman"/>
          <w:szCs w:val="24"/>
        </w:rPr>
        <w:t xml:space="preserve">Each FOM has an independent coordinate </w:t>
      </w:r>
      <w:r w:rsidR="00430497" w:rsidRPr="00031C83">
        <w:rPr>
          <w:rFonts w:cs="Times New Roman"/>
          <w:iCs/>
          <w:szCs w:val="24"/>
        </w:rPr>
        <w:t>M</w:t>
      </w:r>
      <w:r w:rsidR="00430497" w:rsidRPr="00B33F17">
        <w:rPr>
          <w:rFonts w:cs="Times New Roman"/>
          <w:i/>
          <w:szCs w:val="24"/>
        </w:rPr>
        <w:t>i</w:t>
      </w:r>
      <w:r w:rsidR="00430497">
        <w:rPr>
          <w:rFonts w:cs="Times New Roman"/>
          <w:i/>
          <w:szCs w:val="24"/>
          <w:vertAlign w:val="subscript"/>
        </w:rPr>
        <w:t xml:space="preserve"> </w:t>
      </w:r>
      <w:r w:rsidR="00430497" w:rsidRPr="00027A94">
        <w:rPr>
          <w:rFonts w:cs="Times New Roman"/>
          <w:szCs w:val="24"/>
        </w:rPr>
        <w:t>(</w:t>
      </w:r>
      <w:r w:rsidR="00430497" w:rsidRPr="00D7510B">
        <w:rPr>
          <w:rFonts w:cs="Times New Roman"/>
          <w:i/>
          <w:szCs w:val="24"/>
        </w:rPr>
        <w:t>x</w:t>
      </w:r>
      <w:r w:rsidR="00430497" w:rsidRPr="00D7510B">
        <w:rPr>
          <w:rFonts w:cs="Times New Roman"/>
          <w:i/>
          <w:szCs w:val="24"/>
          <w:vertAlign w:val="subscript"/>
        </w:rPr>
        <w:t>i</w:t>
      </w:r>
      <w:r w:rsidR="00430497" w:rsidRPr="00D7510B">
        <w:rPr>
          <w:rFonts w:cs="Times New Roman"/>
          <w:i/>
          <w:szCs w:val="24"/>
        </w:rPr>
        <w:t>, y</w:t>
      </w:r>
      <w:r w:rsidR="00430497" w:rsidRPr="00D7510B">
        <w:rPr>
          <w:rFonts w:cs="Times New Roman"/>
          <w:i/>
          <w:szCs w:val="24"/>
          <w:vertAlign w:val="subscript"/>
        </w:rPr>
        <w:t>i</w:t>
      </w:r>
      <w:r w:rsidR="00430497" w:rsidRPr="00D7510B">
        <w:rPr>
          <w:rFonts w:cs="Times New Roman"/>
          <w:i/>
          <w:szCs w:val="24"/>
        </w:rPr>
        <w:t>, z</w:t>
      </w:r>
      <w:r w:rsidR="00430497" w:rsidRPr="00D7510B">
        <w:rPr>
          <w:rFonts w:cs="Times New Roman"/>
          <w:i/>
          <w:szCs w:val="24"/>
          <w:vertAlign w:val="subscript"/>
        </w:rPr>
        <w:t>i</w:t>
      </w:r>
      <w:r w:rsidR="00430497" w:rsidRPr="00027A94">
        <w:rPr>
          <w:rFonts w:cs="Times New Roman"/>
          <w:szCs w:val="24"/>
        </w:rPr>
        <w:t>)</w:t>
      </w:r>
      <w:r w:rsidR="00430497">
        <w:rPr>
          <w:rFonts w:cs="Times New Roman"/>
          <w:szCs w:val="24"/>
        </w:rPr>
        <w:t xml:space="preserve">, here </w:t>
      </w:r>
      <w:r w:rsidR="00430497" w:rsidRPr="00D7510B">
        <w:rPr>
          <w:rFonts w:cs="Times New Roman"/>
          <w:i/>
          <w:szCs w:val="24"/>
        </w:rPr>
        <w:t>i</w:t>
      </w:r>
      <w:r w:rsidR="00430497">
        <w:rPr>
          <w:rFonts w:cs="Times New Roman"/>
          <w:szCs w:val="24"/>
        </w:rPr>
        <w:t xml:space="preserve"> = </w:t>
      </w:r>
      <w:r w:rsidR="00430497" w:rsidRPr="00C94E48">
        <w:rPr>
          <w:rFonts w:cs="Times New Roman"/>
          <w:szCs w:val="24"/>
        </w:rPr>
        <w:t>1</w:t>
      </w:r>
      <w:r w:rsidR="00430497">
        <w:rPr>
          <w:rFonts w:cs="Times New Roman"/>
          <w:szCs w:val="24"/>
        </w:rPr>
        <w:t xml:space="preserve">, </w:t>
      </w:r>
      <w:r w:rsidR="00430497" w:rsidRPr="00C94E48">
        <w:rPr>
          <w:rFonts w:cs="Times New Roman"/>
          <w:szCs w:val="24"/>
        </w:rPr>
        <w:t>2</w:t>
      </w:r>
      <w:r w:rsidR="00430497">
        <w:rPr>
          <w:rFonts w:cs="Times New Roman"/>
          <w:szCs w:val="24"/>
        </w:rPr>
        <w:t xml:space="preserve">, 3 or 4, </w:t>
      </w:r>
      <w:r w:rsidR="00430497">
        <w:rPr>
          <w:rFonts w:hint="eastAsia"/>
        </w:rPr>
        <w:t>s</w:t>
      </w:r>
      <w:r w:rsidR="00430497">
        <w:t xml:space="preserve">peed of sound is </w:t>
      </w:r>
      <w:r w:rsidR="00430497">
        <w:rPr>
          <w:i/>
          <w:iCs/>
        </w:rPr>
        <w:t>v</w:t>
      </w:r>
      <w:r w:rsidR="00430497" w:rsidRPr="004F056A">
        <w:rPr>
          <w:iCs/>
          <w:vertAlign w:val="subscript"/>
        </w:rPr>
        <w:t>A</w:t>
      </w:r>
      <w:r w:rsidR="00C1266F">
        <w:rPr>
          <w:rFonts w:cs="Times New Roman"/>
          <w:szCs w:val="24"/>
        </w:rPr>
        <w:t xml:space="preserve"> = </w:t>
      </w:r>
      <w:r w:rsidR="00C1266F" w:rsidRPr="00C94E48">
        <w:rPr>
          <w:rFonts w:cs="Times New Roman"/>
          <w:szCs w:val="24"/>
        </w:rPr>
        <w:t>34</w:t>
      </w:r>
      <w:r w:rsidR="00C1266F">
        <w:rPr>
          <w:rFonts w:cs="Times New Roman"/>
          <w:szCs w:val="24"/>
        </w:rPr>
        <w:t>0 m/s</w:t>
      </w:r>
      <w:r w:rsidR="00430497">
        <w:rPr>
          <w:rFonts w:hint="eastAsia"/>
        </w:rPr>
        <w:t>,</w:t>
      </w:r>
      <w:r w:rsidR="00430497">
        <w:t xml:space="preserve"> </w:t>
      </w:r>
      <w:r w:rsidR="00430497" w:rsidRPr="00B66F8E">
        <w:rPr>
          <w:rFonts w:cs="Times New Roman"/>
          <w:i/>
          <w:szCs w:val="24"/>
        </w:rPr>
        <w:t>t</w:t>
      </w:r>
      <w:r w:rsidR="00430497" w:rsidRPr="00987A0C">
        <w:rPr>
          <w:rFonts w:cs="Times New Roman"/>
          <w:iCs/>
          <w:szCs w:val="24"/>
          <w:vertAlign w:val="subscript"/>
        </w:rPr>
        <w:t>M</w:t>
      </w:r>
      <w:r w:rsidR="00430497" w:rsidRPr="00AD7F13">
        <w:rPr>
          <w:rFonts w:cs="Times New Roman"/>
          <w:i/>
          <w:szCs w:val="24"/>
          <w:vertAlign w:val="subscript"/>
        </w:rPr>
        <w:t>i,</w:t>
      </w:r>
      <w:r w:rsidR="00430497" w:rsidRPr="00987A0C">
        <w:rPr>
          <w:rFonts w:cs="Times New Roman"/>
          <w:iCs/>
          <w:szCs w:val="24"/>
          <w:vertAlign w:val="subscript"/>
        </w:rPr>
        <w:t>M</w:t>
      </w:r>
      <w:r w:rsidR="00430497" w:rsidRPr="00AD7F13">
        <w:rPr>
          <w:rFonts w:cs="Times New Roman"/>
          <w:i/>
          <w:szCs w:val="24"/>
          <w:vertAlign w:val="subscript"/>
        </w:rPr>
        <w:t>j</w:t>
      </w:r>
      <w:r w:rsidR="00430497">
        <w:rPr>
          <w:rFonts w:cs="Times New Roman"/>
          <w:szCs w:val="24"/>
          <w:vertAlign w:val="subscript"/>
        </w:rPr>
        <w:t xml:space="preserve"> </w:t>
      </w:r>
      <w:r w:rsidR="00430497">
        <w:rPr>
          <w:rFonts w:cs="Times New Roman"/>
          <w:szCs w:val="24"/>
        </w:rPr>
        <w:t>signifies</w:t>
      </w:r>
      <w:r w:rsidR="00430497" w:rsidRPr="00E6579A">
        <w:rPr>
          <w:rFonts w:cs="Times New Roman"/>
          <w:szCs w:val="24"/>
        </w:rPr>
        <w:t xml:space="preserve"> </w:t>
      </w:r>
      <w:r w:rsidR="00430497">
        <w:rPr>
          <w:rFonts w:cs="Times New Roman"/>
          <w:szCs w:val="24"/>
        </w:rPr>
        <w:t>a</w:t>
      </w:r>
      <w:r w:rsidR="00430497" w:rsidRPr="00455084">
        <w:rPr>
          <w:rFonts w:cs="Times New Roman"/>
          <w:szCs w:val="24"/>
        </w:rPr>
        <w:t>rrival time difference</w:t>
      </w:r>
      <w:r w:rsidR="00430497" w:rsidRPr="00E6579A">
        <w:rPr>
          <w:rFonts w:cs="Times New Roman"/>
          <w:szCs w:val="24"/>
        </w:rPr>
        <w:t xml:space="preserve"> between</w:t>
      </w:r>
      <w:r w:rsidR="00430497">
        <w:rPr>
          <w:rFonts w:cs="Times New Roman"/>
          <w:szCs w:val="24"/>
        </w:rPr>
        <w:t xml:space="preserve"> </w:t>
      </w:r>
      <w:r w:rsidR="00430497" w:rsidRPr="006B0A7B">
        <w:rPr>
          <w:rFonts w:cs="Times New Roman"/>
          <w:szCs w:val="24"/>
        </w:rPr>
        <w:t>M</w:t>
      </w:r>
      <w:r w:rsidR="00430497" w:rsidRPr="006B0A7B">
        <w:rPr>
          <w:rFonts w:cs="Times New Roman"/>
          <w:i/>
          <w:iCs/>
          <w:szCs w:val="24"/>
        </w:rPr>
        <w:t>i</w:t>
      </w:r>
      <w:r w:rsidR="00430497" w:rsidRPr="00975DC3">
        <w:rPr>
          <w:rFonts w:cs="Times New Roman"/>
          <w:i/>
          <w:iCs/>
          <w:szCs w:val="24"/>
        </w:rPr>
        <w:t xml:space="preserve"> </w:t>
      </w:r>
      <w:r w:rsidR="00430497" w:rsidRPr="00B114EB">
        <w:rPr>
          <w:rFonts w:cs="Times New Roman"/>
          <w:iCs/>
          <w:szCs w:val="24"/>
        </w:rPr>
        <w:t>and</w:t>
      </w:r>
      <w:r w:rsidR="00430497" w:rsidRPr="00975DC3">
        <w:rPr>
          <w:rFonts w:cs="Times New Roman"/>
          <w:i/>
          <w:iCs/>
          <w:szCs w:val="24"/>
        </w:rPr>
        <w:t xml:space="preserve"> </w:t>
      </w:r>
      <w:r w:rsidR="00430497" w:rsidRPr="006B0A7B">
        <w:rPr>
          <w:rFonts w:cs="Times New Roman"/>
          <w:szCs w:val="24"/>
        </w:rPr>
        <w:t>M</w:t>
      </w:r>
      <w:r w:rsidR="00430497" w:rsidRPr="006B0A7B">
        <w:rPr>
          <w:rFonts w:cs="Times New Roman" w:hint="eastAsia"/>
          <w:i/>
          <w:iCs/>
          <w:szCs w:val="24"/>
        </w:rPr>
        <w:t>j</w:t>
      </w:r>
      <w:r w:rsidR="00430497" w:rsidRPr="00975DC3">
        <w:rPr>
          <w:rFonts w:cs="Times New Roman"/>
          <w:i/>
          <w:iCs/>
          <w:szCs w:val="24"/>
        </w:rPr>
        <w:t xml:space="preserve"> </w:t>
      </w:r>
      <w:r w:rsidR="00430497" w:rsidRPr="00027A94">
        <w:rPr>
          <w:rFonts w:cs="Times New Roman"/>
          <w:iCs/>
          <w:szCs w:val="24"/>
        </w:rPr>
        <w:t>(</w:t>
      </w:r>
      <w:r w:rsidR="00430497" w:rsidRPr="00975DC3">
        <w:rPr>
          <w:rFonts w:cs="Times New Roman"/>
          <w:i/>
          <w:iCs/>
          <w:szCs w:val="24"/>
        </w:rPr>
        <w:t>i ≠ j</w:t>
      </w:r>
      <w:r w:rsidR="00430497" w:rsidRPr="00026355">
        <w:rPr>
          <w:rFonts w:cs="Times New Roman"/>
          <w:szCs w:val="24"/>
        </w:rPr>
        <w:t>)</w:t>
      </w:r>
      <w:r w:rsidR="00430497">
        <w:rPr>
          <w:rFonts w:cs="Times New Roman"/>
          <w:szCs w:val="24"/>
        </w:rPr>
        <w:t>.</w:t>
      </w:r>
      <w:r w:rsidR="005F250A">
        <w:rPr>
          <w:rFonts w:cs="Times New Roman"/>
          <w:szCs w:val="24"/>
        </w:rPr>
        <w:t xml:space="preserve"> </w:t>
      </w:r>
      <w:r>
        <w:t xml:space="preserve">Considering we have </w:t>
      </w:r>
      <w:r>
        <w:rPr>
          <w:i/>
          <w:iCs/>
        </w:rPr>
        <w:t>N</w:t>
      </w:r>
      <w:r>
        <w:t xml:space="preserve"> acoustic sensors, we can solve </w:t>
      </w:r>
      <w:r w:rsidR="00EE71AD">
        <w:rPr>
          <w:i/>
          <w:iCs/>
        </w:rPr>
        <w:t>N</w:t>
      </w:r>
      <w:r>
        <w:t>(</w:t>
      </w:r>
      <w:r w:rsidR="00EE71AD">
        <w:rPr>
          <w:i/>
          <w:iCs/>
        </w:rPr>
        <w:t>N</w:t>
      </w:r>
      <w:r>
        <w:rPr>
          <w:i/>
          <w:iCs/>
        </w:rPr>
        <w:t>-</w:t>
      </w:r>
      <w:r>
        <w:t xml:space="preserve">1)/2 acoustic paths. For example, when </w:t>
      </w:r>
      <w:r>
        <w:rPr>
          <w:i/>
        </w:rPr>
        <w:t>N</w:t>
      </w:r>
      <w:r>
        <w:t xml:space="preserve"> = 4 and the sensors’ coordinates are </w:t>
      </w:r>
      <w:r w:rsidR="00F037B3" w:rsidRPr="00F037B3">
        <w:rPr>
          <w:iCs/>
        </w:rPr>
        <w:t>M</w:t>
      </w:r>
      <w:r w:rsidRPr="00C523A1">
        <w:rPr>
          <w:iCs/>
        </w:rPr>
        <w:t>1</w:t>
      </w:r>
      <w:r>
        <w:t>(</w:t>
      </w:r>
      <w:r>
        <w:rPr>
          <w:i/>
          <w:iCs/>
        </w:rPr>
        <w:t>x</w:t>
      </w:r>
      <w:r>
        <w:rPr>
          <w:vertAlign w:val="subscript"/>
        </w:rPr>
        <w:t>1</w:t>
      </w:r>
      <w:r>
        <w:t xml:space="preserve">, </w:t>
      </w:r>
      <w:r>
        <w:rPr>
          <w:i/>
          <w:iCs/>
        </w:rPr>
        <w:t>y</w:t>
      </w:r>
      <w:r>
        <w:rPr>
          <w:vertAlign w:val="subscript"/>
        </w:rPr>
        <w:t>1</w:t>
      </w:r>
      <w:r>
        <w:t xml:space="preserve">, </w:t>
      </w:r>
      <w:r>
        <w:rPr>
          <w:i/>
          <w:iCs/>
        </w:rPr>
        <w:t>z</w:t>
      </w:r>
      <w:r>
        <w:rPr>
          <w:vertAlign w:val="subscript"/>
        </w:rPr>
        <w:t>1</w:t>
      </w:r>
      <w:r>
        <w:t xml:space="preserve">), </w:t>
      </w:r>
      <w:r w:rsidR="00F037B3" w:rsidRPr="00F037B3">
        <w:rPr>
          <w:iCs/>
        </w:rPr>
        <w:t>M</w:t>
      </w:r>
      <w:r w:rsidRPr="00C523A1">
        <w:rPr>
          <w:iCs/>
        </w:rPr>
        <w:t>2</w:t>
      </w:r>
      <w:r>
        <w:t>(</w:t>
      </w:r>
      <w:r>
        <w:rPr>
          <w:i/>
          <w:iCs/>
        </w:rPr>
        <w:t>x</w:t>
      </w:r>
      <w:r>
        <w:rPr>
          <w:vertAlign w:val="subscript"/>
        </w:rPr>
        <w:t>2</w:t>
      </w:r>
      <w:r>
        <w:t xml:space="preserve">, </w:t>
      </w:r>
      <w:r>
        <w:rPr>
          <w:i/>
          <w:iCs/>
        </w:rPr>
        <w:t>y</w:t>
      </w:r>
      <w:r>
        <w:rPr>
          <w:vertAlign w:val="subscript"/>
        </w:rPr>
        <w:t>2</w:t>
      </w:r>
      <w:r>
        <w:t xml:space="preserve">, </w:t>
      </w:r>
      <w:r>
        <w:rPr>
          <w:i/>
          <w:iCs/>
        </w:rPr>
        <w:t>z</w:t>
      </w:r>
      <w:r>
        <w:rPr>
          <w:vertAlign w:val="subscript"/>
        </w:rPr>
        <w:t>2</w:t>
      </w:r>
      <w:r>
        <w:t xml:space="preserve">), </w:t>
      </w:r>
      <w:r w:rsidR="00F037B3" w:rsidRPr="00F037B3">
        <w:rPr>
          <w:iCs/>
        </w:rPr>
        <w:t>M</w:t>
      </w:r>
      <w:r w:rsidRPr="00C523A1">
        <w:rPr>
          <w:iCs/>
        </w:rPr>
        <w:t>3</w:t>
      </w:r>
      <w:r>
        <w:t>(</w:t>
      </w:r>
      <w:r>
        <w:rPr>
          <w:i/>
          <w:iCs/>
        </w:rPr>
        <w:t>x</w:t>
      </w:r>
      <w:r>
        <w:rPr>
          <w:vertAlign w:val="subscript"/>
        </w:rPr>
        <w:t>3</w:t>
      </w:r>
      <w:r>
        <w:t xml:space="preserve">, </w:t>
      </w:r>
      <w:r>
        <w:rPr>
          <w:i/>
          <w:iCs/>
        </w:rPr>
        <w:t>y</w:t>
      </w:r>
      <w:r>
        <w:rPr>
          <w:vertAlign w:val="subscript"/>
        </w:rPr>
        <w:t>3</w:t>
      </w:r>
      <w:r>
        <w:t xml:space="preserve">, </w:t>
      </w:r>
      <w:r>
        <w:rPr>
          <w:i/>
          <w:iCs/>
        </w:rPr>
        <w:t>z</w:t>
      </w:r>
      <w:r>
        <w:rPr>
          <w:vertAlign w:val="subscript"/>
        </w:rPr>
        <w:t>3</w:t>
      </w:r>
      <w:r>
        <w:t xml:space="preserve">), </w:t>
      </w:r>
      <w:r w:rsidR="00F037B3" w:rsidRPr="00F037B3">
        <w:rPr>
          <w:iCs/>
        </w:rPr>
        <w:t>M</w:t>
      </w:r>
      <w:r w:rsidRPr="00C523A1">
        <w:rPr>
          <w:iCs/>
        </w:rPr>
        <w:t>4</w:t>
      </w:r>
      <w:r w:rsidRPr="00C523A1">
        <w:t>(</w:t>
      </w:r>
      <w:r>
        <w:rPr>
          <w:i/>
          <w:iCs/>
        </w:rPr>
        <w:t>x</w:t>
      </w:r>
      <w:r>
        <w:rPr>
          <w:vertAlign w:val="subscript"/>
        </w:rPr>
        <w:t>4</w:t>
      </w:r>
      <w:r>
        <w:t xml:space="preserve">, </w:t>
      </w:r>
      <w:r>
        <w:rPr>
          <w:i/>
          <w:iCs/>
        </w:rPr>
        <w:t>y</w:t>
      </w:r>
      <w:r>
        <w:rPr>
          <w:vertAlign w:val="subscript"/>
        </w:rPr>
        <w:t>4</w:t>
      </w:r>
      <w:r>
        <w:t>,</w:t>
      </w:r>
      <w:r>
        <w:rPr>
          <w:i/>
          <w:iCs/>
        </w:rPr>
        <w:t xml:space="preserve"> z</w:t>
      </w:r>
      <w:r>
        <w:rPr>
          <w:vertAlign w:val="subscript"/>
        </w:rPr>
        <w:t>4</w:t>
      </w:r>
      <w:r>
        <w:t xml:space="preserve">), and the coordinate of the </w:t>
      </w:r>
      <w:r>
        <w:lastRenderedPageBreak/>
        <w:t xml:space="preserve">target is </w:t>
      </w:r>
      <w:r>
        <w:rPr>
          <w:i/>
          <w:iCs/>
        </w:rPr>
        <w:t xml:space="preserve">Target </w:t>
      </w:r>
      <w:r>
        <w:t>(x, y, z)</w:t>
      </w:r>
      <w:r>
        <w:rPr>
          <w:rFonts w:hint="eastAsia"/>
        </w:rPr>
        <w:t>,</w:t>
      </w:r>
      <w:r>
        <w:t xml:space="preserve"> </w:t>
      </w:r>
      <w:r>
        <w:rPr>
          <w:rFonts w:hint="eastAsia"/>
        </w:rPr>
        <w:t>t</w:t>
      </w:r>
      <w:r>
        <w:t xml:space="preserve">he sound arrival time difference between every two array elements is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2</w:t>
      </w:r>
      <w:r w:rsidR="00C523A1" w:rsidRPr="00987A0C">
        <w:rPr>
          <w:rFonts w:cs="Times New Roman"/>
          <w:iCs/>
          <w:szCs w:val="24"/>
          <w:vertAlign w:val="subscript"/>
        </w:rPr>
        <w:t>,M</w:t>
      </w:r>
      <w:r w:rsidR="004459EF">
        <w:rPr>
          <w:rFonts w:cs="Times New Roman" w:hint="eastAsia"/>
          <w:iCs/>
          <w:szCs w:val="24"/>
          <w:vertAlign w:val="subscript"/>
        </w:rPr>
        <w:t>1</w:t>
      </w:r>
      <w:r>
        <w:t xml:space="preserve">,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3</w:t>
      </w:r>
      <w:r w:rsidR="00C523A1" w:rsidRPr="00987A0C">
        <w:rPr>
          <w:rFonts w:cs="Times New Roman"/>
          <w:iCs/>
          <w:szCs w:val="24"/>
          <w:vertAlign w:val="subscript"/>
        </w:rPr>
        <w:t>,M</w:t>
      </w:r>
      <w:r w:rsidR="004459EF">
        <w:rPr>
          <w:rFonts w:cs="Times New Roman" w:hint="eastAsia"/>
          <w:iCs/>
          <w:szCs w:val="24"/>
          <w:vertAlign w:val="subscript"/>
        </w:rPr>
        <w:t>1</w:t>
      </w:r>
      <w:r>
        <w:rPr>
          <w:vertAlign w:val="subscript"/>
        </w:rPr>
        <w:t>,</w:t>
      </w:r>
      <w:r>
        <w:t xml:space="preserve">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4</w:t>
      </w:r>
      <w:r w:rsidR="00C523A1" w:rsidRPr="00987A0C">
        <w:rPr>
          <w:rFonts w:cs="Times New Roman"/>
          <w:iCs/>
          <w:szCs w:val="24"/>
          <w:vertAlign w:val="subscript"/>
        </w:rPr>
        <w:t>,M</w:t>
      </w:r>
      <w:r w:rsidR="004459EF">
        <w:rPr>
          <w:rFonts w:cs="Times New Roman" w:hint="eastAsia"/>
          <w:iCs/>
          <w:szCs w:val="24"/>
          <w:vertAlign w:val="subscript"/>
        </w:rPr>
        <w:t>1</w:t>
      </w:r>
      <w:r>
        <w:rPr>
          <w:vertAlign w:val="subscript"/>
        </w:rPr>
        <w:t>,</w:t>
      </w:r>
      <w:r>
        <w:t xml:space="preserve">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3</w:t>
      </w:r>
      <w:r w:rsidR="00C523A1" w:rsidRPr="00987A0C">
        <w:rPr>
          <w:rFonts w:cs="Times New Roman"/>
          <w:iCs/>
          <w:szCs w:val="24"/>
          <w:vertAlign w:val="subscript"/>
        </w:rPr>
        <w:t>,M</w:t>
      </w:r>
      <w:r w:rsidR="004459EF">
        <w:rPr>
          <w:rFonts w:cs="Times New Roman" w:hint="eastAsia"/>
          <w:iCs/>
          <w:szCs w:val="24"/>
          <w:vertAlign w:val="subscript"/>
        </w:rPr>
        <w:t>2</w:t>
      </w:r>
      <w:r>
        <w:rPr>
          <w:vertAlign w:val="subscript"/>
        </w:rPr>
        <w:t>,</w:t>
      </w:r>
      <w:r>
        <w:t xml:space="preserve">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4</w:t>
      </w:r>
      <w:r w:rsidR="00C523A1" w:rsidRPr="00987A0C">
        <w:rPr>
          <w:rFonts w:cs="Times New Roman"/>
          <w:iCs/>
          <w:szCs w:val="24"/>
          <w:vertAlign w:val="subscript"/>
        </w:rPr>
        <w:t>,M</w:t>
      </w:r>
      <w:r w:rsidR="004459EF">
        <w:rPr>
          <w:rFonts w:cs="Times New Roman" w:hint="eastAsia"/>
          <w:iCs/>
          <w:szCs w:val="24"/>
          <w:vertAlign w:val="subscript"/>
        </w:rPr>
        <w:t>2</w:t>
      </w:r>
      <w:r>
        <w:t>,</w:t>
      </w:r>
      <w:r w:rsidR="00C523A1" w:rsidRPr="00C523A1">
        <w:rPr>
          <w:rFonts w:cs="Times New Roman"/>
          <w:i/>
          <w:szCs w:val="24"/>
        </w:rPr>
        <w:t xml:space="preserve"> </w:t>
      </w:r>
      <w:r w:rsidR="00C523A1" w:rsidRPr="00B66F8E">
        <w:rPr>
          <w:rFonts w:cs="Times New Roman"/>
          <w:i/>
          <w:szCs w:val="24"/>
        </w:rPr>
        <w:t>t</w:t>
      </w:r>
      <w:r w:rsidR="00C523A1" w:rsidRPr="00987A0C">
        <w:rPr>
          <w:rFonts w:cs="Times New Roman"/>
          <w:iCs/>
          <w:szCs w:val="24"/>
          <w:vertAlign w:val="subscript"/>
        </w:rPr>
        <w:t>M</w:t>
      </w:r>
      <w:r w:rsidR="004459EF">
        <w:rPr>
          <w:rFonts w:cs="Times New Roman" w:hint="eastAsia"/>
          <w:iCs/>
          <w:szCs w:val="24"/>
          <w:vertAlign w:val="subscript"/>
        </w:rPr>
        <w:t>4</w:t>
      </w:r>
      <w:r w:rsidR="00C523A1" w:rsidRPr="00987A0C">
        <w:rPr>
          <w:rFonts w:cs="Times New Roman"/>
          <w:iCs/>
          <w:szCs w:val="24"/>
          <w:vertAlign w:val="subscript"/>
        </w:rPr>
        <w:t>,M</w:t>
      </w:r>
      <w:r w:rsidR="004459EF">
        <w:rPr>
          <w:rFonts w:cs="Times New Roman" w:hint="eastAsia"/>
          <w:iCs/>
          <w:szCs w:val="24"/>
          <w:vertAlign w:val="subscript"/>
        </w:rPr>
        <w:t>3</w:t>
      </w:r>
      <w:r w:rsidR="00F8278D">
        <w:t xml:space="preserve">, </w:t>
      </w:r>
      <w:r>
        <w:t>the following positioning equation can be obtained:</w:t>
      </w:r>
    </w:p>
    <w:p w14:paraId="555232CA" w14:textId="292E6F64" w:rsidR="005A0D3F" w:rsidRDefault="004459EF">
      <w:pPr>
        <w:pStyle w:val="af"/>
        <w:wordWrap/>
        <w:adjustRightInd w:val="0"/>
        <w:snapToGrid w:val="0"/>
        <w:spacing w:line="360" w:lineRule="auto"/>
        <w:ind w:firstLine="480"/>
      </w:pPr>
      <w:r>
        <w:object w:dxaOrig="7880" w:dyaOrig="2799" w14:anchorId="0B514F04">
          <v:shape id="_x0000_i1043" type="#_x0000_t75" style="width:393.55pt;height:140.45pt" o:ole="">
            <v:imagedata r:id="rId47" o:title=""/>
          </v:shape>
          <o:OLEObject Type="Embed" ProgID="Equation.DSMT4" ShapeID="_x0000_i1043" DrawAspect="Content" ObjectID="_1774013342" r:id="rId48"/>
        </w:object>
      </w:r>
      <w:r w:rsidR="00834DAB">
        <w:tab/>
        <w:t>(S18)</w:t>
      </w:r>
    </w:p>
    <w:p w14:paraId="415217D6" w14:textId="77777777" w:rsidR="005A0D3F" w:rsidRDefault="00834DAB">
      <w:pPr>
        <w:adjustRightInd w:val="0"/>
        <w:snapToGrid w:val="0"/>
        <w:ind w:firstLine="480"/>
      </w:pPr>
      <w:r>
        <w:t xml:space="preserve">Based on numerical optimization methods, iterative algorithms are usually used to approximate the roots of the above equations. First, we provide an initial guess point. These nonlinear equations return a function, whose value is a vector, representing the residual of the system. This function would be called at each iteration step and calculate the residual of the system of equations based on the current guess point. Then, the optimization algorithm iteratively updates the current guess point. In each iteration step, it calculates the gradient (or approximate gradient) of the objective function and the Hessian matrix. With decreasing the residuals, the algorithm terminates when the solutions meet the convergence criterion. </w:t>
      </w:r>
    </w:p>
    <w:p w14:paraId="056933A1" w14:textId="00B5BE79" w:rsidR="005A0D3F" w:rsidRDefault="00834DAB">
      <w:pPr>
        <w:adjustRightInd w:val="0"/>
        <w:snapToGrid w:val="0"/>
        <w:ind w:firstLine="480"/>
        <w:rPr>
          <w:szCs w:val="24"/>
        </w:rPr>
      </w:pPr>
      <w:r>
        <w:rPr>
          <w:szCs w:val="24"/>
        </w:rPr>
        <w:t xml:space="preserve">Estimate the time delay between the arrival of the sound wave signal of the sound source and the four array elements, and then combine the positional relationship of the array elements </w:t>
      </w:r>
      <w:r w:rsidR="00BD2F10">
        <w:rPr>
          <w:szCs w:val="24"/>
        </w:rPr>
        <w:t>based on</w:t>
      </w:r>
      <w:r>
        <w:rPr>
          <w:szCs w:val="24"/>
        </w:rPr>
        <w:t xml:space="preserve"> obtaining the time delay to obtain the relative coordinates of the sound source relative to the origin of the array. Although the principle is simple and the cost is low, compared with manual methods, the efficiency is much higher, but there are still certain errors. </w:t>
      </w:r>
    </w:p>
    <w:p w14:paraId="2FEE5486" w14:textId="7572799B" w:rsidR="005A0D3F" w:rsidRDefault="00834DAB">
      <w:pPr>
        <w:adjustRightInd w:val="0"/>
        <w:snapToGrid w:val="0"/>
        <w:ind w:firstLine="480"/>
        <w:rPr>
          <w:iCs/>
        </w:rPr>
      </w:pPr>
      <w:r>
        <w:rPr>
          <w:szCs w:val="24"/>
        </w:rPr>
        <w:t xml:space="preserve">As mentioned, such a localization method is automatic, but relies on estimating the errors. The distance between the target and an acoustic sensor is written </w:t>
      </w:r>
      <w:r>
        <w:rPr>
          <w:rFonts w:cs="Times New Roman"/>
          <w:i/>
          <w:iCs/>
        </w:rPr>
        <w:t>d</w:t>
      </w:r>
      <w:r>
        <w:rPr>
          <w:rFonts w:cs="Times New Roman"/>
        </w:rPr>
        <w:t>=</w:t>
      </w:r>
      <w:r>
        <w:rPr>
          <w:rFonts w:cs="Times New Roman"/>
          <w:i/>
          <w:iCs/>
        </w:rPr>
        <w:t>v</w:t>
      </w:r>
      <w:r>
        <w:rPr>
          <w:rFonts w:cs="Times New Roman"/>
          <w:vertAlign w:val="subscript"/>
        </w:rPr>
        <w:t>A</w:t>
      </w:r>
      <w:r>
        <w:rPr>
          <w:rFonts w:cs="Times New Roman"/>
        </w:rPr>
        <w:t>×</w:t>
      </w:r>
      <w:r w:rsidR="00EC681B" w:rsidRPr="00B66F8E">
        <w:rPr>
          <w:rFonts w:cs="Times New Roman"/>
          <w:i/>
          <w:szCs w:val="24"/>
        </w:rPr>
        <w:t>t</w:t>
      </w:r>
      <w:r w:rsidR="00EC681B" w:rsidRPr="00987A0C">
        <w:rPr>
          <w:rFonts w:cs="Times New Roman"/>
          <w:iCs/>
          <w:szCs w:val="24"/>
          <w:vertAlign w:val="subscript"/>
        </w:rPr>
        <w:t>M</w:t>
      </w:r>
      <w:r w:rsidR="00EC681B" w:rsidRPr="00EC681B">
        <w:rPr>
          <w:rFonts w:cs="Times New Roman"/>
          <w:i/>
          <w:szCs w:val="24"/>
          <w:vertAlign w:val="subscript"/>
        </w:rPr>
        <w:t>i</w:t>
      </w:r>
      <w:r w:rsidR="00EC681B" w:rsidRPr="00987A0C">
        <w:rPr>
          <w:rFonts w:cs="Times New Roman"/>
          <w:iCs/>
          <w:szCs w:val="24"/>
          <w:vertAlign w:val="subscript"/>
        </w:rPr>
        <w:t>,M</w:t>
      </w:r>
      <w:r w:rsidR="00EC681B" w:rsidRPr="00EC681B">
        <w:rPr>
          <w:rFonts w:cs="Times New Roman"/>
          <w:i/>
          <w:szCs w:val="24"/>
          <w:vertAlign w:val="subscript"/>
        </w:rPr>
        <w:t>j</w:t>
      </w:r>
      <w:r>
        <w:t>. When the sound path changes due to unknown external interference (e.g. noise, echo, wind noise</w:t>
      </w:r>
      <w:r w:rsidR="00BD31D8">
        <w:t>,</w:t>
      </w:r>
      <w:r>
        <w:t xml:space="preserve"> and other influences), a new tiny delay variable </w:t>
      </w:r>
      <w:r>
        <w:rPr>
          <w:rFonts w:eastAsia="等线" w:cs="Times New Roman"/>
          <w:i/>
          <w:iCs/>
        </w:rPr>
        <w:t>τ</w:t>
      </w:r>
      <w:r>
        <w:t xml:space="preserve"> is introduced, and the distance calculated by the TDOA method becomes</w:t>
      </w:r>
      <w:r>
        <w:rPr>
          <w:rFonts w:cs="Times New Roman"/>
        </w:rPr>
        <w:t xml:space="preserve"> </w:t>
      </w:r>
      <w:r>
        <w:rPr>
          <w:rFonts w:cs="Times New Roman"/>
          <w:i/>
          <w:iCs/>
        </w:rPr>
        <w:t>d’</w:t>
      </w:r>
      <w:r>
        <w:rPr>
          <w:rFonts w:cs="Times New Roman"/>
        </w:rPr>
        <w:t>=</w:t>
      </w:r>
      <w:r>
        <w:rPr>
          <w:rFonts w:cs="Times New Roman"/>
          <w:i/>
          <w:iCs/>
        </w:rPr>
        <w:t>v</w:t>
      </w:r>
      <w:r>
        <w:rPr>
          <w:rFonts w:cs="Times New Roman"/>
          <w:vertAlign w:val="subscript"/>
        </w:rPr>
        <w:t>A</w:t>
      </w:r>
      <w:r w:rsidR="0034789B">
        <w:rPr>
          <w:rFonts w:cs="Times New Roman"/>
        </w:rPr>
        <w:t>× (</w:t>
      </w:r>
      <w:r w:rsidR="00EC681B" w:rsidRPr="00B66F8E">
        <w:rPr>
          <w:rFonts w:cs="Times New Roman"/>
          <w:i/>
          <w:szCs w:val="24"/>
        </w:rPr>
        <w:t>t</w:t>
      </w:r>
      <w:r w:rsidR="00EC681B" w:rsidRPr="00987A0C">
        <w:rPr>
          <w:rFonts w:cs="Times New Roman"/>
          <w:iCs/>
          <w:szCs w:val="24"/>
          <w:vertAlign w:val="subscript"/>
        </w:rPr>
        <w:t>M</w:t>
      </w:r>
      <w:r w:rsidR="00EC681B" w:rsidRPr="00EC681B">
        <w:rPr>
          <w:rFonts w:cs="Times New Roman"/>
          <w:i/>
          <w:szCs w:val="24"/>
          <w:vertAlign w:val="subscript"/>
        </w:rPr>
        <w:t>i</w:t>
      </w:r>
      <w:r w:rsidR="00EC681B" w:rsidRPr="00987A0C">
        <w:rPr>
          <w:rFonts w:cs="Times New Roman"/>
          <w:iCs/>
          <w:szCs w:val="24"/>
          <w:vertAlign w:val="subscript"/>
        </w:rPr>
        <w:t>,M</w:t>
      </w:r>
      <w:r w:rsidR="00EC681B" w:rsidRPr="00EC681B">
        <w:rPr>
          <w:rFonts w:cs="Times New Roman"/>
          <w:i/>
          <w:szCs w:val="24"/>
          <w:vertAlign w:val="subscript"/>
        </w:rPr>
        <w:t>j</w:t>
      </w:r>
      <w:r w:rsidR="00EC681B">
        <w:rPr>
          <w:rFonts w:cs="Times New Roman"/>
        </w:rPr>
        <w:t xml:space="preserve"> </w:t>
      </w:r>
      <w:r>
        <w:rPr>
          <w:rFonts w:cs="Times New Roman"/>
        </w:rPr>
        <w:t>+</w:t>
      </w:r>
      <w:r>
        <w:rPr>
          <w:rFonts w:eastAsia="等线" w:cs="Times New Roman"/>
          <w:i/>
          <w:iCs/>
        </w:rPr>
        <w:t>τ</w:t>
      </w:r>
      <w:r>
        <w:rPr>
          <w:rFonts w:cs="Times New Roman"/>
        </w:rPr>
        <w:t>)</w:t>
      </w:r>
      <w:r>
        <w:t xml:space="preserve">. Here, we simulate a scenario, in which we add random noises. </w:t>
      </w:r>
      <w:r>
        <w:rPr>
          <w:szCs w:val="24"/>
        </w:rPr>
        <w:t xml:space="preserve">Here four sensors with coordinates </w:t>
      </w:r>
      <w:r>
        <w:rPr>
          <w:i/>
        </w:rPr>
        <w:t>N</w:t>
      </w:r>
      <w:r w:rsidRPr="00663F6A">
        <w:rPr>
          <w:iCs/>
          <w:vertAlign w:val="subscript"/>
        </w:rPr>
        <w:t>1</w:t>
      </w:r>
      <w:r>
        <w:t>(</w:t>
      </w:r>
      <w:r w:rsidR="001C3886">
        <w:rPr>
          <w:rFonts w:hint="eastAsia"/>
        </w:rPr>
        <w:t>-</w:t>
      </w:r>
      <m:oMath>
        <m:f>
          <m:fPr>
            <m:ctrlPr>
              <w:rPr>
                <w:rFonts w:ascii="Cambria Math" w:eastAsia="Cambria Math" w:hAnsi="Cambria Math"/>
                <w:i/>
                <w:iCs/>
              </w:rPr>
            </m:ctrlPr>
          </m:fPr>
          <m:num>
            <m:r>
              <w:rPr>
                <w:rFonts w:ascii="Cambria Math" w:eastAsia="Cambria Math" w:hAnsi="Cambria Math"/>
              </w:rPr>
              <m:t>1</m:t>
            </m:r>
          </m:num>
          <m:den>
            <m:r>
              <w:rPr>
                <w:rFonts w:ascii="Cambria Math" w:eastAsia="Cambria Math" w:hAnsi="Cambria Math" w:cs="Cambria Math"/>
              </w:rPr>
              <m:t>2</m:t>
            </m:r>
          </m:den>
        </m:f>
      </m:oMath>
      <w:r w:rsidR="001927BF">
        <w:rPr>
          <w:rFonts w:hint="eastAsia"/>
          <w:i/>
          <w:iCs/>
        </w:rPr>
        <w:t>L</w:t>
      </w:r>
      <w:r w:rsidR="001927BF" w:rsidRPr="00663F6A">
        <w:rPr>
          <w:vertAlign w:val="subscript"/>
        </w:rPr>
        <w:t>m</w:t>
      </w:r>
      <w:r>
        <w:t>,</w:t>
      </w:r>
      <w:r w:rsidR="001C3886">
        <w:t xml:space="preserve"> </w:t>
      </w:r>
      <w:r w:rsidR="001C3886">
        <w:rPr>
          <w:rFonts w:hint="eastAsia"/>
        </w:rPr>
        <w:t>-</w:t>
      </w:r>
      <m:oMath>
        <m:f>
          <m:fPr>
            <m:ctrlPr>
              <w:rPr>
                <w:rFonts w:ascii="Cambria Math" w:eastAsia="Cambria Math" w:hAnsi="Cambria Math"/>
                <w:i/>
                <w:iCs/>
              </w:rPr>
            </m:ctrlPr>
          </m:fPr>
          <m:num>
            <m:r>
              <w:rPr>
                <w:rFonts w:ascii="Cambria Math" w:eastAsia="Cambria Math" w:hAnsi="Cambria Math"/>
              </w:rPr>
              <m:t>1</m:t>
            </m:r>
          </m:num>
          <m:den>
            <m:r>
              <w:rPr>
                <w:rFonts w:ascii="Cambria Math" w:eastAsia="Cambria Math" w:hAnsi="Cambria Math" w:cs="Cambria Math"/>
              </w:rPr>
              <m:t>2</m:t>
            </m:r>
            <m:rad>
              <m:radPr>
                <m:degHide m:val="1"/>
                <m:ctrlPr>
                  <w:rPr>
                    <w:rFonts w:ascii="Cambria Math" w:eastAsia="Cambria Math" w:hAnsi="Cambria Math"/>
                    <w:i/>
                    <w:iCs/>
                  </w:rPr>
                </m:ctrlPr>
              </m:radPr>
              <m:deg/>
              <m:e>
                <m:r>
                  <w:rPr>
                    <w:rFonts w:ascii="Cambria Math" w:eastAsia="Cambria Math" w:hAnsi="Cambria Math"/>
                  </w:rPr>
                  <m:t>3</m:t>
                </m:r>
              </m:e>
            </m:rad>
          </m:den>
        </m:f>
      </m:oMath>
      <w:r w:rsidR="001C3886">
        <w:rPr>
          <w:rFonts w:hint="eastAsia"/>
          <w:i/>
          <w:iCs/>
        </w:rPr>
        <w:t>L</w:t>
      </w:r>
      <w:r w:rsidR="001C3886" w:rsidRPr="00663F6A">
        <w:rPr>
          <w:vertAlign w:val="subscript"/>
        </w:rPr>
        <w:t>m</w:t>
      </w:r>
      <w:r>
        <w:t xml:space="preserve">, 0), </w:t>
      </w:r>
      <w:r>
        <w:rPr>
          <w:i/>
        </w:rPr>
        <w:t>N</w:t>
      </w:r>
      <w:r w:rsidRPr="00663F6A">
        <w:rPr>
          <w:iCs/>
          <w:vertAlign w:val="subscript"/>
        </w:rPr>
        <w:t>2</w:t>
      </w:r>
      <w:r w:rsidR="001C3886">
        <w:t>(</w:t>
      </w:r>
      <m:oMath>
        <m:f>
          <m:fPr>
            <m:ctrlPr>
              <w:rPr>
                <w:rFonts w:ascii="Cambria Math" w:eastAsia="Cambria Math" w:hAnsi="Cambria Math"/>
                <w:i/>
                <w:iCs/>
              </w:rPr>
            </m:ctrlPr>
          </m:fPr>
          <m:num>
            <m:r>
              <w:rPr>
                <w:rFonts w:ascii="Cambria Math" w:eastAsia="Cambria Math" w:hAnsi="Cambria Math"/>
              </w:rPr>
              <m:t>1</m:t>
            </m:r>
          </m:num>
          <m:den>
            <m:r>
              <w:rPr>
                <w:rFonts w:ascii="Cambria Math" w:eastAsia="Cambria Math" w:hAnsi="Cambria Math" w:cs="Cambria Math"/>
              </w:rPr>
              <m:t>2</m:t>
            </m:r>
          </m:den>
        </m:f>
      </m:oMath>
      <w:r w:rsidR="001927BF">
        <w:rPr>
          <w:rFonts w:hint="eastAsia"/>
          <w:i/>
          <w:iCs/>
        </w:rPr>
        <w:t>L</w:t>
      </w:r>
      <w:r w:rsidR="001927BF" w:rsidRPr="00663F6A">
        <w:rPr>
          <w:vertAlign w:val="subscript"/>
        </w:rPr>
        <w:t>m</w:t>
      </w:r>
      <w:r w:rsidR="001C3886">
        <w:t xml:space="preserve">, </w:t>
      </w:r>
      <w:r w:rsidR="001C3886">
        <w:rPr>
          <w:rFonts w:hint="eastAsia"/>
        </w:rPr>
        <w:t>-</w:t>
      </w:r>
      <m:oMath>
        <m:f>
          <m:fPr>
            <m:ctrlPr>
              <w:rPr>
                <w:rFonts w:ascii="Cambria Math" w:eastAsia="Cambria Math" w:hAnsi="Cambria Math"/>
                <w:i/>
                <w:iCs/>
              </w:rPr>
            </m:ctrlPr>
          </m:fPr>
          <m:num>
            <m:r>
              <w:rPr>
                <w:rFonts w:ascii="Cambria Math" w:eastAsia="Cambria Math" w:hAnsi="Cambria Math"/>
              </w:rPr>
              <m:t>1</m:t>
            </m:r>
          </m:num>
          <m:den>
            <m:r>
              <w:rPr>
                <w:rFonts w:ascii="Cambria Math" w:eastAsia="Cambria Math" w:hAnsi="Cambria Math" w:cs="Cambria Math"/>
              </w:rPr>
              <m:t>2</m:t>
            </m:r>
            <m:rad>
              <m:radPr>
                <m:degHide m:val="1"/>
                <m:ctrlPr>
                  <w:rPr>
                    <w:rFonts w:ascii="Cambria Math" w:eastAsia="Cambria Math" w:hAnsi="Cambria Math"/>
                    <w:i/>
                    <w:iCs/>
                  </w:rPr>
                </m:ctrlPr>
              </m:radPr>
              <m:deg/>
              <m:e>
                <m:r>
                  <w:rPr>
                    <w:rFonts w:ascii="Cambria Math" w:eastAsia="Cambria Math" w:hAnsi="Cambria Math"/>
                  </w:rPr>
                  <m:t>3</m:t>
                </m:r>
              </m:e>
            </m:rad>
          </m:den>
        </m:f>
      </m:oMath>
      <w:r w:rsidR="001C3886">
        <w:rPr>
          <w:rFonts w:hint="eastAsia"/>
          <w:i/>
          <w:iCs/>
        </w:rPr>
        <w:t>L</w:t>
      </w:r>
      <w:r w:rsidR="001C3886" w:rsidRPr="00663F6A">
        <w:rPr>
          <w:vertAlign w:val="subscript"/>
        </w:rPr>
        <w:t>m</w:t>
      </w:r>
      <w:r w:rsidR="001C3886">
        <w:t>, 0)</w:t>
      </w:r>
      <w:r>
        <w:t xml:space="preserve">, </w:t>
      </w:r>
      <w:r>
        <w:rPr>
          <w:i/>
        </w:rPr>
        <w:t>N</w:t>
      </w:r>
      <w:r w:rsidRPr="00663F6A">
        <w:rPr>
          <w:iCs/>
          <w:vertAlign w:val="subscript"/>
        </w:rPr>
        <w:t>3</w:t>
      </w:r>
      <w:r>
        <w:t>(0</w:t>
      </w:r>
      <w:r>
        <w:rPr>
          <w:i/>
          <w:iCs/>
        </w:rPr>
        <w:t xml:space="preserve">, </w:t>
      </w:r>
      <m:oMath>
        <m:f>
          <m:fPr>
            <m:ctrlPr>
              <w:rPr>
                <w:rFonts w:ascii="Cambria Math" w:eastAsia="Cambria Math" w:hAnsi="Cambria Math"/>
                <w:iCs/>
              </w:rPr>
            </m:ctrlPr>
          </m:fPr>
          <m:num>
            <m:r>
              <w:rPr>
                <w:rFonts w:ascii="Cambria Math" w:hAnsi="Cambria Math" w:hint="eastAsia"/>
              </w:rPr>
              <m:t>1</m:t>
            </m:r>
          </m:num>
          <m:den>
            <m:rad>
              <m:radPr>
                <m:degHide m:val="1"/>
                <m:ctrlPr>
                  <w:rPr>
                    <w:rFonts w:ascii="Cambria Math" w:eastAsia="Cambria Math" w:hAnsi="Cambria Math"/>
                    <w:iCs/>
                  </w:rPr>
                </m:ctrlPr>
              </m:radPr>
              <m:deg/>
              <m:e>
                <m:r>
                  <w:rPr>
                    <w:rFonts w:ascii="Cambria Math" w:eastAsia="Cambria Math" w:hAnsi="Cambria Math"/>
                  </w:rPr>
                  <m:t>3</m:t>
                </m:r>
              </m:e>
            </m:rad>
          </m:den>
        </m:f>
      </m:oMath>
      <w:r>
        <w:rPr>
          <w:rFonts w:hint="eastAsia"/>
          <w:i/>
          <w:iCs/>
        </w:rPr>
        <w:t>L</w:t>
      </w:r>
      <w:r w:rsidRPr="00663F6A">
        <w:rPr>
          <w:vertAlign w:val="subscript"/>
        </w:rPr>
        <w:t>m</w:t>
      </w:r>
      <w:r>
        <w:t xml:space="preserve">, 0), </w:t>
      </w:r>
      <w:r>
        <w:rPr>
          <w:i/>
        </w:rPr>
        <w:t>N</w:t>
      </w:r>
      <w:r w:rsidRPr="005D0C6B">
        <w:rPr>
          <w:iCs/>
          <w:vertAlign w:val="subscript"/>
        </w:rPr>
        <w:t>4</w:t>
      </w:r>
      <w:r>
        <w:t>(0,</w:t>
      </w:r>
      <m:oMath>
        <m:r>
          <w:rPr>
            <w:rFonts w:ascii="Cambria Math" w:eastAsia="Cambria Math" w:hAnsi="Cambria Math"/>
          </w:rPr>
          <m:t xml:space="preserve"> </m:t>
        </m:r>
        <m:r>
          <w:rPr>
            <w:rFonts w:ascii="Cambria Math" w:hAnsi="Cambria Math" w:hint="eastAsia"/>
          </w:rPr>
          <m:t>0</m:t>
        </m:r>
      </m:oMath>
      <w:r>
        <w:rPr>
          <w:i/>
          <w:iCs/>
        </w:rPr>
        <w:t xml:space="preserve">, </w:t>
      </w:r>
      <m:oMath>
        <m:f>
          <m:fPr>
            <m:ctrlPr>
              <w:rPr>
                <w:rFonts w:ascii="Cambria Math" w:eastAsia="Cambria Math" w:hAnsi="Cambria Math"/>
                <w:iCs/>
              </w:rPr>
            </m:ctrlPr>
          </m:fPr>
          <m:num>
            <m:rad>
              <m:radPr>
                <m:degHide m:val="1"/>
                <m:ctrlPr>
                  <w:rPr>
                    <w:rFonts w:ascii="Cambria Math" w:eastAsia="Cambria Math" w:hAnsi="Cambria Math"/>
                    <w:iCs/>
                  </w:rPr>
                </m:ctrlPr>
              </m:radPr>
              <m:deg/>
              <m:e>
                <m:r>
                  <w:rPr>
                    <w:rFonts w:ascii="Cambria Math" w:hAnsi="Cambria Math" w:hint="eastAsia"/>
                  </w:rPr>
                  <m:t>2</m:t>
                </m:r>
              </m:e>
            </m:rad>
          </m:num>
          <m:den>
            <m:rad>
              <m:radPr>
                <m:degHide m:val="1"/>
                <m:ctrlPr>
                  <w:rPr>
                    <w:rFonts w:ascii="Cambria Math" w:eastAsia="Cambria Math" w:hAnsi="Cambria Math"/>
                    <w:iCs/>
                  </w:rPr>
                </m:ctrlPr>
              </m:radPr>
              <m:deg/>
              <m:e>
                <m:r>
                  <w:rPr>
                    <w:rFonts w:ascii="Cambria Math" w:eastAsia="Cambria Math" w:hAnsi="Cambria Math"/>
                  </w:rPr>
                  <m:t>3</m:t>
                </m:r>
              </m:e>
            </m:rad>
          </m:den>
        </m:f>
      </m:oMath>
      <w:r w:rsidR="005D0C6B">
        <w:rPr>
          <w:rFonts w:hint="eastAsia"/>
          <w:i/>
          <w:iCs/>
        </w:rPr>
        <w:t>L</w:t>
      </w:r>
      <w:r w:rsidR="005D0C6B" w:rsidRPr="00663F6A">
        <w:rPr>
          <w:vertAlign w:val="subscript"/>
        </w:rPr>
        <w:t>m</w:t>
      </w:r>
      <w:r>
        <w:t xml:space="preserve">) are used, </w:t>
      </w:r>
      <w:r>
        <w:rPr>
          <w:rFonts w:hint="eastAsia"/>
          <w:i/>
          <w:iCs/>
        </w:rPr>
        <w:t>L</w:t>
      </w:r>
      <w:r w:rsidRPr="00663F6A">
        <w:rPr>
          <w:vertAlign w:val="subscript"/>
        </w:rPr>
        <w:t>m</w:t>
      </w:r>
      <w:r>
        <w:rPr>
          <w:iCs/>
        </w:rPr>
        <w:t xml:space="preserve"> = 0.4 m, and the target’s coordinate </w:t>
      </w:r>
      <w:r>
        <w:rPr>
          <w:i/>
          <w:iCs/>
        </w:rPr>
        <w:t xml:space="preserve">Target </w:t>
      </w:r>
      <w:r>
        <w:t>(</w:t>
      </w:r>
      <w:r>
        <w:rPr>
          <w:i/>
        </w:rPr>
        <w:t>x, y, z</w:t>
      </w:r>
      <w:r>
        <w:t>) is arbitrarily set</w:t>
      </w:r>
      <w:r>
        <w:rPr>
          <w:iCs/>
        </w:rPr>
        <w:t xml:space="preserve">. Assuming four cases, </w:t>
      </w:r>
      <w:r w:rsidRPr="004459EF">
        <w:t>SNR</w:t>
      </w:r>
      <w:r>
        <w:rPr>
          <w:iCs/>
        </w:rPr>
        <w:t xml:space="preserve"> = 3 dB, 5 dB, 10 dB and 15 dB, </w:t>
      </w:r>
      <w:r>
        <w:rPr>
          <w:b/>
          <w:iCs/>
        </w:rPr>
        <w:t>Fig. S4</w:t>
      </w:r>
      <w:r>
        <w:rPr>
          <w:iCs/>
        </w:rPr>
        <w:t xml:space="preserve"> shows the simulated results. Through 1000 calcul</w:t>
      </w:r>
      <w:r>
        <w:rPr>
          <w:rFonts w:cs="Times New Roman"/>
          <w:iCs/>
        </w:rPr>
        <w:t xml:space="preserve">ations, we confirm that the error of localization becomes smaller when the SNR is higher. </w:t>
      </w:r>
      <w:r>
        <w:rPr>
          <w:rFonts w:cs="Times New Roman"/>
          <w:b/>
          <w:iCs/>
        </w:rPr>
        <w:t>Fig. S4a</w:t>
      </w:r>
      <w:r>
        <w:rPr>
          <w:rFonts w:cs="Times New Roman"/>
          <w:iCs/>
        </w:rPr>
        <w:t xml:space="preserve"> shows the measured </w:t>
      </w:r>
      <w:r>
        <w:rPr>
          <w:rFonts w:eastAsia="等线" w:cs="Times New Roman"/>
          <w:iCs/>
        </w:rPr>
        <w:t>Δ</w:t>
      </w:r>
      <w:r>
        <w:rPr>
          <w:rFonts w:cs="Times New Roman"/>
          <w:i/>
          <w:iCs/>
        </w:rPr>
        <w:t>d</w:t>
      </w:r>
      <w:r>
        <w:rPr>
          <w:rFonts w:cs="Times New Roman"/>
          <w:iCs/>
        </w:rPr>
        <w:t xml:space="preserve">, where </w:t>
      </w:r>
      <w:r>
        <w:rPr>
          <w:rFonts w:eastAsia="等线" w:cs="Times New Roman"/>
          <w:iCs/>
        </w:rPr>
        <w:t>Δ</w:t>
      </w:r>
      <w:r>
        <w:rPr>
          <w:rFonts w:cs="Times New Roman"/>
          <w:i/>
          <w:iCs/>
        </w:rPr>
        <w:t xml:space="preserve">d = </w:t>
      </w:r>
      <w:r w:rsidRPr="004F056A">
        <w:rPr>
          <w:rFonts w:cs="Times New Roman"/>
        </w:rPr>
        <w:t>[(</w:t>
      </w:r>
      <w:r>
        <w:rPr>
          <w:rFonts w:cs="Times New Roman"/>
          <w:i/>
          <w:iCs/>
        </w:rPr>
        <w:t>x-x</w:t>
      </w:r>
      <w:r w:rsidRPr="005D1EBA">
        <w:rPr>
          <w:rFonts w:cs="Times New Roman"/>
          <w:vertAlign w:val="subscript"/>
        </w:rPr>
        <w:t>m</w:t>
      </w:r>
      <w:r>
        <w:rPr>
          <w:rFonts w:cs="Times New Roman"/>
          <w:iCs/>
        </w:rPr>
        <w:t>)</w:t>
      </w:r>
      <w:r w:rsidRPr="00473D8E">
        <w:rPr>
          <w:rFonts w:cs="Times New Roman"/>
          <w:vertAlign w:val="superscript"/>
        </w:rPr>
        <w:t>2</w:t>
      </w:r>
      <w:r>
        <w:rPr>
          <w:rFonts w:cs="Times New Roman"/>
          <w:i/>
          <w:iCs/>
        </w:rPr>
        <w:t>+</w:t>
      </w:r>
      <w:r>
        <w:rPr>
          <w:rFonts w:cs="Times New Roman"/>
          <w:iCs/>
        </w:rPr>
        <w:t>(</w:t>
      </w:r>
      <w:r>
        <w:rPr>
          <w:rFonts w:cs="Times New Roman"/>
          <w:i/>
          <w:iCs/>
        </w:rPr>
        <w:t>y-y</w:t>
      </w:r>
      <w:r w:rsidRPr="005D1EBA">
        <w:rPr>
          <w:rFonts w:cs="Times New Roman"/>
          <w:vertAlign w:val="subscript"/>
        </w:rPr>
        <w:t>m</w:t>
      </w:r>
      <w:r>
        <w:rPr>
          <w:rFonts w:cs="Times New Roman"/>
          <w:iCs/>
        </w:rPr>
        <w:t>)</w:t>
      </w:r>
      <w:r w:rsidRPr="00473D8E">
        <w:rPr>
          <w:rFonts w:cs="Times New Roman"/>
          <w:vertAlign w:val="superscript"/>
        </w:rPr>
        <w:t>2</w:t>
      </w:r>
      <w:r>
        <w:rPr>
          <w:rFonts w:cs="Times New Roman"/>
          <w:i/>
          <w:iCs/>
        </w:rPr>
        <w:t>+</w:t>
      </w:r>
      <w:r>
        <w:rPr>
          <w:rFonts w:cs="Times New Roman"/>
          <w:iCs/>
        </w:rPr>
        <w:t>(</w:t>
      </w:r>
      <w:r>
        <w:rPr>
          <w:rFonts w:cs="Times New Roman"/>
          <w:i/>
          <w:iCs/>
        </w:rPr>
        <w:t>z-z</w:t>
      </w:r>
      <w:r w:rsidRPr="005D1EBA">
        <w:rPr>
          <w:rFonts w:cs="Times New Roman"/>
          <w:vertAlign w:val="subscript"/>
        </w:rPr>
        <w:t>m</w:t>
      </w:r>
      <w:r>
        <w:rPr>
          <w:rFonts w:cs="Times New Roman"/>
          <w:iCs/>
        </w:rPr>
        <w:t>)</w:t>
      </w:r>
      <w:r w:rsidRPr="00473D8E">
        <w:rPr>
          <w:rFonts w:cs="Times New Roman"/>
          <w:vertAlign w:val="superscript"/>
        </w:rPr>
        <w:t>2</w:t>
      </w:r>
      <w:r w:rsidRPr="00473D8E">
        <w:rPr>
          <w:rFonts w:cs="Times New Roman"/>
        </w:rPr>
        <w:t>]</w:t>
      </w:r>
      <w:r w:rsidRPr="00473D8E">
        <w:rPr>
          <w:rFonts w:cs="Times New Roman"/>
          <w:vertAlign w:val="superscript"/>
        </w:rPr>
        <w:t>1/2</w:t>
      </w:r>
      <w:r w:rsidRPr="00473D8E">
        <w:rPr>
          <w:rFonts w:cs="Times New Roman"/>
        </w:rPr>
        <w:t>.</w:t>
      </w:r>
      <w:r>
        <w:rPr>
          <w:rFonts w:cs="Times New Roman"/>
          <w:i/>
          <w:iCs/>
        </w:rPr>
        <w:t xml:space="preserve"> </w:t>
      </w:r>
      <w:r>
        <w:rPr>
          <w:rFonts w:cs="Times New Roman"/>
          <w:iCs/>
        </w:rPr>
        <w:t xml:space="preserve">Here </w:t>
      </w:r>
      <w:r>
        <w:rPr>
          <w:rFonts w:cs="Times New Roman"/>
          <w:i/>
          <w:iCs/>
        </w:rPr>
        <w:t>Target</w:t>
      </w:r>
      <w:r>
        <w:rPr>
          <w:rFonts w:cs="Times New Roman"/>
          <w:iCs/>
          <w:vertAlign w:val="subscript"/>
        </w:rPr>
        <w:t xml:space="preserve">m </w:t>
      </w:r>
      <w:r>
        <w:rPr>
          <w:rFonts w:cs="Times New Roman"/>
          <w:iCs/>
        </w:rPr>
        <w:t>(</w:t>
      </w:r>
      <w:r>
        <w:rPr>
          <w:rFonts w:cs="Times New Roman"/>
          <w:i/>
          <w:iCs/>
        </w:rPr>
        <w:t>x</w:t>
      </w:r>
      <w:r w:rsidRPr="005D1EBA">
        <w:rPr>
          <w:rFonts w:cs="Times New Roman"/>
          <w:vertAlign w:val="subscript"/>
        </w:rPr>
        <w:t>m</w:t>
      </w:r>
      <w:r>
        <w:rPr>
          <w:rFonts w:cs="Times New Roman"/>
          <w:i/>
          <w:iCs/>
        </w:rPr>
        <w:t>,</w:t>
      </w:r>
      <w:r>
        <w:rPr>
          <w:rFonts w:cs="Times New Roman"/>
          <w:iCs/>
        </w:rPr>
        <w:t xml:space="preserve"> </w:t>
      </w:r>
      <w:r>
        <w:rPr>
          <w:rFonts w:cs="Times New Roman"/>
          <w:i/>
          <w:iCs/>
        </w:rPr>
        <w:t>y</w:t>
      </w:r>
      <w:r w:rsidRPr="005D1EBA">
        <w:rPr>
          <w:rFonts w:cs="Times New Roman"/>
          <w:vertAlign w:val="subscript"/>
        </w:rPr>
        <w:t>m</w:t>
      </w:r>
      <w:r>
        <w:rPr>
          <w:rFonts w:cs="Times New Roman"/>
          <w:iCs/>
        </w:rPr>
        <w:t xml:space="preserve">, </w:t>
      </w:r>
      <w:r>
        <w:rPr>
          <w:rFonts w:cs="Times New Roman"/>
          <w:i/>
          <w:iCs/>
        </w:rPr>
        <w:t>z</w:t>
      </w:r>
      <w:r w:rsidRPr="005D1EBA">
        <w:rPr>
          <w:rFonts w:cs="Times New Roman"/>
          <w:vertAlign w:val="subscript"/>
        </w:rPr>
        <w:t>m</w:t>
      </w:r>
      <w:r>
        <w:rPr>
          <w:rFonts w:cs="Times New Roman"/>
          <w:iCs/>
        </w:rPr>
        <w:t xml:space="preserve">) is the measured coordinate of the target. According to statistics, </w:t>
      </w:r>
      <w:r>
        <w:rPr>
          <w:rFonts w:cs="Times New Roman"/>
          <w:b/>
          <w:iCs/>
        </w:rPr>
        <w:t>Fig. S4b</w:t>
      </w:r>
      <w:r>
        <w:rPr>
          <w:rFonts w:cs="Times New Roman"/>
          <w:iCs/>
        </w:rPr>
        <w:t xml:space="preserve"> shows the distribution intervals of the measurement error, while </w:t>
      </w:r>
      <w:r>
        <w:rPr>
          <w:rFonts w:cs="Times New Roman"/>
          <w:b/>
          <w:iCs/>
        </w:rPr>
        <w:t xml:space="preserve">Fig. </w:t>
      </w:r>
      <w:r>
        <w:rPr>
          <w:rFonts w:cs="Times New Roman"/>
          <w:b/>
          <w:iCs/>
        </w:rPr>
        <w:lastRenderedPageBreak/>
        <w:t>S4c</w:t>
      </w:r>
      <w:r>
        <w:rPr>
          <w:rFonts w:cs="Times New Roman"/>
          <w:iCs/>
        </w:rPr>
        <w:t xml:space="preserve"> shows when we want an error &lt; 2 cm, how many times we need to measure. </w:t>
      </w:r>
    </w:p>
    <w:p w14:paraId="6C205C91" w14:textId="533032D9" w:rsidR="005A0D3F" w:rsidRDefault="009C3EC9">
      <w:pPr>
        <w:adjustRightInd w:val="0"/>
        <w:snapToGrid w:val="0"/>
        <w:ind w:firstLineChars="0" w:firstLine="0"/>
        <w:jc w:val="center"/>
        <w:rPr>
          <w:iCs/>
        </w:rPr>
      </w:pPr>
      <w:r>
        <w:rPr>
          <w:iCs/>
          <w:noProof/>
        </w:rPr>
        <w:drawing>
          <wp:inline distT="0" distB="0" distL="0" distR="0" wp14:anchorId="7B1B7FC0" wp14:editId="6900EF8B">
            <wp:extent cx="6120000" cy="289263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r="2954"/>
                    <a:stretch/>
                  </pic:blipFill>
                  <pic:spPr bwMode="auto">
                    <a:xfrm>
                      <a:off x="0" y="0"/>
                      <a:ext cx="6120000" cy="2892632"/>
                    </a:xfrm>
                    <a:prstGeom prst="rect">
                      <a:avLst/>
                    </a:prstGeom>
                    <a:noFill/>
                    <a:ln>
                      <a:noFill/>
                    </a:ln>
                    <a:extLst>
                      <a:ext uri="{53640926-AAD7-44D8-BBD7-CCE9431645EC}">
                        <a14:shadowObscured xmlns:a14="http://schemas.microsoft.com/office/drawing/2010/main"/>
                      </a:ext>
                    </a:extLst>
                  </pic:spPr>
                </pic:pic>
              </a:graphicData>
            </a:graphic>
          </wp:inline>
        </w:drawing>
      </w:r>
    </w:p>
    <w:p w14:paraId="308C0696" w14:textId="3AEBDD82" w:rsidR="005A0D3F" w:rsidRDefault="00834DAB">
      <w:pPr>
        <w:adjustRightInd w:val="0"/>
        <w:snapToGrid w:val="0"/>
        <w:ind w:firstLineChars="0" w:firstLine="0"/>
      </w:pPr>
      <w:r>
        <w:rPr>
          <w:b/>
        </w:rPr>
        <w:t>Fig.S4. Simulated accuracy when using the TDOA.</w:t>
      </w:r>
      <w:r>
        <w:t xml:space="preserve"> </w:t>
      </w:r>
      <w:r>
        <w:rPr>
          <w:b/>
        </w:rPr>
        <w:t>a,</w:t>
      </w:r>
      <w:r>
        <w:t xml:space="preserve"> 1000 measu</w:t>
      </w:r>
      <w:r>
        <w:rPr>
          <w:rFonts w:cs="Times New Roman"/>
        </w:rPr>
        <w:t xml:space="preserve">red </w:t>
      </w:r>
      <w:r>
        <w:rPr>
          <w:rFonts w:eastAsia="等线" w:cs="Times New Roman"/>
        </w:rPr>
        <w:t>Δ</w:t>
      </w:r>
      <w:r>
        <w:rPr>
          <w:rFonts w:cs="Times New Roman"/>
          <w:i/>
        </w:rPr>
        <w:t>d</w:t>
      </w:r>
      <w:r>
        <w:rPr>
          <w:rFonts w:cs="Times New Roman"/>
        </w:rPr>
        <w:t xml:space="preserve"> </w:t>
      </w:r>
      <w:r>
        <w:t>numbers when the SNR is 3 dB, 5 dB, 10 dB</w:t>
      </w:r>
      <w:r w:rsidR="004D4E44">
        <w:t>,</w:t>
      </w:r>
      <w:r>
        <w:t xml:space="preserve"> and 15 dB. </w:t>
      </w:r>
      <w:r>
        <w:rPr>
          <w:b/>
        </w:rPr>
        <w:t>b,</w:t>
      </w:r>
      <w:r>
        <w:t xml:space="preserve"> Statistical histogram of TDOA error. </w:t>
      </w:r>
      <w:r>
        <w:rPr>
          <w:b/>
        </w:rPr>
        <w:t xml:space="preserve">c, </w:t>
      </w:r>
      <w:r>
        <w:t xml:space="preserve">Probability to reach an error &lt; cm after repeated measurements. </w:t>
      </w:r>
    </w:p>
    <w:p w14:paraId="06E56F27" w14:textId="77777777" w:rsidR="005A0D3F" w:rsidRDefault="00834DAB">
      <w:pPr>
        <w:pStyle w:val="3"/>
        <w:adjustRightInd w:val="0"/>
        <w:snapToGrid w:val="0"/>
        <w:spacing w:before="0" w:after="0" w:line="360" w:lineRule="auto"/>
        <w:ind w:firstLineChars="0" w:firstLine="0"/>
        <w:rPr>
          <w:sz w:val="28"/>
        </w:rPr>
      </w:pPr>
      <w:r>
        <w:rPr>
          <w:sz w:val="28"/>
        </w:rPr>
        <w:t>Note S2</w:t>
      </w:r>
      <w:r>
        <w:rPr>
          <w:rFonts w:hint="eastAsia"/>
          <w:sz w:val="28"/>
        </w:rPr>
        <w:t>.</w:t>
      </w:r>
      <w:r>
        <w:rPr>
          <w:sz w:val="28"/>
        </w:rPr>
        <w:t xml:space="preserve"> Supplementary experimental details. </w:t>
      </w:r>
    </w:p>
    <w:p w14:paraId="2AE5E9A9" w14:textId="77777777" w:rsidR="005A0D3F" w:rsidRDefault="00834DAB">
      <w:pPr>
        <w:pStyle w:val="2"/>
        <w:adjustRightInd w:val="0"/>
        <w:snapToGrid w:val="0"/>
      </w:pPr>
      <w:r>
        <w:t>S</w:t>
      </w:r>
      <w:r>
        <w:rPr>
          <w:rFonts w:hint="eastAsia"/>
        </w:rPr>
        <w:t>2</w:t>
      </w:r>
      <w:r>
        <w:t>.1. Preparation of micro-structured MEMS films.</w:t>
      </w:r>
    </w:p>
    <w:p w14:paraId="5141BE9A" w14:textId="2FDF534C" w:rsidR="005A0D3F" w:rsidRDefault="00834DAB">
      <w:pPr>
        <w:adjustRightInd w:val="0"/>
        <w:snapToGrid w:val="0"/>
        <w:ind w:firstLine="480"/>
      </w:pPr>
      <w:r>
        <w:t xml:space="preserve">The manufacturing process flow of periodic annular corrugated MEMS film is shown in </w:t>
      </w:r>
      <w:r>
        <w:rPr>
          <w:b/>
          <w:bCs/>
        </w:rPr>
        <w:t>Fig. S5</w:t>
      </w:r>
      <w:r>
        <w:t>. The fabrication steps can be summarized as follows (</w:t>
      </w:r>
      <w:r>
        <w:rPr>
          <w:b/>
        </w:rPr>
        <w:t>Fig. S5a</w:t>
      </w:r>
      <w:r>
        <w:t>):</w:t>
      </w:r>
      <w:bookmarkStart w:id="16" w:name="OLE_LINK1"/>
      <w:r>
        <w:t xml:space="preserve"> First</w:t>
      </w:r>
      <w:r w:rsidR="004D4E44">
        <w:t>,</w:t>
      </w:r>
      <w:r>
        <w:t xml:space="preserve"> we cover a layer of evenly coated photoresist on the silicon wafer substrate (i). Then a photolithography mask with a periodic annular corrugation pattern is prepared (ii). After photoresist lithography, the pattern on the photoresist mask is transferred to the photoresist coating on the silicon wafer surface (iii). After the annular corrugation pattern is successfully transferred, the silicon wafer with the shape of the photoresist coating is etched using the reactive ion etching (RIE) method </w:t>
      </w:r>
      <w:r w:rsidRPr="00FE76DC">
        <w:t>[</w:t>
      </w:r>
      <w:r w:rsidR="00FE76DC">
        <w:fldChar w:fldCharType="begin"/>
      </w:r>
      <w:r w:rsidR="00FE76DC">
        <w:instrText xml:space="preserve"> ADDIN ZOTERO_ITEM CSL_CITATION {"citationID":"uuOc8pXU","properties":{"formattedCitation":"\\super 10\\nosupersub{}","plainCitation":"10","noteIndex":0},"citationItems":[{"id":68,"uris":["http://zotero.org/users/local/9OUzPziK/items/ZGCXNEZ3"],"itemData":{"id":68,"type":"article-journal","abstract":"This article is a brief review of dry etching as applied to pattern transfer, primarily in silicon technology. It focuses on concepts and topics for etching materials of interest in micromechanics. The basis of plasma-assisted etching, the main dry etching technique, is explained and plasma system configurations are described such as reactive ion etching (RIE). An important feature of RIE is its ability to achieve etch directionality. The mechanism behind this directionality and various plasma chemistries to fulfil this task will be explained. Multi-step plasma chemistries are found to be useful to etch, release and passivate micromechanical structures in one run successfully. Plasma etching is extremely sensitive to many variables, making etch results inconsistent and irreproducible. Therefore, important plasma parameters, mask materials and their influences will be treated. Moreover, RIE has its own specific problems, and solutions will be formulated. The result of an RIE process depends in a non-linear way on a great number of parameters. Therefore, a careful data acquisition is necessary. Also, plasma monitoring is needed for the determination of the etch end point for a given process. This review is ended with some promising current trends in plasma etching.","container-title":"Journal of Micromechanics and Microengineering","DOI":"10.1088/0960-1317/6/1/002","ISSN":"0960-1317","issue":"1","journalAbbreviation":"J. Micromech. Microeng.","language":"en","page":"14","source":"Institute of Physics","title":"A survey on the reactive ion etching of silicon in microtechnology","volume":"6","author":[{"family":"Jansen","given":"Henri"},{"family":"Gardeniers","given":"Han"},{"family":"Boer","given":"Meint","dropping-particle":"de"},{"family":"Elwenspoek","given":"Miko"},{"family":"Fluitman","given":"Jan"}],"issued":{"date-parts":[["1996",3]]}}}],"schema":"https://github.com/citation-style-language/schema/raw/master/csl-citation.json"} </w:instrText>
      </w:r>
      <w:r w:rsidR="00FE76DC">
        <w:fldChar w:fldCharType="separate"/>
      </w:r>
      <w:r w:rsidR="00FE76DC" w:rsidRPr="00FE76DC">
        <w:rPr>
          <w:rFonts w:cs="Times New Roman"/>
          <w:kern w:val="0"/>
          <w:szCs w:val="24"/>
          <w:vertAlign w:val="superscript"/>
        </w:rPr>
        <w:t>10</w:t>
      </w:r>
      <w:r w:rsidR="00FE76DC">
        <w:fldChar w:fldCharType="end"/>
      </w:r>
      <w:r w:rsidRPr="00FE76DC">
        <w:t>]</w:t>
      </w:r>
      <w:r>
        <w:t xml:space="preserve">, see step (iv). Afterwards, the photoresist coating on the surface of the silicon wafer is immersed in pure acetone and washed away via ultrasonic vibration cleaning. Then, an annular corrugated silicon nitride film was deposited on the surface of the silicon substrate by </w:t>
      </w:r>
      <w:bookmarkStart w:id="17" w:name="_Hlk163061037"/>
      <w:r>
        <w:t>plasma-enhanced chemical vapor deposition (PECVD)</w:t>
      </w:r>
      <w:bookmarkEnd w:id="17"/>
      <w:r>
        <w:t xml:space="preserve">, as step (v) shows. Finally, the silicon substrate is etched away to obtain the silicon nitride film with a thickness of several hundred nanometers (vi). </w:t>
      </w:r>
      <w:bookmarkEnd w:id="16"/>
      <w:r>
        <w:t xml:space="preserve">In </w:t>
      </w:r>
      <w:r>
        <w:rPr>
          <w:b/>
        </w:rPr>
        <w:t>Fig. S5b</w:t>
      </w:r>
      <w:r>
        <w:t xml:space="preserve">, we show the samples of the fabricated MEMS silicon nitride films, verifying that this component can be prepared on a large scale, </w:t>
      </w:r>
      <w:r>
        <w:rPr>
          <w:rFonts w:hint="eastAsia"/>
        </w:rPr>
        <w:t>w</w:t>
      </w:r>
      <w:r>
        <w:t>ith high consistency. The size of every sample is 1.9×1.9mm</w:t>
      </w:r>
      <w:r>
        <w:rPr>
          <w:rFonts w:hint="eastAsia"/>
          <w:vertAlign w:val="superscript"/>
        </w:rPr>
        <w:t>2</w:t>
      </w:r>
      <w:r>
        <w:t xml:space="preserve">. In </w:t>
      </w:r>
      <w:r>
        <w:rPr>
          <w:b/>
        </w:rPr>
        <w:t>Fig. S5c</w:t>
      </w:r>
      <w:r>
        <w:t xml:space="preserve">, we show the scanning electron microscopic pictures of a single film. The width of each ring's channel is 25 </w:t>
      </w:r>
      <w:r>
        <w:rPr>
          <w:rFonts w:cs="Times New Roman"/>
        </w:rPr>
        <w:t>μ</w:t>
      </w:r>
      <w:r>
        <w:t xml:space="preserve">m. The innermost concentric ring has a diameter of </w:t>
      </w:r>
      <w:r w:rsidR="005024AB">
        <w:t>1.15</w:t>
      </w:r>
      <w:r>
        <w:t xml:space="preserve"> mm, and the outer concentric ring has a diameter of 1.</w:t>
      </w:r>
      <w:r w:rsidR="00C86A4B">
        <w:t xml:space="preserve">6 </w:t>
      </w:r>
      <w:r>
        <w:t xml:space="preserve">mm. </w:t>
      </w:r>
      <w:r w:rsidR="00E56E2B">
        <w:t>The thickness</w:t>
      </w:r>
      <w:r>
        <w:t xml:space="preserve"> of the film is 400 nm. </w:t>
      </w:r>
    </w:p>
    <w:p w14:paraId="656C8AA1" w14:textId="194BE138" w:rsidR="005A0D3F" w:rsidRDefault="00E83234">
      <w:pPr>
        <w:adjustRightInd w:val="0"/>
        <w:snapToGrid w:val="0"/>
        <w:ind w:firstLineChars="0" w:firstLine="0"/>
        <w:jc w:val="center"/>
      </w:pPr>
      <w:r>
        <w:rPr>
          <w:noProof/>
        </w:rPr>
        <w:lastRenderedPageBreak/>
        <w:drawing>
          <wp:inline distT="0" distB="0" distL="0" distR="0" wp14:anchorId="0F0BE409" wp14:editId="5637D3B5">
            <wp:extent cx="6120000" cy="2642610"/>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2642610"/>
                    </a:xfrm>
                    <a:prstGeom prst="rect">
                      <a:avLst/>
                    </a:prstGeom>
                    <a:noFill/>
                  </pic:spPr>
                </pic:pic>
              </a:graphicData>
            </a:graphic>
          </wp:inline>
        </w:drawing>
      </w:r>
    </w:p>
    <w:p w14:paraId="100F21A7" w14:textId="77777777" w:rsidR="005A0D3F" w:rsidRDefault="00834DAB">
      <w:pPr>
        <w:adjustRightInd w:val="0"/>
        <w:snapToGrid w:val="0"/>
        <w:ind w:firstLineChars="0" w:firstLine="0"/>
      </w:pPr>
      <w:r>
        <w:rPr>
          <w:b/>
          <w:bCs/>
        </w:rPr>
        <w:t>Fig.S5. Preparation and characterization of the micro-structured MEMS films.</w:t>
      </w:r>
      <w:r>
        <w:t xml:space="preserve"> </w:t>
      </w:r>
      <w:r>
        <w:rPr>
          <w:b/>
          <w:bCs/>
        </w:rPr>
        <w:t xml:space="preserve">a, </w:t>
      </w:r>
      <w:r>
        <w:t xml:space="preserve">Manufacturing process flow of the MEMS diaphragms. (i) Photoresist coating; (ii) Photolithography mask; (iii) Photolithography treatment; (iv) Reactive ion etching; (v) Depositing an annular corrugated silicon nitride film on the surface of the silicon wafer via PECVD; (vi) Removing the silicon substrate. </w:t>
      </w:r>
      <w:r>
        <w:rPr>
          <w:b/>
          <w:bCs/>
        </w:rPr>
        <w:t>b,</w:t>
      </w:r>
      <w:r>
        <w:t xml:space="preserve"> Picture of MEMS film samples. </w:t>
      </w:r>
      <w:r>
        <w:rPr>
          <w:b/>
          <w:bCs/>
        </w:rPr>
        <w:t>c,</w:t>
      </w:r>
      <w:r>
        <w:t xml:space="preserve"> SEM picture of a MEMS silicon nitride film. </w:t>
      </w:r>
    </w:p>
    <w:p w14:paraId="2F8AAB02" w14:textId="77777777" w:rsidR="005A0D3F" w:rsidRDefault="005A0D3F">
      <w:pPr>
        <w:adjustRightInd w:val="0"/>
        <w:snapToGrid w:val="0"/>
        <w:ind w:firstLineChars="0" w:firstLine="0"/>
      </w:pPr>
    </w:p>
    <w:p w14:paraId="75CF2D10" w14:textId="77777777" w:rsidR="005A0D3F" w:rsidRDefault="00834DAB">
      <w:pPr>
        <w:pStyle w:val="2"/>
        <w:adjustRightInd w:val="0"/>
        <w:snapToGrid w:val="0"/>
      </w:pPr>
      <w:r>
        <w:t>S2.2 Fabrication and characterization of fiber optical microphones.</w:t>
      </w:r>
    </w:p>
    <w:p w14:paraId="2800A7A4" w14:textId="15D96000" w:rsidR="005A0D3F" w:rsidRDefault="00834DAB">
      <w:pPr>
        <w:adjustRightInd w:val="0"/>
        <w:snapToGrid w:val="0"/>
        <w:ind w:firstLine="480"/>
      </w:pPr>
      <w:r>
        <w:t xml:space="preserve">The specific manufacturing process of fiber optic acoustic wave sensors is shown in </w:t>
      </w:r>
      <w:r>
        <w:rPr>
          <w:b/>
        </w:rPr>
        <w:t>Fig. S6a</w:t>
      </w:r>
      <w:r>
        <w:t xml:space="preserve">. First, we prepare a capillary glass tube (i), whose inner diameter is </w:t>
      </w:r>
      <w:r w:rsidR="00F4710D">
        <w:rPr>
          <w:rFonts w:hint="eastAsia"/>
          <w:i/>
        </w:rPr>
        <w:t>d</w:t>
      </w:r>
      <w:r w:rsidRPr="004F056A">
        <w:rPr>
          <w:iCs/>
          <w:vertAlign w:val="subscript"/>
        </w:rPr>
        <w:t>0</w:t>
      </w:r>
      <w:r w:rsidRPr="004F056A">
        <w:rPr>
          <w:iCs/>
        </w:rPr>
        <w:t xml:space="preserve"> </w:t>
      </w:r>
      <w:r>
        <w:t xml:space="preserve">= 0.127±0.001 mm (suitable for fixing and calibrating a single mode fiber, or SMF). Its outer diameter is </w:t>
      </w:r>
      <w:r w:rsidR="00F4710D">
        <w:rPr>
          <w:rFonts w:hint="eastAsia"/>
          <w:i/>
        </w:rPr>
        <w:t>d</w:t>
      </w:r>
      <w:r w:rsidRPr="004F056A">
        <w:rPr>
          <w:iCs/>
          <w:vertAlign w:val="subscript"/>
        </w:rPr>
        <w:t>1</w:t>
      </w:r>
      <w:r>
        <w:t xml:space="preserve"> = 1.8±0.01 mm. Then we put a</w:t>
      </w:r>
      <w:r>
        <w:rPr>
          <w:rFonts w:hint="eastAsia"/>
        </w:rPr>
        <w:t>n</w:t>
      </w:r>
      <w:r>
        <w:t xml:space="preserve"> SMF with a flat-cut end-face into the capillary glass tube, and fix its position in depth using glue (ii). The distance between the fiber end and the capillary glass tube end is </w:t>
      </w:r>
      <w:r>
        <w:rPr>
          <w:i/>
        </w:rPr>
        <w:t>L</w:t>
      </w:r>
      <w:r w:rsidRPr="002E39D8">
        <w:rPr>
          <w:iCs/>
          <w:vertAlign w:val="subscript"/>
        </w:rPr>
        <w:t>1</w:t>
      </w:r>
      <w:r>
        <w:t xml:space="preserve">. Afterwards, we use a large-diameter glass sleeve to attach the MEMS sensing film. This forms another reflective surface of the F-P cavity (iii). The distance between the sleeve end and the end of the capillary glass tube is </w:t>
      </w:r>
      <w:r>
        <w:rPr>
          <w:i/>
        </w:rPr>
        <w:t>L</w:t>
      </w:r>
      <w:r w:rsidRPr="006D3807">
        <w:rPr>
          <w:iCs/>
          <w:vertAlign w:val="subscript"/>
        </w:rPr>
        <w:t>2</w:t>
      </w:r>
      <w:r>
        <w:t xml:space="preserve">. </w:t>
      </w:r>
      <w:r w:rsidR="004D4E44">
        <w:t>The inner</w:t>
      </w:r>
      <w:r w:rsidRPr="00F01847">
        <w:t xml:space="preserve"> diameter of the glass sleeve is </w:t>
      </w:r>
      <w:r w:rsidR="00F4710D">
        <w:rPr>
          <w:rFonts w:hint="eastAsia"/>
          <w:i/>
        </w:rPr>
        <w:t>d</w:t>
      </w:r>
      <w:r w:rsidRPr="00F01847">
        <w:rPr>
          <w:iCs/>
          <w:vertAlign w:val="subscript"/>
        </w:rPr>
        <w:t>2</w:t>
      </w:r>
      <w:r w:rsidRPr="00F01847">
        <w:rPr>
          <w:i/>
          <w:iCs/>
        </w:rPr>
        <w:t xml:space="preserve"> </w:t>
      </w:r>
      <w:r w:rsidRPr="00F01847">
        <w:t xml:space="preserve">= </w:t>
      </w:r>
      <w:r w:rsidR="00AB3579" w:rsidRPr="00F01847">
        <w:rPr>
          <w:rFonts w:hint="eastAsia"/>
        </w:rPr>
        <w:t>2</w:t>
      </w:r>
      <w:r w:rsidRPr="00F01847">
        <w:t>.8±0.01mm,</w:t>
      </w:r>
      <w:r>
        <w:t xml:space="preserve"> and its outer diameter is 4.0±0.01 mm. Then, we put the MEMS film on the sleeve (iv), and optimize the total cavity length (</w:t>
      </w:r>
      <w:r>
        <w:rPr>
          <w:i/>
        </w:rPr>
        <w:t>L = L</w:t>
      </w:r>
      <w:r w:rsidRPr="004F056A">
        <w:rPr>
          <w:iCs/>
          <w:vertAlign w:val="subscript"/>
        </w:rPr>
        <w:t>1</w:t>
      </w:r>
      <w:r>
        <w:rPr>
          <w:i/>
        </w:rPr>
        <w:t xml:space="preserve"> + L</w:t>
      </w:r>
      <w:r w:rsidRPr="004F056A">
        <w:rPr>
          <w:iCs/>
          <w:vertAlign w:val="subscript"/>
        </w:rPr>
        <w:t>2</w:t>
      </w:r>
      <w:r>
        <w:t xml:space="preserve">). All the structures are finally fixed by using UV glue. </w:t>
      </w:r>
      <w:r>
        <w:rPr>
          <w:b/>
        </w:rPr>
        <w:t>Fig. S6b</w:t>
      </w:r>
      <w:r>
        <w:t xml:space="preserve"> shows the picture of the FOM device, during fabrication. Its spatial parameters are precisely controlled by using a displacement table. The final product is packaged with an outer diameter of 4 mm. Optimizing the number </w:t>
      </w:r>
      <w:r>
        <w:rPr>
          <w:i/>
        </w:rPr>
        <w:t>L = L</w:t>
      </w:r>
      <w:r w:rsidRPr="00543E63">
        <w:rPr>
          <w:iCs/>
          <w:vertAlign w:val="subscript"/>
        </w:rPr>
        <w:t>1</w:t>
      </w:r>
      <w:r>
        <w:rPr>
          <w:i/>
        </w:rPr>
        <w:t xml:space="preserve"> + L</w:t>
      </w:r>
      <w:r w:rsidRPr="00543E63">
        <w:rPr>
          <w:iCs/>
          <w:vertAlign w:val="subscript"/>
        </w:rPr>
        <w:t>2</w:t>
      </w:r>
      <w:r w:rsidRPr="00543E63">
        <w:rPr>
          <w:iCs/>
        </w:rPr>
        <w:t xml:space="preserve"> </w:t>
      </w:r>
      <w:r>
        <w:t>is significant to achieve a higher extinction ratio (</w:t>
      </w:r>
      <w:r>
        <w:rPr>
          <w:i/>
        </w:rPr>
        <w:t>ER</w:t>
      </w:r>
      <w:r>
        <w:t xml:space="preserve">). </w:t>
      </w:r>
      <w:bookmarkStart w:id="18" w:name="_Hlk155962368"/>
      <w:r>
        <w:t xml:space="preserve">Specifically, reflections of light from the end face of a single-mode fiber can be equivalent to the Fresnel reflection under normal incidence. Typically, the reflection coefficient of the single-mode fiber end face is </w:t>
      </w:r>
      <w:r>
        <w:rPr>
          <w:i/>
        </w:rPr>
        <w:t>R</w:t>
      </w:r>
      <w:r w:rsidRPr="00543E63">
        <w:rPr>
          <w:iCs/>
          <w:vertAlign w:val="subscript"/>
        </w:rPr>
        <w:t>Fiber</w:t>
      </w:r>
      <w:r w:rsidRPr="00543E63">
        <w:rPr>
          <w:iCs/>
        </w:rPr>
        <w:t xml:space="preserve"> </w:t>
      </w:r>
      <w:r>
        <w:t xml:space="preserve">= 3.6%. To get a maximum </w:t>
      </w:r>
      <w:r>
        <w:rPr>
          <w:i/>
        </w:rPr>
        <w:t>ER</w:t>
      </w:r>
      <w:r>
        <w:t xml:space="preserve">, the interfering light intensities of the two reflected light beams should be equal. According to the light intensity loss </w:t>
      </w:r>
      <w:r>
        <w:lastRenderedPageBreak/>
        <w:t xml:space="preserve">theory of an optical fiber F-P cavity, the loss coefficient </w:t>
      </w:r>
      <w:r>
        <w:rPr>
          <w:i/>
        </w:rPr>
        <w:t>ε</w:t>
      </w:r>
      <w:r>
        <w:t xml:space="preserve"> of the Faber-Perot cavity can be expressed as the following:</w:t>
      </w:r>
    </w:p>
    <w:p w14:paraId="3C2BF68D" w14:textId="77777777" w:rsidR="005A0D3F" w:rsidRDefault="00834DAB">
      <w:pPr>
        <w:pStyle w:val="af"/>
        <w:wordWrap/>
        <w:adjustRightInd w:val="0"/>
        <w:snapToGrid w:val="0"/>
        <w:spacing w:line="360" w:lineRule="auto"/>
        <w:ind w:firstLine="480"/>
      </w:pPr>
      <w:r>
        <w:tab/>
      </w:r>
      <w:r>
        <w:object w:dxaOrig="3565" w:dyaOrig="685" w14:anchorId="150DE824">
          <v:shape id="_x0000_i1044" type="#_x0000_t75" style="width:178.45pt;height:34.45pt" o:ole="">
            <v:imagedata r:id="rId51" o:title=""/>
          </v:shape>
          <o:OLEObject Type="Embed" ProgID="Equation.DSMT4" ShapeID="_x0000_i1044" DrawAspect="Content" ObjectID="_1774013343" r:id="rId52"/>
        </w:object>
      </w:r>
      <w:r>
        <w:tab/>
      </w:r>
      <w:r>
        <w:tab/>
        <w:t>(S19)</w:t>
      </w:r>
    </w:p>
    <w:bookmarkEnd w:id="18"/>
    <w:p w14:paraId="06386516" w14:textId="55E4CCF1" w:rsidR="005A0D3F" w:rsidRDefault="00D52939">
      <w:pPr>
        <w:adjustRightInd w:val="0"/>
        <w:snapToGrid w:val="0"/>
        <w:ind w:firstLineChars="0" w:firstLine="0"/>
        <w:jc w:val="center"/>
      </w:pPr>
      <w:r>
        <w:rPr>
          <w:noProof/>
        </w:rPr>
        <w:drawing>
          <wp:inline distT="0" distB="0" distL="0" distR="0" wp14:anchorId="459718C9" wp14:editId="509EABB0">
            <wp:extent cx="6120000" cy="36243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000" cy="3624363"/>
                    </a:xfrm>
                    <a:prstGeom prst="rect">
                      <a:avLst/>
                    </a:prstGeom>
                    <a:noFill/>
                  </pic:spPr>
                </pic:pic>
              </a:graphicData>
            </a:graphic>
          </wp:inline>
        </w:drawing>
      </w:r>
    </w:p>
    <w:p w14:paraId="3C8AB94F" w14:textId="77777777" w:rsidR="005A0D3F" w:rsidRDefault="00834DAB">
      <w:pPr>
        <w:adjustRightInd w:val="0"/>
        <w:snapToGrid w:val="0"/>
        <w:ind w:firstLineChars="0" w:firstLine="0"/>
      </w:pPr>
      <w:r>
        <w:rPr>
          <w:b/>
          <w:bCs/>
        </w:rPr>
        <w:t xml:space="preserve">Fig.S6. Fabrication and characterization of FOM microcavity. a, </w:t>
      </w:r>
      <w:r>
        <w:t xml:space="preserve">Manufacturing process flow of the FOM device. </w:t>
      </w:r>
      <w:r>
        <w:rPr>
          <w:b/>
        </w:rPr>
        <w:t>b,</w:t>
      </w:r>
      <w:r>
        <w:t xml:space="preserve"> Experimental picture shows how we calibrate the fiber in a</w:t>
      </w:r>
      <w:r>
        <w:rPr>
          <w:rFonts w:hint="eastAsia"/>
        </w:rPr>
        <w:t>n</w:t>
      </w:r>
      <w:r>
        <w:t xml:space="preserve"> F-P microresonator. </w:t>
      </w:r>
      <w:r>
        <w:rPr>
          <w:b/>
        </w:rPr>
        <w:t>c,</w:t>
      </w:r>
      <w:r>
        <w:t xml:space="preserve"> Measured extinction ratios for distinct cavity length, and a spectrum showing interference fringes when the FSR is 12 nm. </w:t>
      </w:r>
      <w:r>
        <w:rPr>
          <w:b/>
        </w:rPr>
        <w:t>d,</w:t>
      </w:r>
      <w:r>
        <w:t xml:space="preserve"> Sensitivity of a</w:t>
      </w:r>
      <w:r>
        <w:rPr>
          <w:rFonts w:hint="eastAsia"/>
        </w:rPr>
        <w:t>n</w:t>
      </w:r>
      <w:r>
        <w:t xml:space="preserve"> FOM and a commercial electric microphone (APT). </w:t>
      </w:r>
    </w:p>
    <w:p w14:paraId="30F3EE02" w14:textId="77777777" w:rsidR="005A0D3F" w:rsidRDefault="005A0D3F">
      <w:pPr>
        <w:adjustRightInd w:val="0"/>
        <w:snapToGrid w:val="0"/>
        <w:ind w:firstLineChars="0" w:firstLine="0"/>
      </w:pPr>
    </w:p>
    <w:p w14:paraId="18FE8232" w14:textId="759CA376" w:rsidR="005A0D3F" w:rsidRDefault="00834DAB">
      <w:pPr>
        <w:adjustRightInd w:val="0"/>
        <w:snapToGrid w:val="0"/>
        <w:ind w:firstLine="480"/>
      </w:pPr>
      <w:r>
        <w:rPr>
          <w:iCs/>
        </w:rPr>
        <w:t xml:space="preserve">Here </w:t>
      </w:r>
      <w:r>
        <w:rPr>
          <w:i/>
          <w:iCs/>
        </w:rPr>
        <w:t>λ</w:t>
      </w:r>
      <w:r>
        <w:t xml:space="preserve"> is the wavelength of the incident light, </w:t>
      </w:r>
      <w:r>
        <w:rPr>
          <w:i/>
          <w:iCs/>
        </w:rPr>
        <w:t>L</w:t>
      </w:r>
      <w:r>
        <w:t xml:space="preserve"> is the length of the F-P cavity, </w:t>
      </w:r>
      <w:r>
        <w:rPr>
          <w:i/>
          <w:iCs/>
        </w:rPr>
        <w:t>N</w:t>
      </w:r>
      <w:r>
        <w:rPr>
          <w:vertAlign w:val="subscript"/>
        </w:rPr>
        <w:t xml:space="preserve">0 </w:t>
      </w:r>
      <w:r>
        <w:t xml:space="preserve">is the refractive index of the F-P cavity medium, and </w:t>
      </w:r>
      <w:r>
        <w:rPr>
          <w:i/>
          <w:iCs/>
        </w:rPr>
        <w:t>ω</w:t>
      </w:r>
      <w:r>
        <w:rPr>
          <w:vertAlign w:val="subscript"/>
        </w:rPr>
        <w:t>0</w:t>
      </w:r>
      <w:r>
        <w:t xml:space="preserve"> is the beam mode field radius. Here, for single-mode fiber, </w:t>
      </w:r>
      <w:r>
        <w:rPr>
          <w:i/>
          <w:iCs/>
        </w:rPr>
        <w:t>N</w:t>
      </w:r>
      <w:r>
        <w:rPr>
          <w:vertAlign w:val="subscript"/>
        </w:rPr>
        <w:t>0</w:t>
      </w:r>
      <w:r>
        <w:t xml:space="preserve">=1, </w:t>
      </w:r>
      <w:r>
        <w:rPr>
          <w:i/>
          <w:iCs/>
        </w:rPr>
        <w:t>ω</w:t>
      </w:r>
      <w:r>
        <w:rPr>
          <w:vertAlign w:val="subscript"/>
        </w:rPr>
        <w:t xml:space="preserve">0 </w:t>
      </w:r>
      <w:r>
        <w:t xml:space="preserve">= 4.9 μm, </w:t>
      </w:r>
      <w:r>
        <w:rPr>
          <w:i/>
          <w:iCs/>
        </w:rPr>
        <w:t xml:space="preserve">λ </w:t>
      </w:r>
      <w:r>
        <w:t xml:space="preserve">= 1550 nm, </w:t>
      </w:r>
      <w:r>
        <w:rPr>
          <w:i/>
          <w:iCs/>
        </w:rPr>
        <w:t xml:space="preserve">L </w:t>
      </w:r>
      <w:r>
        <w:t xml:space="preserve">=100.2μm. The surface reflection coefficient of the MEMS film is approximately </w:t>
      </w:r>
      <w:r>
        <w:rPr>
          <w:i/>
        </w:rPr>
        <w:t>R</w:t>
      </w:r>
      <w:r w:rsidRPr="00821DFD">
        <w:rPr>
          <w:iCs/>
          <w:vertAlign w:val="subscript"/>
        </w:rPr>
        <w:t>MEMS</w:t>
      </w:r>
      <w:r>
        <w:t xml:space="preserve"> = 18.237%. Since the reflectivity of the MEMS film is greater than that of the single-mode fiber end face, we need to optimize the </w:t>
      </w:r>
      <w:r>
        <w:rPr>
          <w:i/>
        </w:rPr>
        <w:t>L</w:t>
      </w:r>
      <w:r>
        <w:t xml:space="preserve"> to obtain a proper </w:t>
      </w:r>
      <w:r>
        <w:rPr>
          <w:i/>
        </w:rPr>
        <w:t>ε</w:t>
      </w:r>
      <w:r>
        <w:t xml:space="preserve">, for meeting </w:t>
      </w:r>
      <w:r>
        <w:rPr>
          <w:i/>
        </w:rPr>
        <w:t>εR</w:t>
      </w:r>
      <w:r w:rsidRPr="00CF6F93">
        <w:rPr>
          <w:iCs/>
          <w:vertAlign w:val="subscript"/>
        </w:rPr>
        <w:t>MEMS</w:t>
      </w:r>
      <w:r>
        <w:t xml:space="preserve"> = </w:t>
      </w:r>
      <w:r>
        <w:rPr>
          <w:i/>
        </w:rPr>
        <w:t>R</w:t>
      </w:r>
      <w:r w:rsidRPr="00CF6F93">
        <w:rPr>
          <w:iCs/>
          <w:vertAlign w:val="subscript"/>
        </w:rPr>
        <w:t>Fiber</w:t>
      </w:r>
      <w:r>
        <w:t>. As</w:t>
      </w:r>
      <w:r>
        <w:rPr>
          <w:b/>
        </w:rPr>
        <w:t xml:space="preserve"> Fig. S6c</w:t>
      </w:r>
      <w:r>
        <w:t xml:space="preserve"> shows, when the FSR of the cavity is 12 nm, we obtain the highest </w:t>
      </w:r>
      <w:r>
        <w:rPr>
          <w:i/>
        </w:rPr>
        <w:t>ER</w:t>
      </w:r>
      <w:r>
        <w:t xml:space="preserve"> (about 40 dB). Here we also demonstrate the interference fringes. In </w:t>
      </w:r>
      <w:r>
        <w:rPr>
          <w:b/>
        </w:rPr>
        <w:t>Fig. S6d</w:t>
      </w:r>
      <w:r>
        <w:t xml:space="preserve">, we discuss </w:t>
      </w:r>
      <w:r w:rsidR="004A2AC0">
        <w:t xml:space="preserve">the </w:t>
      </w:r>
      <w:r>
        <w:t xml:space="preserve">performance of our FOM. This FOM is much more sensitive than commercial electronic microphones. Typically, </w:t>
      </w:r>
      <w:r w:rsidR="00F93402">
        <w:t xml:space="preserve">the </w:t>
      </w:r>
      <w:r>
        <w:t xml:space="preserve">sensitivity of an electronic condenser microphone (APT-15A) is 47.3 mV/Pa, with a response linearity of 99.88%. On the other hand, </w:t>
      </w:r>
      <w:r w:rsidR="00F93402">
        <w:t xml:space="preserve">the </w:t>
      </w:r>
      <w:r>
        <w:t xml:space="preserve">acoustic pressure sensitivity of our FOM is estimated to be 313 mV/Pa, with a </w:t>
      </w:r>
      <w:r>
        <w:lastRenderedPageBreak/>
        <w:t>response linearity of 97.18%.</w:t>
      </w:r>
      <w:r>
        <w:rPr>
          <w:rFonts w:hint="eastAsia"/>
        </w:rPr>
        <w:t xml:space="preserve"> </w:t>
      </w:r>
    </w:p>
    <w:p w14:paraId="73B1EE35" w14:textId="3B7C3108" w:rsidR="005A0D3F" w:rsidRDefault="00834DAB">
      <w:pPr>
        <w:adjustRightInd w:val="0"/>
        <w:snapToGrid w:val="0"/>
        <w:ind w:firstLine="480"/>
      </w:pPr>
      <w:r>
        <w:rPr>
          <w:rFonts w:hint="eastAsia"/>
          <w:b/>
        </w:rPr>
        <w:t>F</w:t>
      </w:r>
      <w:r>
        <w:rPr>
          <w:b/>
        </w:rPr>
        <w:t>ig. S7a</w:t>
      </w:r>
      <w:r>
        <w:t xml:space="preserve"> shows the experimental setup measuring the response of an FOM. We use the comb device to drive FOMs, the circulator (CIR) is used to collect the reflected light, and the PD is used to filter out the optical freque</w:t>
      </w:r>
      <w:r>
        <w:rPr>
          <w:rFonts w:cs="Times New Roman"/>
        </w:rPr>
        <w:t>ncy (</w:t>
      </w:r>
      <w:r>
        <w:rPr>
          <w:rFonts w:eastAsia="等线" w:cs="Times New Roman"/>
        </w:rPr>
        <w:t xml:space="preserve">≈ </w:t>
      </w:r>
      <w:r w:rsidR="0053579C">
        <w:rPr>
          <w:rFonts w:cs="Times New Roman"/>
        </w:rPr>
        <w:t>193</w:t>
      </w:r>
      <w:r>
        <w:rPr>
          <w:rFonts w:cs="Times New Roman"/>
        </w:rPr>
        <w:t xml:space="preserve"> THz) while de</w:t>
      </w:r>
      <w:r>
        <w:t xml:space="preserve">tecting the acoustic wave (with frequency &lt; 20 kHz). In comparison, we also use an electrical microphone (APT) as the reference. A frequency tunable speaker provides an acoustic signal in the band 10 Hz ~ 20 kHz. The speaker, FOM and APT are fixed in a silent chamber to cancel environment noises. Here we also show the picture in the silent chamber. </w:t>
      </w:r>
      <w:r>
        <w:rPr>
          <w:b/>
        </w:rPr>
        <w:t>Fig. S7b</w:t>
      </w:r>
      <w:r>
        <w:t xml:space="preserve"> shows the measured responses of several FOM samples and an APT. Here we present the results of 3 F-P cavity based FOMs (solid curves) and the response of the APT (red dashed curve). In the band lower than 60 Hz, </w:t>
      </w:r>
      <w:r w:rsidR="004D4E44">
        <w:t xml:space="preserve">the </w:t>
      </w:r>
      <w:r>
        <w:t xml:space="preserve">response of an FOM is 50 dB in approximation, similar to the APT. But in the band higher than 60 Hz, the F-P cavity based FOM shows a 30 dB higher response. In the band 200 Hz to 20 kHz, </w:t>
      </w:r>
      <w:r w:rsidR="004D4E44">
        <w:t xml:space="preserve">the </w:t>
      </w:r>
      <w:r>
        <w:t xml:space="preserve">response of the FOMs is very flat, typically equal to 110 dB. The response dips at 600 Hz and 15 kHz majorly induced by the spatial resonance attenuation in the silent chamber. </w:t>
      </w:r>
      <w:r>
        <w:rPr>
          <w:rFonts w:hint="eastAsia"/>
        </w:rPr>
        <w:t>I</w:t>
      </w:r>
      <w:r>
        <w:t xml:space="preserve">n </w:t>
      </w:r>
      <w:r>
        <w:rPr>
          <w:rFonts w:hint="eastAsia"/>
          <w:b/>
        </w:rPr>
        <w:t>F</w:t>
      </w:r>
      <w:r>
        <w:rPr>
          <w:b/>
        </w:rPr>
        <w:t>ig. S7c</w:t>
      </w:r>
      <w:r>
        <w:t xml:space="preserve">, we demonstrate the signal-to-noise ratio (SNR) of our FOM and the APT. Here we use a single-frequency acoustic wave (20 kHz) to excite their responses. SNR of the APT is about 50 dB, while SNR of the microcomb driven FOM is about 92 dB. </w:t>
      </w:r>
    </w:p>
    <w:p w14:paraId="0C0C4B23" w14:textId="23677A8B" w:rsidR="005A0D3F" w:rsidRDefault="007E66C4">
      <w:pPr>
        <w:adjustRightInd w:val="0"/>
        <w:snapToGrid w:val="0"/>
        <w:ind w:firstLineChars="0" w:firstLine="0"/>
        <w:jc w:val="center"/>
      </w:pPr>
      <w:r>
        <w:rPr>
          <w:noProof/>
        </w:rPr>
        <w:drawing>
          <wp:inline distT="0" distB="0" distL="0" distR="0" wp14:anchorId="53D4F6AB" wp14:editId="2C07E599">
            <wp:extent cx="6120000" cy="24973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000" cy="2497399"/>
                    </a:xfrm>
                    <a:prstGeom prst="rect">
                      <a:avLst/>
                    </a:prstGeom>
                    <a:noFill/>
                  </pic:spPr>
                </pic:pic>
              </a:graphicData>
            </a:graphic>
          </wp:inline>
        </w:drawing>
      </w:r>
    </w:p>
    <w:p w14:paraId="4EAB3623" w14:textId="77777777" w:rsidR="005A0D3F" w:rsidRDefault="00834DAB">
      <w:pPr>
        <w:adjustRightInd w:val="0"/>
        <w:snapToGrid w:val="0"/>
        <w:ind w:firstLineChars="0" w:firstLine="0"/>
      </w:pPr>
      <w:r>
        <w:rPr>
          <w:b/>
          <w:bCs/>
        </w:rPr>
        <w:t xml:space="preserve">Fig.S7. Response and SNR of our FOMs. a, </w:t>
      </w:r>
      <w:r>
        <w:t xml:space="preserve">Setup to measure the response and SNR of an acoustic sensor. </w:t>
      </w:r>
      <w:r>
        <w:rPr>
          <w:b/>
        </w:rPr>
        <w:t>b,</w:t>
      </w:r>
      <w:r>
        <w:t xml:space="preserve"> Measured response of F-P cavity based FOMs (solid curves) and an APT (red dashed curve). </w:t>
      </w:r>
      <w:r>
        <w:rPr>
          <w:b/>
        </w:rPr>
        <w:t>c,</w:t>
      </w:r>
      <w:r>
        <w:t xml:space="preserve"> Measured SNR of a</w:t>
      </w:r>
      <w:r>
        <w:rPr>
          <w:rFonts w:hint="eastAsia"/>
        </w:rPr>
        <w:t>n</w:t>
      </w:r>
      <w:r>
        <w:t xml:space="preserve"> F-P cavity based FOMs (blue solid curve) and an APT (red dashed curve). </w:t>
      </w:r>
    </w:p>
    <w:p w14:paraId="1948ADF1" w14:textId="77777777" w:rsidR="005A0D3F" w:rsidRDefault="005A0D3F">
      <w:pPr>
        <w:adjustRightInd w:val="0"/>
        <w:snapToGrid w:val="0"/>
        <w:ind w:firstLineChars="0" w:firstLine="0"/>
      </w:pPr>
    </w:p>
    <w:p w14:paraId="1445A622" w14:textId="77777777" w:rsidR="005A0D3F" w:rsidRDefault="00834DAB">
      <w:pPr>
        <w:pStyle w:val="2"/>
        <w:adjustRightInd w:val="0"/>
        <w:snapToGrid w:val="0"/>
      </w:pPr>
      <w:r>
        <w:t>S</w:t>
      </w:r>
      <w:r>
        <w:rPr>
          <w:rFonts w:hint="eastAsia"/>
        </w:rPr>
        <w:t>2</w:t>
      </w:r>
      <w:r>
        <w:t xml:space="preserve">.3. Formation and stabilization of our on-chip dual microcombs. </w:t>
      </w:r>
    </w:p>
    <w:p w14:paraId="4F0326F0" w14:textId="2A744D66" w:rsidR="005A0D3F" w:rsidRDefault="00834DAB">
      <w:pPr>
        <w:adjustRightInd w:val="0"/>
        <w:snapToGrid w:val="0"/>
        <w:ind w:firstLine="480"/>
        <w:rPr>
          <w:rFonts w:cs="Times New Roman"/>
          <w:szCs w:val="24"/>
        </w:rPr>
      </w:pPr>
      <w:r>
        <w:rPr>
          <w:b/>
          <w:bCs/>
        </w:rPr>
        <w:t>Fig. S8a</w:t>
      </w:r>
      <w:r>
        <w:t xml:space="preserve"> shows our experimental setup for the generation and stabilization of dual Kerr soliton microcomb. Two external cavity laser diodes are used as the optical pumps. These two lasers drive two separate silicon nitride microrings on chip. The two microrings have slightly different repetition rates. </w:t>
      </w:r>
      <w:r>
        <w:lastRenderedPageBreak/>
        <w:t xml:space="preserve">Their </w:t>
      </w:r>
      <w:r>
        <w:rPr>
          <w:rFonts w:cs="Times New Roman"/>
          <w:szCs w:val="24"/>
        </w:rPr>
        <w:t>difference in repetition frequencies (</w:t>
      </w:r>
      <w:r>
        <w:rPr>
          <w:rFonts w:eastAsia="等线" w:cs="Times New Roman"/>
          <w:szCs w:val="24"/>
        </w:rPr>
        <w:t>Δ</w:t>
      </w:r>
      <w:r>
        <w:rPr>
          <w:rFonts w:cs="Times New Roman"/>
          <w:i/>
          <w:szCs w:val="24"/>
        </w:rPr>
        <w:t>f</w:t>
      </w:r>
      <w:r>
        <w:rPr>
          <w:rFonts w:cs="Times New Roman"/>
          <w:iCs/>
          <w:szCs w:val="24"/>
          <w:vertAlign w:val="subscript"/>
        </w:rPr>
        <w:t>rep</w:t>
      </w:r>
      <w:r>
        <w:rPr>
          <w:rFonts w:cs="Times New Roman"/>
          <w:szCs w:val="24"/>
        </w:rPr>
        <w:t xml:space="preserve">) is 11.5 MHz. Thanks to the high </w:t>
      </w:r>
      <w:r>
        <w:rPr>
          <w:rFonts w:cs="Times New Roman"/>
          <w:i/>
          <w:szCs w:val="24"/>
        </w:rPr>
        <w:t>Q</w:t>
      </w:r>
      <w:r>
        <w:rPr>
          <w:rFonts w:cs="Times New Roman"/>
          <w:szCs w:val="24"/>
        </w:rPr>
        <w:t xml:space="preserve"> factor (</w:t>
      </w:r>
      <w:r w:rsidR="00E54D72">
        <w:rPr>
          <w:rFonts w:cs="Times New Roman" w:hint="eastAsia"/>
          <w:szCs w:val="24"/>
        </w:rPr>
        <w:t>4</w:t>
      </w:r>
      <w:r>
        <w:rPr>
          <w:rFonts w:cs="Times New Roman"/>
          <w:szCs w:val="24"/>
        </w:rPr>
        <w:t>×10</w:t>
      </w:r>
      <w:r>
        <w:rPr>
          <w:rFonts w:cs="Times New Roman"/>
          <w:szCs w:val="24"/>
          <w:vertAlign w:val="superscript"/>
        </w:rPr>
        <w:t>6</w:t>
      </w:r>
      <w:r>
        <w:rPr>
          <w:rFonts w:cs="Times New Roman"/>
          <w:szCs w:val="24"/>
        </w:rPr>
        <w:t xml:space="preserve">), </w:t>
      </w:r>
      <w:r>
        <w:rPr>
          <w:rFonts w:cs="Times New Roman" w:hint="eastAsia"/>
          <w:szCs w:val="24"/>
        </w:rPr>
        <w:t>soliton</w:t>
      </w:r>
      <w:r>
        <w:rPr>
          <w:rFonts w:cs="Times New Roman"/>
          <w:szCs w:val="24"/>
        </w:rPr>
        <w:t xml:space="preserve"> threshold of each microring is below 50 mW [</w:t>
      </w:r>
      <w:r w:rsidR="00C86053">
        <w:rPr>
          <w:rFonts w:cs="Times New Roman"/>
          <w:szCs w:val="24"/>
        </w:rPr>
        <w:fldChar w:fldCharType="begin"/>
      </w:r>
      <w:r w:rsidR="00C86053">
        <w:rPr>
          <w:rFonts w:cs="Times New Roman"/>
          <w:szCs w:val="24"/>
        </w:rPr>
        <w:instrText xml:space="preserve"> ADDIN ZOTERO_ITEM CSL_CITATION {"citationID":"m8Yvl8gI","properties":{"formattedCitation":"\\super 11\\nosupersub{}","plainCitation":"11","noteIndex":0},"citationItems":[{"id":32,"uris":["http://zotero.org/users/local/9OUzPziK/items/P8YYBRJY"],"itemData":{"id":32,"type":"article-journal","abstract":"Frequency combs are having a broad impact on science and technology because they provide a way to coherently link radio/microwave-rate electrical signals with optical-rate signals derived from lasers and atomic transitions. Integrating these systems on a photonic chip would revolutionize instrumentation, time keeping, spectroscopy, navigation, and potentially create new mass-market applications. A key element of such a system-on-a-chip will be a mode-locked comb that can be self-referenced. The recent demonstration of soliton mode locking in crystalline and silicon nitride microresonators has provided a way to both mode lock and generate femtosecond time-scale pulses. Here, soliton mode locking is demonstrated in high-Q silica resonators. The resonators produce low-phase-noise soliton pulse trains at readily detectable pulse rates&amp;#x2014;two essential properties for the operation of frequency combs. A method for the long-term stabilization of the solitons is also demonstrated, and is used to test the theoretical dependence of the comb power, efficiency, and soliton existence power on the pulse width. The influence of the Raman process on the soliton existence power and efficiency is also observed. The resonators are microfabricated on silicon chips and feature reproducible modal properties required for soliton formation. A low-noise and detectable pulse rate soliton frequency comb on a chip is a significant step towards a fully integrated frequency comb system.","container-title":"Optica","DOI":"10.1364/OPTICA.2.001078","ISSN":"2334-2536","issue":"12","journalAbbreviation":"Optica, OPTICA","language":"EN","license":"&amp;#169; 2015 Optical Society of America","note":"publisher: Optica Publishing Group","page":"1078-1085","source":"opg.optica.org","title":"Soliton frequency comb at microwave rates in a high-Q silica microresonator","volume":"2","author":[{"family":"Yi","given":"Xu"},{"family":"Yang","given":"Qi-Fan"},{"family":"Yang","given":"Ki Youl"},{"family":"Suh","given":"Myoung-Gyun"},{"family":"Vahala","given":"Kerry"}],"issued":{"date-parts":[["2015",12,20]]}}}],"schema":"https://github.com/citation-style-language/schema/raw/master/csl-citation.json"} </w:instrText>
      </w:r>
      <w:r w:rsidR="00C86053">
        <w:rPr>
          <w:rFonts w:cs="Times New Roman"/>
          <w:szCs w:val="24"/>
        </w:rPr>
        <w:fldChar w:fldCharType="separate"/>
      </w:r>
      <w:r w:rsidR="00C86053" w:rsidRPr="00C86053">
        <w:rPr>
          <w:rFonts w:cs="Times New Roman"/>
          <w:kern w:val="0"/>
          <w:szCs w:val="24"/>
          <w:vertAlign w:val="superscript"/>
        </w:rPr>
        <w:t>11</w:t>
      </w:r>
      <w:r w:rsidR="00C86053">
        <w:rPr>
          <w:rFonts w:cs="Times New Roman"/>
          <w:szCs w:val="24"/>
        </w:rPr>
        <w:fldChar w:fldCharType="end"/>
      </w:r>
      <w:r>
        <w:rPr>
          <w:rFonts w:cs="Times New Roman"/>
          <w:szCs w:val="24"/>
        </w:rPr>
        <w:t>]. Therefore, we don’t need a fiber amplifier before sending the optical energy into the microresonators. To drive two microcomb resonator</w:t>
      </w:r>
      <w:r w:rsidR="00624784">
        <w:rPr>
          <w:rFonts w:cs="Times New Roman" w:hint="eastAsia"/>
          <w:szCs w:val="24"/>
        </w:rPr>
        <w:t>s</w:t>
      </w:r>
      <w:r>
        <w:rPr>
          <w:rFonts w:cs="Times New Roman"/>
          <w:szCs w:val="24"/>
        </w:rPr>
        <w:t>, we directly use the pump#1 to drive the comb#1, while we use the pump#2 to drive comb#2. We fully stabilize the dual comb outputs to an optical reference (Menlo system FC1500-ULNnova-ORS). Repetition of the reference is 250 MHz, with an optical band (3dB) &gt; 26 nm. Stability is better than 7×10</w:t>
      </w:r>
      <w:r>
        <w:rPr>
          <w:rFonts w:cs="Times New Roman"/>
          <w:szCs w:val="24"/>
          <w:vertAlign w:val="superscript"/>
        </w:rPr>
        <w:t>-16</w:t>
      </w:r>
      <w:r>
        <w:rPr>
          <w:rFonts w:cs="Times New Roman"/>
          <w:szCs w:val="24"/>
        </w:rPr>
        <w:t xml:space="preserve"> </w:t>
      </w:r>
      <w:r>
        <w:rPr>
          <w:rFonts w:cs="Times New Roman" w:hint="eastAsia"/>
          <w:szCs w:val="24"/>
        </w:rPr>
        <w:t>@</w:t>
      </w:r>
      <w:r>
        <w:rPr>
          <w:rFonts w:cs="Times New Roman"/>
          <w:szCs w:val="24"/>
        </w:rPr>
        <w:t xml:space="preserve"> 1 </w:t>
      </w:r>
      <w:r>
        <w:rPr>
          <w:rFonts w:cs="Times New Roman" w:hint="eastAsia"/>
          <w:szCs w:val="24"/>
        </w:rPr>
        <w:t>s</w:t>
      </w:r>
      <w:r>
        <w:rPr>
          <w:rFonts w:cs="Times New Roman"/>
          <w:szCs w:val="24"/>
        </w:rPr>
        <w:t>. Four on-chip photodetectors (PDs) are used to collect the beat notes of pump#1-ref (PD1), pump#2-ref (PD2), comb#1-ref (PD3) and comb#2-ref (PD4). For clea</w:t>
      </w:r>
      <w:r w:rsidR="000069E6">
        <w:rPr>
          <w:rFonts w:cs="Times New Roman" w:hint="eastAsia"/>
          <w:szCs w:val="24"/>
        </w:rPr>
        <w:t>r</w:t>
      </w:r>
      <w:r>
        <w:rPr>
          <w:rFonts w:cs="Times New Roman"/>
          <w:szCs w:val="24"/>
        </w:rPr>
        <w:t xml:space="preserve">ly monitoring the repetition drifts of the microrings, we use two optical filters on-chip to select the first comb line of comb#1 and the second comb line of comb#2. The beat notes are collected by integrated data acquisition card and sent into the FPGA. In the FPGA, low-pass filters are used to cancel the high frequency noises and then the beating signals are processed in proportional–integral–derivative (PID) controllers. These PIDs provide feedback to the pump lasers for stabilizing the </w:t>
      </w:r>
      <w:r>
        <w:rPr>
          <w:rFonts w:cs="Times New Roman"/>
          <w:i/>
          <w:szCs w:val="24"/>
        </w:rPr>
        <w:t>f</w:t>
      </w:r>
      <w:r>
        <w:rPr>
          <w:rFonts w:cs="Times New Roman"/>
          <w:iCs/>
          <w:szCs w:val="24"/>
          <w:vertAlign w:val="subscript"/>
        </w:rPr>
        <w:t>ceo</w:t>
      </w:r>
      <w:r>
        <w:rPr>
          <w:rFonts w:cs="Times New Roman"/>
          <w:iCs/>
          <w:szCs w:val="24"/>
        </w:rPr>
        <w:t xml:space="preserve"> </w:t>
      </w:r>
      <w:r>
        <w:rPr>
          <w:rFonts w:cs="Times New Roman"/>
          <w:szCs w:val="24"/>
        </w:rPr>
        <w:t>and the temperature electrical coolers (TECs) for stabilizing the FSRs. Here the FLs mean feedback loops</w:t>
      </w:r>
      <w:r w:rsidR="00F36552">
        <w:rPr>
          <w:rFonts w:cs="Times New Roman"/>
          <w:szCs w:val="24"/>
        </w:rPr>
        <w:t>.</w:t>
      </w:r>
    </w:p>
    <w:p w14:paraId="46F9B50E" w14:textId="77C15FF6" w:rsidR="005A0D3F" w:rsidRDefault="00834DAB">
      <w:pPr>
        <w:adjustRightInd w:val="0"/>
        <w:snapToGrid w:val="0"/>
        <w:ind w:firstLine="480"/>
        <w:rPr>
          <w:rFonts w:cs="Times New Roman"/>
          <w:szCs w:val="24"/>
        </w:rPr>
      </w:pPr>
      <w:r>
        <w:rPr>
          <w:rFonts w:cs="Times New Roman"/>
          <w:b/>
          <w:szCs w:val="24"/>
        </w:rPr>
        <w:t>Fig. S8b</w:t>
      </w:r>
      <w:r>
        <w:rPr>
          <w:rFonts w:cs="Times New Roman"/>
          <w:szCs w:val="24"/>
        </w:rPr>
        <w:t xml:space="preserve"> illustrates the spectrum encompassing the optical reference, the pump laser, and the filtered comb lines. The wavelengths (frequencies) for pump#1, pump#2, the first comb line (comb#1), and the second comb line (comb#2) are specified as 1549.</w:t>
      </w:r>
      <w:r w:rsidR="004F22A8">
        <w:rPr>
          <w:rFonts w:cs="Times New Roman" w:hint="eastAsia"/>
          <w:szCs w:val="24"/>
        </w:rPr>
        <w:t>6</w:t>
      </w:r>
      <w:r w:rsidR="007F5434">
        <w:rPr>
          <w:rFonts w:cs="Times New Roman" w:hint="eastAsia"/>
          <w:szCs w:val="24"/>
        </w:rPr>
        <w:t>4</w:t>
      </w:r>
      <w:r w:rsidR="004F22A8">
        <w:rPr>
          <w:rFonts w:cs="Times New Roman"/>
          <w:szCs w:val="24"/>
        </w:rPr>
        <w:t xml:space="preserve"> </w:t>
      </w:r>
      <w:r>
        <w:rPr>
          <w:rFonts w:cs="Times New Roman"/>
          <w:szCs w:val="24"/>
        </w:rPr>
        <w:t>nm (193.593 THz), 1549.</w:t>
      </w:r>
      <w:r w:rsidR="0031479C">
        <w:rPr>
          <w:rFonts w:cs="Times New Roman" w:hint="eastAsia"/>
          <w:szCs w:val="24"/>
        </w:rPr>
        <w:t>6</w:t>
      </w:r>
      <w:r w:rsidR="005C4677">
        <w:rPr>
          <w:rFonts w:cs="Times New Roman" w:hint="eastAsia"/>
          <w:szCs w:val="24"/>
        </w:rPr>
        <w:t>4</w:t>
      </w:r>
      <w:r>
        <w:rPr>
          <w:rFonts w:cs="Times New Roman"/>
          <w:szCs w:val="24"/>
        </w:rPr>
        <w:t xml:space="preserve"> nm (193.593 THz), 1550.4</w:t>
      </w:r>
      <w:r w:rsidR="00584607">
        <w:rPr>
          <w:rFonts w:cs="Times New Roman"/>
          <w:szCs w:val="24"/>
        </w:rPr>
        <w:t>9</w:t>
      </w:r>
      <w:r>
        <w:rPr>
          <w:rFonts w:cs="Times New Roman"/>
          <w:szCs w:val="24"/>
        </w:rPr>
        <w:t xml:space="preserve"> nm (193.48</w:t>
      </w:r>
      <w:r w:rsidR="00584607">
        <w:rPr>
          <w:rFonts w:cs="Times New Roman"/>
          <w:szCs w:val="24"/>
        </w:rPr>
        <w:t>7</w:t>
      </w:r>
      <w:r>
        <w:rPr>
          <w:rFonts w:cs="Times New Roman"/>
          <w:szCs w:val="24"/>
        </w:rPr>
        <w:t xml:space="preserve"> THz), and 1551.34 nm (193.38</w:t>
      </w:r>
      <w:r w:rsidR="00584607">
        <w:rPr>
          <w:rFonts w:cs="Times New Roman"/>
          <w:szCs w:val="24"/>
        </w:rPr>
        <w:t>2</w:t>
      </w:r>
      <w:r>
        <w:rPr>
          <w:rFonts w:cs="Times New Roman"/>
          <w:szCs w:val="24"/>
        </w:rPr>
        <w:t xml:space="preserve"> THz), respectively. Corresponding selected wavelengths in the reference are 1549.</w:t>
      </w:r>
      <w:r w:rsidR="00584607">
        <w:rPr>
          <w:rFonts w:cs="Times New Roman"/>
          <w:szCs w:val="24"/>
        </w:rPr>
        <w:t>64</w:t>
      </w:r>
      <w:r>
        <w:rPr>
          <w:rFonts w:cs="Times New Roman"/>
          <w:szCs w:val="24"/>
        </w:rPr>
        <w:t xml:space="preserve"> nm, 1549.</w:t>
      </w:r>
      <w:r w:rsidR="00584607">
        <w:rPr>
          <w:rFonts w:cs="Times New Roman"/>
          <w:szCs w:val="24"/>
        </w:rPr>
        <w:t>64</w:t>
      </w:r>
      <w:r>
        <w:rPr>
          <w:rFonts w:cs="Times New Roman"/>
          <w:szCs w:val="24"/>
        </w:rPr>
        <w:t xml:space="preserve"> nm, 1550.</w:t>
      </w:r>
      <w:r w:rsidR="00584607">
        <w:rPr>
          <w:rFonts w:cs="Times New Roman"/>
          <w:szCs w:val="24"/>
        </w:rPr>
        <w:t>49</w:t>
      </w:r>
      <w:r>
        <w:rPr>
          <w:rFonts w:cs="Times New Roman"/>
          <w:szCs w:val="24"/>
        </w:rPr>
        <w:t xml:space="preserve"> nm, and 1551.34 nm. </w:t>
      </w:r>
      <w:r>
        <w:rPr>
          <w:rFonts w:cs="Times New Roman"/>
          <w:b/>
          <w:szCs w:val="24"/>
        </w:rPr>
        <w:t>Fig. S8c</w:t>
      </w:r>
      <w:r>
        <w:rPr>
          <w:rFonts w:cs="Times New Roman"/>
          <w:szCs w:val="24"/>
        </w:rPr>
        <w:t xml:space="preserve"> details the individual beat notes, specifically identifying the beat notes between pump#1 and the reference (PD1), pump#2 and the reference (PD2), the first comb line and the reference (PD3), and the second comb line and the reference (PD4) with frequencies of 28.714 MHz, 195.214 MHz, 22.286 MHz, and 63.213 MHz, respectively. Notably, all these frequencies fall within the bandwidth of our integrated PIDs. </w:t>
      </w:r>
      <w:r>
        <w:rPr>
          <w:rFonts w:cs="Times New Roman"/>
          <w:b/>
          <w:szCs w:val="24"/>
        </w:rPr>
        <w:t>Fig. S8d</w:t>
      </w:r>
      <w:r>
        <w:rPr>
          <w:rFonts w:cs="Times New Roman"/>
          <w:szCs w:val="24"/>
        </w:rPr>
        <w:t xml:space="preserve"> presents the temporal traces of the frequency shifts, showcasing their behavior before and after stabilization. The panels, from left to right, exhibit typical frequency drifts for the beat notes between the pump and reference and between the comb line and reference. The observed drifts signify the stability of the carrier frequency and the FSR stability, respectively. Over a 15-second period, the frequency drift of an operational pump laser is noted at 23 Hz, which, following feedback stabilization, is reduced to less than 2 Hz. Similarly, the frequency drift of a typical FSR decreases from 45 Hz to under 2 Hz subsequent to locking.</w:t>
      </w:r>
    </w:p>
    <w:p w14:paraId="74A3BB31" w14:textId="7064A3D0" w:rsidR="005A0D3F" w:rsidRDefault="00A61D18">
      <w:pPr>
        <w:adjustRightInd w:val="0"/>
        <w:snapToGrid w:val="0"/>
        <w:ind w:firstLineChars="0" w:firstLine="0"/>
        <w:jc w:val="center"/>
        <w:rPr>
          <w:rFonts w:cs="Times New Roman"/>
          <w:szCs w:val="24"/>
        </w:rPr>
      </w:pPr>
      <w:r>
        <w:rPr>
          <w:rFonts w:cs="Times New Roman"/>
          <w:noProof/>
          <w:szCs w:val="24"/>
        </w:rPr>
        <w:lastRenderedPageBreak/>
        <w:drawing>
          <wp:inline distT="0" distB="0" distL="0" distR="0" wp14:anchorId="5FED6682" wp14:editId="3182847C">
            <wp:extent cx="6120000" cy="39801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a:extLst>
                        <a:ext uri="{28A0092B-C50C-407E-A947-70E740481C1C}">
                          <a14:useLocalDpi xmlns:a14="http://schemas.microsoft.com/office/drawing/2010/main" val="0"/>
                        </a:ext>
                      </a:extLst>
                    </a:blip>
                    <a:srcRect r="4912"/>
                    <a:stretch/>
                  </pic:blipFill>
                  <pic:spPr bwMode="auto">
                    <a:xfrm>
                      <a:off x="0" y="0"/>
                      <a:ext cx="6120000" cy="3980151"/>
                    </a:xfrm>
                    <a:prstGeom prst="rect">
                      <a:avLst/>
                    </a:prstGeom>
                    <a:noFill/>
                    <a:ln>
                      <a:noFill/>
                    </a:ln>
                    <a:extLst>
                      <a:ext uri="{53640926-AAD7-44D8-BBD7-CCE9431645EC}">
                        <a14:shadowObscured xmlns:a14="http://schemas.microsoft.com/office/drawing/2010/main"/>
                      </a:ext>
                    </a:extLst>
                  </pic:spPr>
                </pic:pic>
              </a:graphicData>
            </a:graphic>
          </wp:inline>
        </w:drawing>
      </w:r>
    </w:p>
    <w:p w14:paraId="4851303A" w14:textId="743C24C0" w:rsidR="005A0D3F" w:rsidRDefault="00834DAB">
      <w:pPr>
        <w:adjustRightInd w:val="0"/>
        <w:snapToGrid w:val="0"/>
        <w:ind w:firstLineChars="0" w:firstLine="0"/>
        <w:rPr>
          <w:szCs w:val="24"/>
        </w:rPr>
      </w:pPr>
      <w:r>
        <w:rPr>
          <w:b/>
          <w:bCs/>
        </w:rPr>
        <w:t xml:space="preserve">Fig.S8. Stabilization of the microcomb devices. a, </w:t>
      </w:r>
      <w:r>
        <w:t>Setup for generating and stabilizing the dual comb device,</w:t>
      </w:r>
      <w:r>
        <w:rPr>
          <w:szCs w:val="24"/>
        </w:rPr>
        <w:t xml:space="preserve"> it includes an optical reference, an FPGA processor and 3 connected chips. </w:t>
      </w:r>
      <w:r>
        <w:rPr>
          <w:b/>
          <w:szCs w:val="24"/>
        </w:rPr>
        <w:t>b,</w:t>
      </w:r>
      <w:r>
        <w:rPr>
          <w:szCs w:val="24"/>
        </w:rPr>
        <w:t xml:space="preserve"> Measured spectrum showing that we use an optical reference to mix the selected optical lines. Red, grey, </w:t>
      </w:r>
      <w:r w:rsidR="00AC7135">
        <w:rPr>
          <w:rFonts w:hint="eastAsia"/>
          <w:szCs w:val="24"/>
        </w:rPr>
        <w:t>green</w:t>
      </w:r>
      <w:r>
        <w:rPr>
          <w:szCs w:val="24"/>
        </w:rPr>
        <w:t xml:space="preserve"> and </w:t>
      </w:r>
      <w:r w:rsidR="00AC7135">
        <w:rPr>
          <w:rFonts w:hint="eastAsia"/>
          <w:szCs w:val="24"/>
        </w:rPr>
        <w:t>orange</w:t>
      </w:r>
      <w:r>
        <w:rPr>
          <w:szCs w:val="24"/>
        </w:rPr>
        <w:t xml:space="preserve"> curves show the optical frequencies detected in PD1 to PD4. </w:t>
      </w:r>
      <w:r>
        <w:rPr>
          <w:b/>
          <w:szCs w:val="24"/>
        </w:rPr>
        <w:t>c,</w:t>
      </w:r>
      <w:r>
        <w:rPr>
          <w:szCs w:val="24"/>
        </w:rPr>
        <w:t xml:space="preserve"> Measured beat notes in radio frequency domain, here i, ii, iii, iv illustrates beats from pump#1-ref, pump#2-ref, comb#1-ref, comb#2-ref, respectively. </w:t>
      </w:r>
      <w:r>
        <w:rPr>
          <w:b/>
          <w:szCs w:val="24"/>
        </w:rPr>
        <w:t xml:space="preserve">d, </w:t>
      </w:r>
      <w:r>
        <w:rPr>
          <w:szCs w:val="24"/>
        </w:rPr>
        <w:t xml:space="preserve">Temporal traces show the stabilization effect for suppressing the frequency drift of pumping frequency (left) and FSR (right). </w:t>
      </w:r>
    </w:p>
    <w:p w14:paraId="6DB3EA6C" w14:textId="77777777" w:rsidR="005A0D3F" w:rsidRDefault="005A0D3F">
      <w:pPr>
        <w:adjustRightInd w:val="0"/>
        <w:snapToGrid w:val="0"/>
        <w:ind w:firstLineChars="0" w:firstLine="0"/>
        <w:rPr>
          <w:szCs w:val="24"/>
        </w:rPr>
      </w:pPr>
    </w:p>
    <w:p w14:paraId="2A352AC5" w14:textId="77777777" w:rsidR="005A0D3F" w:rsidRDefault="00834DAB">
      <w:pPr>
        <w:pStyle w:val="2"/>
        <w:adjustRightInd w:val="0"/>
        <w:snapToGrid w:val="0"/>
        <w:rPr>
          <w:szCs w:val="24"/>
        </w:rPr>
      </w:pPr>
      <w:r>
        <w:rPr>
          <w:szCs w:val="24"/>
        </w:rPr>
        <w:t>S</w:t>
      </w:r>
      <w:r>
        <w:rPr>
          <w:rFonts w:hint="eastAsia"/>
          <w:szCs w:val="24"/>
        </w:rPr>
        <w:t>2</w:t>
      </w:r>
      <w:r>
        <w:rPr>
          <w:szCs w:val="24"/>
        </w:rPr>
        <w:t xml:space="preserve">.4. Extended data in acoustic localization experiment. </w:t>
      </w:r>
    </w:p>
    <w:p w14:paraId="54B69305" w14:textId="33B353DB" w:rsidR="005A0D3F" w:rsidRDefault="00834DAB">
      <w:pPr>
        <w:pStyle w:val="af1"/>
        <w:adjustRightInd w:val="0"/>
        <w:snapToGrid w:val="0"/>
        <w:spacing w:line="360" w:lineRule="auto"/>
        <w:ind w:firstLineChars="200" w:firstLine="480"/>
        <w:rPr>
          <w:bCs/>
          <w:sz w:val="24"/>
          <w:szCs w:val="24"/>
        </w:rPr>
      </w:pPr>
      <w:r>
        <w:rPr>
          <w:rFonts w:hint="eastAsia"/>
          <w:bCs/>
          <w:sz w:val="24"/>
          <w:szCs w:val="24"/>
        </w:rPr>
        <w:t>I</w:t>
      </w:r>
      <w:r>
        <w:rPr>
          <w:bCs/>
          <w:sz w:val="24"/>
          <w:szCs w:val="24"/>
        </w:rPr>
        <w:t xml:space="preserve">n </w:t>
      </w:r>
      <w:r>
        <w:rPr>
          <w:b/>
          <w:bCs/>
          <w:sz w:val="24"/>
          <w:szCs w:val="24"/>
        </w:rPr>
        <w:t xml:space="preserve">Fig. S9, </w:t>
      </w:r>
      <w:r>
        <w:rPr>
          <w:bCs/>
          <w:sz w:val="24"/>
          <w:szCs w:val="24"/>
        </w:rPr>
        <w:t xml:space="preserve">we show more detailed data related to the maintext Fig. 3. Here we show the cross-correlations of </w:t>
      </w:r>
      <w:r w:rsidRPr="00DC62A8">
        <w:rPr>
          <w:bCs/>
          <w:iCs/>
          <w:sz w:val="24"/>
          <w:szCs w:val="24"/>
        </w:rPr>
        <w:t>M</w:t>
      </w:r>
      <w:r w:rsidRPr="00DC62A8">
        <w:rPr>
          <w:bCs/>
          <w:i/>
          <w:sz w:val="24"/>
          <w:szCs w:val="24"/>
        </w:rPr>
        <w:t>i</w:t>
      </w:r>
      <w:r>
        <w:rPr>
          <w:bCs/>
          <w:i/>
          <w:sz w:val="24"/>
          <w:szCs w:val="24"/>
        </w:rPr>
        <w:t>-</w:t>
      </w:r>
      <w:r w:rsidRPr="00DC62A8">
        <w:rPr>
          <w:bCs/>
          <w:iCs/>
          <w:sz w:val="24"/>
          <w:szCs w:val="24"/>
        </w:rPr>
        <w:t>M</w:t>
      </w:r>
      <w:r w:rsidRPr="00DC62A8">
        <w:rPr>
          <w:bCs/>
          <w:i/>
          <w:sz w:val="24"/>
          <w:szCs w:val="24"/>
        </w:rPr>
        <w:t>j</w:t>
      </w:r>
      <w:r w:rsidRPr="00DC62A8">
        <w:rPr>
          <w:bCs/>
          <w:sz w:val="24"/>
          <w:szCs w:val="24"/>
        </w:rPr>
        <w:t xml:space="preserve"> </w:t>
      </w:r>
      <w:r>
        <w:rPr>
          <w:bCs/>
          <w:sz w:val="24"/>
          <w:szCs w:val="24"/>
        </w:rPr>
        <w:t xml:space="preserve">pairs one by one. In </w:t>
      </w:r>
      <w:r w:rsidR="00C91E7F">
        <w:rPr>
          <w:bCs/>
          <w:sz w:val="24"/>
          <w:szCs w:val="24"/>
        </w:rPr>
        <w:t>detail</w:t>
      </w:r>
      <w:r>
        <w:rPr>
          <w:bCs/>
          <w:sz w:val="24"/>
          <w:szCs w:val="24"/>
        </w:rPr>
        <w:t>, blue, red, orange, green, yellow, grey and purple curves illustrate the cross-correlated traces between M</w:t>
      </w:r>
      <w:r w:rsidRPr="00DC62A8">
        <w:rPr>
          <w:bCs/>
          <w:sz w:val="24"/>
          <w:szCs w:val="24"/>
        </w:rPr>
        <w:t>1</w:t>
      </w:r>
      <w:r>
        <w:rPr>
          <w:bCs/>
          <w:sz w:val="24"/>
          <w:szCs w:val="24"/>
        </w:rPr>
        <w:t>~M</w:t>
      </w:r>
      <w:r w:rsidRPr="00DC62A8">
        <w:rPr>
          <w:bCs/>
          <w:i/>
          <w:iCs/>
          <w:sz w:val="24"/>
          <w:szCs w:val="24"/>
        </w:rPr>
        <w:t xml:space="preserve">j </w:t>
      </w:r>
      <w:r>
        <w:rPr>
          <w:bCs/>
          <w:sz w:val="24"/>
          <w:szCs w:val="24"/>
        </w:rPr>
        <w:t>(</w:t>
      </w:r>
      <w:r w:rsidRPr="00521F2D">
        <w:rPr>
          <w:bCs/>
          <w:i/>
          <w:iCs/>
          <w:sz w:val="24"/>
          <w:szCs w:val="24"/>
        </w:rPr>
        <w:t>j</w:t>
      </w:r>
      <w:r>
        <w:rPr>
          <w:bCs/>
          <w:sz w:val="24"/>
          <w:szCs w:val="24"/>
        </w:rPr>
        <w:t xml:space="preserve"> = 2 to 8), M</w:t>
      </w:r>
      <w:r w:rsidRPr="00DC62A8">
        <w:rPr>
          <w:bCs/>
          <w:sz w:val="24"/>
          <w:szCs w:val="24"/>
        </w:rPr>
        <w:t>2</w:t>
      </w:r>
      <w:r>
        <w:rPr>
          <w:bCs/>
          <w:sz w:val="24"/>
          <w:szCs w:val="24"/>
        </w:rPr>
        <w:t>~M</w:t>
      </w:r>
      <w:r w:rsidRPr="00DC62A8">
        <w:rPr>
          <w:bCs/>
          <w:i/>
          <w:iCs/>
          <w:sz w:val="24"/>
          <w:szCs w:val="24"/>
        </w:rPr>
        <w:t>j</w:t>
      </w:r>
      <w:r>
        <w:rPr>
          <w:bCs/>
          <w:sz w:val="24"/>
          <w:szCs w:val="24"/>
        </w:rPr>
        <w:t xml:space="preserve"> (</w:t>
      </w:r>
      <w:r w:rsidRPr="00521F2D">
        <w:rPr>
          <w:bCs/>
          <w:i/>
          <w:iCs/>
          <w:sz w:val="24"/>
          <w:szCs w:val="24"/>
        </w:rPr>
        <w:t xml:space="preserve">j </w:t>
      </w:r>
      <w:r>
        <w:rPr>
          <w:bCs/>
          <w:sz w:val="24"/>
          <w:szCs w:val="24"/>
        </w:rPr>
        <w:t>= 3 to 8), M</w:t>
      </w:r>
      <w:r w:rsidRPr="00DC62A8">
        <w:rPr>
          <w:bCs/>
          <w:sz w:val="24"/>
          <w:szCs w:val="24"/>
        </w:rPr>
        <w:t>3</w:t>
      </w:r>
      <w:r>
        <w:rPr>
          <w:bCs/>
          <w:sz w:val="24"/>
          <w:szCs w:val="24"/>
        </w:rPr>
        <w:t>~M</w:t>
      </w:r>
      <w:r w:rsidRPr="00DC62A8">
        <w:rPr>
          <w:bCs/>
          <w:i/>
          <w:iCs/>
          <w:sz w:val="24"/>
          <w:szCs w:val="24"/>
        </w:rPr>
        <w:t>j</w:t>
      </w:r>
      <w:r>
        <w:rPr>
          <w:bCs/>
          <w:sz w:val="24"/>
          <w:szCs w:val="24"/>
        </w:rPr>
        <w:t xml:space="preserve"> (</w:t>
      </w:r>
      <w:r w:rsidRPr="00521F2D">
        <w:rPr>
          <w:bCs/>
          <w:i/>
          <w:iCs/>
          <w:sz w:val="24"/>
          <w:szCs w:val="24"/>
        </w:rPr>
        <w:t>j</w:t>
      </w:r>
      <w:r>
        <w:rPr>
          <w:bCs/>
          <w:sz w:val="24"/>
          <w:szCs w:val="24"/>
        </w:rPr>
        <w:t xml:space="preserve"> = 4 to 8), M</w:t>
      </w:r>
      <w:r w:rsidRPr="00DC62A8">
        <w:rPr>
          <w:bCs/>
          <w:sz w:val="24"/>
          <w:szCs w:val="24"/>
        </w:rPr>
        <w:t>4</w:t>
      </w:r>
      <w:r>
        <w:rPr>
          <w:bCs/>
          <w:sz w:val="24"/>
          <w:szCs w:val="24"/>
        </w:rPr>
        <w:t>~M</w:t>
      </w:r>
      <w:r w:rsidRPr="00DC62A8">
        <w:rPr>
          <w:bCs/>
          <w:i/>
          <w:iCs/>
          <w:sz w:val="24"/>
          <w:szCs w:val="24"/>
        </w:rPr>
        <w:t xml:space="preserve">j </w:t>
      </w:r>
      <w:r>
        <w:rPr>
          <w:bCs/>
          <w:sz w:val="24"/>
          <w:szCs w:val="24"/>
        </w:rPr>
        <w:t>(</w:t>
      </w:r>
      <w:r w:rsidRPr="00521F2D">
        <w:rPr>
          <w:bCs/>
          <w:i/>
          <w:iCs/>
          <w:sz w:val="24"/>
          <w:szCs w:val="24"/>
        </w:rPr>
        <w:t xml:space="preserve">j </w:t>
      </w:r>
      <w:r>
        <w:rPr>
          <w:bCs/>
          <w:sz w:val="24"/>
          <w:szCs w:val="24"/>
        </w:rPr>
        <w:t>= 5 to 8), M</w:t>
      </w:r>
      <w:r w:rsidRPr="00DC62A8">
        <w:rPr>
          <w:bCs/>
          <w:sz w:val="24"/>
          <w:szCs w:val="24"/>
        </w:rPr>
        <w:t>5</w:t>
      </w:r>
      <w:r>
        <w:rPr>
          <w:bCs/>
          <w:sz w:val="24"/>
          <w:szCs w:val="24"/>
        </w:rPr>
        <w:t>~M</w:t>
      </w:r>
      <w:r w:rsidRPr="00DC62A8">
        <w:rPr>
          <w:bCs/>
          <w:i/>
          <w:iCs/>
          <w:sz w:val="24"/>
          <w:szCs w:val="24"/>
        </w:rPr>
        <w:t>j</w:t>
      </w:r>
      <w:r>
        <w:rPr>
          <w:bCs/>
          <w:sz w:val="24"/>
          <w:szCs w:val="24"/>
        </w:rPr>
        <w:t xml:space="preserve"> (</w:t>
      </w:r>
      <w:r w:rsidRPr="00521F2D">
        <w:rPr>
          <w:bCs/>
          <w:i/>
          <w:iCs/>
          <w:sz w:val="24"/>
          <w:szCs w:val="24"/>
        </w:rPr>
        <w:t>j</w:t>
      </w:r>
      <w:r>
        <w:rPr>
          <w:bCs/>
          <w:sz w:val="24"/>
          <w:szCs w:val="24"/>
        </w:rPr>
        <w:t xml:space="preserve"> = 6 to 8), M</w:t>
      </w:r>
      <w:r w:rsidRPr="00DC62A8">
        <w:rPr>
          <w:bCs/>
          <w:sz w:val="24"/>
          <w:szCs w:val="24"/>
        </w:rPr>
        <w:t>6</w:t>
      </w:r>
      <w:r>
        <w:rPr>
          <w:bCs/>
          <w:sz w:val="24"/>
          <w:szCs w:val="24"/>
        </w:rPr>
        <w:t>~M</w:t>
      </w:r>
      <w:r w:rsidRPr="00DC62A8">
        <w:rPr>
          <w:bCs/>
          <w:i/>
          <w:iCs/>
          <w:sz w:val="24"/>
          <w:szCs w:val="24"/>
        </w:rPr>
        <w:t>j</w:t>
      </w:r>
      <w:r>
        <w:rPr>
          <w:bCs/>
          <w:sz w:val="24"/>
          <w:szCs w:val="24"/>
        </w:rPr>
        <w:t xml:space="preserve"> (</w:t>
      </w:r>
      <w:r w:rsidRPr="00521F2D">
        <w:rPr>
          <w:bCs/>
          <w:i/>
          <w:iCs/>
          <w:sz w:val="24"/>
          <w:szCs w:val="24"/>
        </w:rPr>
        <w:t>j</w:t>
      </w:r>
      <w:r>
        <w:rPr>
          <w:bCs/>
          <w:sz w:val="24"/>
          <w:szCs w:val="24"/>
        </w:rPr>
        <w:t xml:space="preserve"> = 7 to 8), and M</w:t>
      </w:r>
      <w:r w:rsidRPr="00DC62A8">
        <w:rPr>
          <w:bCs/>
          <w:sz w:val="24"/>
          <w:szCs w:val="24"/>
        </w:rPr>
        <w:t>7</w:t>
      </w:r>
      <w:r>
        <w:rPr>
          <w:bCs/>
          <w:sz w:val="24"/>
          <w:szCs w:val="24"/>
        </w:rPr>
        <w:t>~M</w:t>
      </w:r>
      <w:r w:rsidRPr="00DC62A8">
        <w:rPr>
          <w:bCs/>
          <w:sz w:val="24"/>
          <w:szCs w:val="24"/>
        </w:rPr>
        <w:t>8</w:t>
      </w:r>
      <w:r>
        <w:rPr>
          <w:bCs/>
          <w:sz w:val="24"/>
          <w:szCs w:val="24"/>
        </w:rPr>
        <w:t xml:space="preserve">. Totally, there are 28 correlations. Typically, when we use </w:t>
      </w:r>
      <w:r w:rsidRPr="001222CB">
        <w:rPr>
          <w:bCs/>
          <w:i/>
          <w:iCs/>
          <w:sz w:val="24"/>
          <w:szCs w:val="24"/>
        </w:rPr>
        <w:t>N</w:t>
      </w:r>
      <w:r>
        <w:rPr>
          <w:bCs/>
          <w:sz w:val="24"/>
          <w:szCs w:val="24"/>
        </w:rPr>
        <w:t xml:space="preserve"> sensors, </w:t>
      </w:r>
      <w:r w:rsidR="001222CB">
        <w:rPr>
          <w:bCs/>
          <w:sz w:val="24"/>
          <w:szCs w:val="24"/>
        </w:rPr>
        <w:t xml:space="preserve">the </w:t>
      </w:r>
      <w:r>
        <w:rPr>
          <w:bCs/>
          <w:sz w:val="24"/>
          <w:szCs w:val="24"/>
        </w:rPr>
        <w:t xml:space="preserve">total number of measurable cross-correlated traces is </w:t>
      </w:r>
      <w:r w:rsidRPr="001222CB">
        <w:rPr>
          <w:bCs/>
          <w:i/>
          <w:iCs/>
          <w:sz w:val="24"/>
          <w:szCs w:val="24"/>
        </w:rPr>
        <w:t>N</w:t>
      </w:r>
      <w:r>
        <w:rPr>
          <w:bCs/>
          <w:sz w:val="24"/>
          <w:szCs w:val="24"/>
        </w:rPr>
        <w:t>(</w:t>
      </w:r>
      <w:r w:rsidRPr="001222CB">
        <w:rPr>
          <w:bCs/>
          <w:i/>
          <w:iCs/>
          <w:sz w:val="24"/>
          <w:szCs w:val="24"/>
        </w:rPr>
        <w:t>N</w:t>
      </w:r>
      <w:r>
        <w:rPr>
          <w:bCs/>
          <w:sz w:val="24"/>
          <w:szCs w:val="24"/>
        </w:rPr>
        <w:t xml:space="preserve">-1)/2. For localizing a target in 3D space, there is data redundancy when using 8 sensors in the simultaneous measurement. But this also offers a capability to improve the accuracy. </w:t>
      </w:r>
    </w:p>
    <w:p w14:paraId="7B32FD48" w14:textId="0357DF5E" w:rsidR="005A0D3F" w:rsidRDefault="00E7043F">
      <w:pPr>
        <w:pStyle w:val="af1"/>
        <w:adjustRightInd w:val="0"/>
        <w:snapToGrid w:val="0"/>
        <w:spacing w:line="360" w:lineRule="auto"/>
        <w:jc w:val="center"/>
        <w:rPr>
          <w:b/>
          <w:bCs/>
          <w:sz w:val="24"/>
          <w:szCs w:val="24"/>
        </w:rPr>
      </w:pPr>
      <w:r w:rsidRPr="00B1622C">
        <w:rPr>
          <w:b/>
          <w:bCs/>
          <w:noProof/>
          <w:sz w:val="24"/>
          <w:szCs w:val="24"/>
        </w:rPr>
        <w:lastRenderedPageBreak/>
        <w:drawing>
          <wp:inline distT="0" distB="0" distL="0" distR="0" wp14:anchorId="5D20D670" wp14:editId="4FCF76DB">
            <wp:extent cx="6120000" cy="31285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a:extLst>
                        <a:ext uri="{28A0092B-C50C-407E-A947-70E740481C1C}">
                          <a14:useLocalDpi xmlns:a14="http://schemas.microsoft.com/office/drawing/2010/main" val="0"/>
                        </a:ext>
                      </a:extLst>
                    </a:blip>
                    <a:srcRect r="2102"/>
                    <a:stretch/>
                  </pic:blipFill>
                  <pic:spPr bwMode="auto">
                    <a:xfrm>
                      <a:off x="0" y="0"/>
                      <a:ext cx="6120000" cy="3128511"/>
                    </a:xfrm>
                    <a:prstGeom prst="rect">
                      <a:avLst/>
                    </a:prstGeom>
                    <a:noFill/>
                    <a:ln>
                      <a:noFill/>
                    </a:ln>
                    <a:extLst>
                      <a:ext uri="{53640926-AAD7-44D8-BBD7-CCE9431645EC}">
                        <a14:shadowObscured xmlns:a14="http://schemas.microsoft.com/office/drawing/2010/main"/>
                      </a:ext>
                    </a:extLst>
                  </pic:spPr>
                </pic:pic>
              </a:graphicData>
            </a:graphic>
          </wp:inline>
        </w:drawing>
      </w:r>
    </w:p>
    <w:p w14:paraId="6E2BA485" w14:textId="723B8E99" w:rsidR="005A0D3F" w:rsidRDefault="00834DAB">
      <w:pPr>
        <w:adjustRightInd w:val="0"/>
        <w:snapToGrid w:val="0"/>
        <w:ind w:firstLineChars="0" w:firstLine="0"/>
        <w:rPr>
          <w:rFonts w:cs="Times New Roman"/>
          <w:szCs w:val="24"/>
        </w:rPr>
      </w:pPr>
      <w:r>
        <w:rPr>
          <w:b/>
          <w:bCs/>
          <w:szCs w:val="24"/>
        </w:rPr>
        <w:t>Fig.S9. Temporal cross-correlations when using 8 FOMs to measure the coordinate of</w:t>
      </w:r>
      <w:r>
        <w:t xml:space="preserve"> </w:t>
      </w:r>
      <w:r w:rsidRPr="00FB20CF">
        <w:rPr>
          <w:b/>
          <w:bCs/>
        </w:rPr>
        <w:t xml:space="preserve">a </w:t>
      </w:r>
      <w:r w:rsidRPr="00FB20CF">
        <w:rPr>
          <w:b/>
          <w:bCs/>
          <w:szCs w:val="24"/>
        </w:rPr>
        <w:t>s</w:t>
      </w:r>
      <w:r>
        <w:rPr>
          <w:b/>
          <w:bCs/>
          <w:szCs w:val="24"/>
        </w:rPr>
        <w:t xml:space="preserve">tatic indoor target. </w:t>
      </w:r>
      <w:r>
        <w:rPr>
          <w:rFonts w:cs="Times New Roman"/>
          <w:bCs/>
          <w:szCs w:val="24"/>
        </w:rPr>
        <w:t>28 traces are demonstrated, here blue, red, orange, green, yellow, grey</w:t>
      </w:r>
      <w:r w:rsidR="00BF1D49">
        <w:rPr>
          <w:rFonts w:cs="Times New Roman"/>
          <w:bCs/>
          <w:szCs w:val="24"/>
        </w:rPr>
        <w:t>,</w:t>
      </w:r>
      <w:r>
        <w:rPr>
          <w:rFonts w:cs="Times New Roman"/>
          <w:bCs/>
          <w:szCs w:val="24"/>
        </w:rPr>
        <w:t xml:space="preserve"> and purple curves illustrate the cross-correlated traces between </w:t>
      </w:r>
      <w:r w:rsidR="005A6346" w:rsidRPr="00DC62A8">
        <w:rPr>
          <w:bCs/>
          <w:iCs/>
          <w:szCs w:val="24"/>
        </w:rPr>
        <w:t>M</w:t>
      </w:r>
      <w:r w:rsidR="005A6346" w:rsidRPr="00DC62A8">
        <w:rPr>
          <w:bCs/>
          <w:i/>
          <w:szCs w:val="24"/>
        </w:rPr>
        <w:t>i</w:t>
      </w:r>
      <w:r w:rsidR="005A6346">
        <w:rPr>
          <w:bCs/>
          <w:i/>
          <w:szCs w:val="24"/>
        </w:rPr>
        <w:t>-</w:t>
      </w:r>
      <w:r w:rsidR="005A6346" w:rsidRPr="00DC62A8">
        <w:rPr>
          <w:bCs/>
          <w:iCs/>
          <w:szCs w:val="24"/>
        </w:rPr>
        <w:t>M</w:t>
      </w:r>
      <w:r w:rsidR="005A6346" w:rsidRPr="00DC62A8">
        <w:rPr>
          <w:bCs/>
          <w:i/>
          <w:szCs w:val="24"/>
        </w:rPr>
        <w:t>j</w:t>
      </w:r>
      <w:r w:rsidR="005A6346" w:rsidRPr="00DC62A8">
        <w:rPr>
          <w:bCs/>
          <w:szCs w:val="24"/>
        </w:rPr>
        <w:t xml:space="preserve"> </w:t>
      </w:r>
      <w:r>
        <w:rPr>
          <w:rFonts w:cs="Times New Roman"/>
          <w:szCs w:val="24"/>
        </w:rPr>
        <w:t>(</w:t>
      </w:r>
      <w:r w:rsidRPr="00BF1D49">
        <w:rPr>
          <w:rFonts w:cs="Times New Roman"/>
          <w:i/>
          <w:iCs/>
          <w:szCs w:val="24"/>
        </w:rPr>
        <w:t>i</w:t>
      </w:r>
      <w:r w:rsidR="00BF1D49">
        <w:rPr>
          <w:rFonts w:cs="Times New Roman"/>
          <w:i/>
          <w:iCs/>
          <w:szCs w:val="24"/>
        </w:rPr>
        <w:t xml:space="preserve"> </w:t>
      </w:r>
      <w:r>
        <w:rPr>
          <w:rFonts w:cs="Times New Roman"/>
          <w:szCs w:val="24"/>
        </w:rPr>
        <w:t>≠</w:t>
      </w:r>
      <w:r w:rsidR="00BF1D49">
        <w:rPr>
          <w:rFonts w:cs="Times New Roman"/>
          <w:szCs w:val="24"/>
        </w:rPr>
        <w:t xml:space="preserve"> </w:t>
      </w:r>
      <w:r w:rsidRPr="00BF1D49">
        <w:rPr>
          <w:rFonts w:cs="Times New Roman"/>
          <w:i/>
          <w:iCs/>
          <w:szCs w:val="24"/>
        </w:rPr>
        <w:t>j</w:t>
      </w:r>
      <w:r>
        <w:rPr>
          <w:rFonts w:cs="Times New Roman"/>
          <w:szCs w:val="24"/>
        </w:rPr>
        <w:t>).</w:t>
      </w:r>
    </w:p>
    <w:p w14:paraId="1B537BC7" w14:textId="77777777" w:rsidR="005A0D3F" w:rsidRDefault="005A0D3F">
      <w:pPr>
        <w:pStyle w:val="af1"/>
        <w:adjustRightInd w:val="0"/>
        <w:snapToGrid w:val="0"/>
        <w:spacing w:line="360" w:lineRule="auto"/>
        <w:rPr>
          <w:b/>
          <w:bCs/>
          <w:sz w:val="24"/>
          <w:szCs w:val="24"/>
        </w:rPr>
      </w:pPr>
    </w:p>
    <w:p w14:paraId="6CC045B3" w14:textId="7D80B8B7" w:rsidR="005A0D3F" w:rsidRDefault="00834DAB">
      <w:pPr>
        <w:pStyle w:val="af1"/>
        <w:adjustRightInd w:val="0"/>
        <w:snapToGrid w:val="0"/>
        <w:spacing w:line="360" w:lineRule="auto"/>
        <w:ind w:firstLineChars="200" w:firstLine="480"/>
      </w:pPr>
      <w:r>
        <w:rPr>
          <w:rFonts w:hint="eastAsia"/>
          <w:bCs/>
          <w:sz w:val="24"/>
          <w:szCs w:val="24"/>
        </w:rPr>
        <w:t>I</w:t>
      </w:r>
      <w:r>
        <w:rPr>
          <w:bCs/>
          <w:sz w:val="24"/>
          <w:szCs w:val="24"/>
        </w:rPr>
        <w:t xml:space="preserve">n </w:t>
      </w:r>
      <w:r>
        <w:rPr>
          <w:b/>
          <w:bCs/>
          <w:sz w:val="24"/>
          <w:szCs w:val="24"/>
        </w:rPr>
        <w:t xml:space="preserve">Fig. S10, </w:t>
      </w:r>
      <w:r>
        <w:rPr>
          <w:bCs/>
          <w:sz w:val="24"/>
          <w:szCs w:val="24"/>
        </w:rPr>
        <w:t xml:space="preserve">we show more detailed data related to the maintext Fig. 4. In out-field measurements for localizing a UAV, we use four FOM sensors. </w:t>
      </w:r>
      <w:r w:rsidR="004E4A3B">
        <w:rPr>
          <w:bCs/>
          <w:sz w:val="24"/>
          <w:szCs w:val="24"/>
        </w:rPr>
        <w:t>Therefore,</w:t>
      </w:r>
      <w:r>
        <w:rPr>
          <w:bCs/>
          <w:sz w:val="24"/>
          <w:szCs w:val="24"/>
        </w:rPr>
        <w:t xml:space="preserve"> we demodulate 6 cross-correlations about arrival time differences. Originally, spatial coordinate of the UAV is at position 1 (-8.7 m, 2.1 m, 13.4 m), while the terminal is at position 2 (12.5 m, 10.1 m, 2.1 m). Here we illustrate the temporal correlations for these two positions. In this measurement, temporal sampling rate is 20 kHz. Specifically, at position 1, the measured correlation delays (</w:t>
      </w:r>
      <w:r w:rsidR="00E21F9F" w:rsidRPr="00DC62A8">
        <w:rPr>
          <w:bCs/>
          <w:iCs/>
          <w:sz w:val="24"/>
          <w:szCs w:val="24"/>
        </w:rPr>
        <w:t>M</w:t>
      </w:r>
      <w:r w:rsidR="00E21F9F" w:rsidRPr="00DC62A8">
        <w:rPr>
          <w:bCs/>
          <w:i/>
          <w:sz w:val="24"/>
          <w:szCs w:val="24"/>
        </w:rPr>
        <w:t>i</w:t>
      </w:r>
      <w:r w:rsidR="00E21F9F">
        <w:rPr>
          <w:bCs/>
          <w:i/>
          <w:sz w:val="24"/>
          <w:szCs w:val="24"/>
        </w:rPr>
        <w:t>-</w:t>
      </w:r>
      <w:r w:rsidR="00E21F9F" w:rsidRPr="00DC62A8">
        <w:rPr>
          <w:bCs/>
          <w:iCs/>
          <w:sz w:val="24"/>
          <w:szCs w:val="24"/>
        </w:rPr>
        <w:t>M</w:t>
      </w:r>
      <w:r w:rsidR="00E21F9F" w:rsidRPr="00DC62A8">
        <w:rPr>
          <w:bCs/>
          <w:i/>
          <w:sz w:val="24"/>
          <w:szCs w:val="24"/>
        </w:rPr>
        <w:t>j</w:t>
      </w:r>
      <w:r>
        <w:rPr>
          <w:rFonts w:cs="Times New Roman"/>
          <w:sz w:val="24"/>
          <w:szCs w:val="24"/>
        </w:rPr>
        <w:t xml:space="preserve">, </w:t>
      </w:r>
      <w:r w:rsidRPr="00A30ABF">
        <w:rPr>
          <w:rFonts w:cs="Times New Roman"/>
          <w:i/>
          <w:iCs/>
          <w:sz w:val="24"/>
          <w:szCs w:val="24"/>
        </w:rPr>
        <w:t>i</w:t>
      </w:r>
      <w:r w:rsidR="00BF1D49" w:rsidRPr="00A30ABF">
        <w:rPr>
          <w:rFonts w:cs="Times New Roman"/>
          <w:i/>
          <w:iCs/>
          <w:sz w:val="24"/>
          <w:szCs w:val="24"/>
        </w:rPr>
        <w:t xml:space="preserve"> </w:t>
      </w:r>
      <w:r>
        <w:rPr>
          <w:rFonts w:cs="Times New Roman"/>
          <w:sz w:val="24"/>
          <w:szCs w:val="24"/>
        </w:rPr>
        <w:t>≠</w:t>
      </w:r>
      <w:r w:rsidR="00BF1D49">
        <w:rPr>
          <w:rFonts w:cs="Times New Roman"/>
          <w:sz w:val="24"/>
          <w:szCs w:val="24"/>
        </w:rPr>
        <w:t xml:space="preserve"> </w:t>
      </w:r>
      <w:r w:rsidRPr="00A30ABF">
        <w:rPr>
          <w:rFonts w:cs="Times New Roman"/>
          <w:i/>
          <w:iCs/>
          <w:sz w:val="24"/>
          <w:szCs w:val="24"/>
        </w:rPr>
        <w:t>j</w:t>
      </w:r>
      <w:r>
        <w:rPr>
          <w:bCs/>
          <w:sz w:val="24"/>
          <w:szCs w:val="24"/>
        </w:rPr>
        <w:t xml:space="preserve">) are </w:t>
      </w:r>
      <w:r w:rsidR="00BE7ABD">
        <w:rPr>
          <w:rFonts w:hint="eastAsia"/>
          <w:bCs/>
          <w:sz w:val="24"/>
          <w:szCs w:val="24"/>
        </w:rPr>
        <w:t>0.6345</w:t>
      </w:r>
      <w:r>
        <w:rPr>
          <w:bCs/>
          <w:sz w:val="24"/>
          <w:szCs w:val="24"/>
        </w:rPr>
        <w:t xml:space="preserve"> ms, 0.1858 ms, -0.5265 ms, -0.</w:t>
      </w:r>
      <w:r w:rsidR="00BE7ABD">
        <w:rPr>
          <w:rFonts w:hint="eastAsia"/>
          <w:bCs/>
          <w:sz w:val="24"/>
          <w:szCs w:val="24"/>
        </w:rPr>
        <w:t>4488</w:t>
      </w:r>
      <w:r>
        <w:rPr>
          <w:bCs/>
          <w:sz w:val="24"/>
          <w:szCs w:val="24"/>
        </w:rPr>
        <w:t xml:space="preserve"> ms, -1.</w:t>
      </w:r>
      <w:r w:rsidR="00BE7ABD">
        <w:rPr>
          <w:rFonts w:hint="eastAsia"/>
          <w:bCs/>
          <w:sz w:val="24"/>
          <w:szCs w:val="24"/>
        </w:rPr>
        <w:t>1611</w:t>
      </w:r>
      <w:r>
        <w:rPr>
          <w:bCs/>
          <w:sz w:val="24"/>
          <w:szCs w:val="24"/>
        </w:rPr>
        <w:t xml:space="preserve"> ms and -0.7123 ms; at position 2, the corresponding numbers are -</w:t>
      </w:r>
      <w:r w:rsidR="00BE7ABD">
        <w:rPr>
          <w:rFonts w:hint="eastAsia"/>
          <w:bCs/>
          <w:sz w:val="24"/>
          <w:szCs w:val="24"/>
        </w:rPr>
        <w:t>0.9033</w:t>
      </w:r>
      <w:r>
        <w:rPr>
          <w:bCs/>
          <w:sz w:val="24"/>
          <w:szCs w:val="24"/>
        </w:rPr>
        <w:t xml:space="preserve"> ms, -1.0843 ms, -0.7805 ms, </w:t>
      </w:r>
      <w:r w:rsidR="00BE7ABD">
        <w:rPr>
          <w:rFonts w:hint="eastAsia"/>
          <w:bCs/>
          <w:sz w:val="24"/>
          <w:szCs w:val="24"/>
        </w:rPr>
        <w:t>-0.1810</w:t>
      </w:r>
      <w:r>
        <w:rPr>
          <w:bCs/>
          <w:sz w:val="24"/>
          <w:szCs w:val="24"/>
        </w:rPr>
        <w:t xml:space="preserve"> ms, </w:t>
      </w:r>
      <w:r w:rsidR="00BE7ABD">
        <w:rPr>
          <w:rFonts w:hint="eastAsia"/>
          <w:bCs/>
          <w:sz w:val="24"/>
          <w:szCs w:val="24"/>
        </w:rPr>
        <w:t>0.1228</w:t>
      </w:r>
      <w:r>
        <w:rPr>
          <w:bCs/>
          <w:sz w:val="24"/>
          <w:szCs w:val="24"/>
        </w:rPr>
        <w:t xml:space="preserve"> ms and </w:t>
      </w:r>
      <w:r w:rsidR="00BE7ABD">
        <w:rPr>
          <w:rFonts w:hint="eastAsia"/>
          <w:bCs/>
          <w:sz w:val="24"/>
          <w:szCs w:val="24"/>
        </w:rPr>
        <w:t>0.3039</w:t>
      </w:r>
      <w:r>
        <w:rPr>
          <w:bCs/>
          <w:sz w:val="24"/>
          <w:szCs w:val="24"/>
        </w:rPr>
        <w:t xml:space="preserve"> ms. </w:t>
      </w:r>
    </w:p>
    <w:p w14:paraId="273EDE03" w14:textId="01B52E9F" w:rsidR="005A0D3F" w:rsidRDefault="005A76DE">
      <w:pPr>
        <w:pStyle w:val="af1"/>
        <w:adjustRightInd w:val="0"/>
        <w:snapToGrid w:val="0"/>
        <w:spacing w:line="360" w:lineRule="auto"/>
        <w:jc w:val="center"/>
        <w:rPr>
          <w:b/>
          <w:bCs/>
        </w:rPr>
      </w:pPr>
      <w:r>
        <w:rPr>
          <w:b/>
          <w:bCs/>
          <w:noProof/>
        </w:rPr>
        <w:drawing>
          <wp:inline distT="0" distB="0" distL="0" distR="0" wp14:anchorId="79C70985" wp14:editId="4D4359DD">
            <wp:extent cx="6120000" cy="1517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000" cy="1517765"/>
                    </a:xfrm>
                    <a:prstGeom prst="rect">
                      <a:avLst/>
                    </a:prstGeom>
                    <a:noFill/>
                  </pic:spPr>
                </pic:pic>
              </a:graphicData>
            </a:graphic>
          </wp:inline>
        </w:drawing>
      </w:r>
    </w:p>
    <w:p w14:paraId="31D7E7D7" w14:textId="00E6FA6C" w:rsidR="005A0D3F" w:rsidRDefault="00834DAB">
      <w:pPr>
        <w:adjustRightInd w:val="0"/>
        <w:snapToGrid w:val="0"/>
        <w:ind w:firstLineChars="0" w:firstLine="0"/>
        <w:rPr>
          <w:rFonts w:cs="Times New Roman"/>
        </w:rPr>
      </w:pPr>
      <w:r>
        <w:rPr>
          <w:b/>
          <w:bCs/>
        </w:rPr>
        <w:t xml:space="preserve">Fig.S10. Temporal cross-correlations when using 4 FOMs to measure a UAV. a, </w:t>
      </w:r>
      <w:r>
        <w:rPr>
          <w:bCs/>
        </w:rPr>
        <w:t>at position 1.</w:t>
      </w:r>
      <w:r>
        <w:rPr>
          <w:b/>
          <w:bCs/>
        </w:rPr>
        <w:t xml:space="preserve"> b, </w:t>
      </w:r>
      <w:r>
        <w:rPr>
          <w:bCs/>
        </w:rPr>
        <w:t>at position 2.</w:t>
      </w:r>
      <w:r>
        <w:rPr>
          <w:b/>
          <w:bCs/>
        </w:rPr>
        <w:t xml:space="preserve"> </w:t>
      </w:r>
      <w:r>
        <w:rPr>
          <w:bCs/>
        </w:rPr>
        <w:t xml:space="preserve">In each panel, there are </w:t>
      </w:r>
      <w:r>
        <w:rPr>
          <w:rFonts w:cs="Times New Roman"/>
          <w:bCs/>
        </w:rPr>
        <w:t xml:space="preserve">6 traces, suggesting distinct acoustic propagation delay differences from the target to sensors, </w:t>
      </w:r>
      <w:r w:rsidR="00E21F9F" w:rsidRPr="00DC62A8">
        <w:rPr>
          <w:bCs/>
          <w:iCs/>
          <w:szCs w:val="24"/>
        </w:rPr>
        <w:t>M</w:t>
      </w:r>
      <w:r w:rsidR="00E21F9F" w:rsidRPr="00DC62A8">
        <w:rPr>
          <w:bCs/>
          <w:i/>
          <w:szCs w:val="24"/>
        </w:rPr>
        <w:t>i</w:t>
      </w:r>
      <w:r w:rsidR="00E21F9F">
        <w:rPr>
          <w:bCs/>
          <w:i/>
          <w:szCs w:val="24"/>
        </w:rPr>
        <w:t>-</w:t>
      </w:r>
      <w:r w:rsidR="00E21F9F" w:rsidRPr="00DC62A8">
        <w:rPr>
          <w:bCs/>
          <w:iCs/>
          <w:szCs w:val="24"/>
        </w:rPr>
        <w:t>M</w:t>
      </w:r>
      <w:r w:rsidR="00E21F9F" w:rsidRPr="00DC62A8">
        <w:rPr>
          <w:bCs/>
          <w:i/>
          <w:szCs w:val="24"/>
        </w:rPr>
        <w:t>j</w:t>
      </w:r>
      <w:r>
        <w:rPr>
          <w:rFonts w:cs="Times New Roman"/>
          <w:szCs w:val="24"/>
        </w:rPr>
        <w:t xml:space="preserve"> (</w:t>
      </w:r>
      <w:r w:rsidR="00BF1D49">
        <w:rPr>
          <w:rFonts w:cs="Times New Roman"/>
          <w:i/>
          <w:iCs/>
          <w:szCs w:val="24"/>
        </w:rPr>
        <w:t xml:space="preserve">i </w:t>
      </w:r>
      <w:r w:rsidR="00BF1D49">
        <w:rPr>
          <w:rFonts w:cs="Times New Roman"/>
          <w:szCs w:val="24"/>
        </w:rPr>
        <w:t xml:space="preserve">≠ </w:t>
      </w:r>
      <w:r w:rsidR="00BF1D49" w:rsidRPr="00BF1D49">
        <w:rPr>
          <w:rFonts w:cs="Times New Roman"/>
          <w:i/>
          <w:iCs/>
          <w:szCs w:val="24"/>
        </w:rPr>
        <w:t>j</w:t>
      </w:r>
      <w:r>
        <w:rPr>
          <w:rFonts w:cs="Times New Roman"/>
          <w:szCs w:val="24"/>
        </w:rPr>
        <w:t>)</w:t>
      </w:r>
      <w:r>
        <w:rPr>
          <w:rFonts w:cs="Times New Roman"/>
          <w:bCs/>
        </w:rPr>
        <w:t xml:space="preserve">. </w:t>
      </w:r>
    </w:p>
    <w:p w14:paraId="42E5F946" w14:textId="77777777" w:rsidR="005A0D3F" w:rsidRDefault="005A0D3F">
      <w:pPr>
        <w:widowControl/>
        <w:adjustRightInd w:val="0"/>
        <w:snapToGrid w:val="0"/>
        <w:ind w:firstLineChars="0" w:firstLine="0"/>
        <w:jc w:val="left"/>
        <w:rPr>
          <w:rFonts w:cs="Times New Roman"/>
          <w:b/>
          <w:szCs w:val="24"/>
        </w:rPr>
      </w:pPr>
    </w:p>
    <w:p w14:paraId="0B98C7ED" w14:textId="77777777" w:rsidR="005A0D3F" w:rsidRDefault="00834DAB">
      <w:pPr>
        <w:adjustRightInd w:val="0"/>
        <w:snapToGrid w:val="0"/>
        <w:ind w:firstLineChars="0" w:firstLine="0"/>
        <w:rPr>
          <w:rFonts w:cs="Times New Roman"/>
          <w:b/>
          <w:sz w:val="28"/>
        </w:rPr>
      </w:pPr>
      <w:r>
        <w:rPr>
          <w:rFonts w:cs="Times New Roman"/>
          <w:b/>
          <w:sz w:val="28"/>
        </w:rPr>
        <w:t>S</w:t>
      </w:r>
      <w:r>
        <w:rPr>
          <w:rFonts w:cs="Times New Roman" w:hint="eastAsia"/>
          <w:b/>
          <w:sz w:val="28"/>
        </w:rPr>
        <w:t>upplementary</w:t>
      </w:r>
      <w:r>
        <w:rPr>
          <w:rFonts w:cs="Times New Roman"/>
          <w:b/>
          <w:sz w:val="28"/>
        </w:rPr>
        <w:t xml:space="preserve"> references</w:t>
      </w:r>
    </w:p>
    <w:p w14:paraId="7DA582B0" w14:textId="77777777" w:rsidR="00C86053" w:rsidRPr="00C86053" w:rsidRDefault="00834DAB" w:rsidP="00C86053">
      <w:pPr>
        <w:pStyle w:val="af3"/>
        <w:ind w:firstLine="480"/>
        <w:rPr>
          <w:rFonts w:cs="Times New Roman"/>
        </w:rPr>
      </w:pPr>
      <w:r>
        <w:fldChar w:fldCharType="begin" w:fldLock="1"/>
      </w:r>
      <w:r>
        <w:instrText xml:space="preserve">ADDIN Mendeley Bibliography CSL_BIBLIOGRAPHY </w:instrText>
      </w:r>
      <w:r>
        <w:fldChar w:fldCharType="separate"/>
      </w:r>
      <w:r w:rsidR="00C86053" w:rsidRPr="00C86053">
        <w:rPr>
          <w:rFonts w:cs="Times New Roman"/>
        </w:rPr>
        <w:t>1.</w:t>
      </w:r>
      <w:r w:rsidR="00C86053" w:rsidRPr="00C86053">
        <w:rPr>
          <w:rFonts w:cs="Times New Roman"/>
        </w:rPr>
        <w:tab/>
        <w:t xml:space="preserve">Obrzud, E., Lecomte, S. &amp; Herr, T. Temporal solitons in microresonators driven by optical pulses. </w:t>
      </w:r>
      <w:r w:rsidR="00C86053" w:rsidRPr="00C86053">
        <w:rPr>
          <w:rFonts w:cs="Times New Roman"/>
          <w:i/>
          <w:iCs/>
        </w:rPr>
        <w:t>Nat. Photonics</w:t>
      </w:r>
      <w:r w:rsidR="00C86053" w:rsidRPr="00C86053">
        <w:rPr>
          <w:rFonts w:cs="Times New Roman"/>
        </w:rPr>
        <w:t xml:space="preserve"> </w:t>
      </w:r>
      <w:r w:rsidR="00C86053" w:rsidRPr="00C86053">
        <w:rPr>
          <w:rFonts w:cs="Times New Roman"/>
          <w:b/>
          <w:bCs/>
        </w:rPr>
        <w:t>11</w:t>
      </w:r>
      <w:r w:rsidR="00C86053" w:rsidRPr="00C86053">
        <w:rPr>
          <w:rFonts w:cs="Times New Roman"/>
        </w:rPr>
        <w:t>, 600–607 (2017).</w:t>
      </w:r>
    </w:p>
    <w:p w14:paraId="51939CC4" w14:textId="77777777" w:rsidR="00C86053" w:rsidRPr="00C86053" w:rsidRDefault="00C86053" w:rsidP="00C86053">
      <w:pPr>
        <w:pStyle w:val="af3"/>
        <w:ind w:firstLine="480"/>
        <w:rPr>
          <w:rFonts w:cs="Times New Roman"/>
        </w:rPr>
      </w:pPr>
      <w:r w:rsidRPr="00C86053">
        <w:rPr>
          <w:rFonts w:cs="Times New Roman"/>
        </w:rPr>
        <w:t>2.</w:t>
      </w:r>
      <w:r w:rsidRPr="00C86053">
        <w:rPr>
          <w:rFonts w:cs="Times New Roman"/>
        </w:rPr>
        <w:tab/>
        <w:t xml:space="preserve">Zhang, H. </w:t>
      </w:r>
      <w:r w:rsidRPr="00C86053">
        <w:rPr>
          <w:rFonts w:cs="Times New Roman"/>
          <w:i/>
          <w:iCs/>
        </w:rPr>
        <w:t>et al.</w:t>
      </w:r>
      <w:r w:rsidRPr="00C86053">
        <w:rPr>
          <w:rFonts w:cs="Times New Roman"/>
        </w:rPr>
        <w:t xml:space="preserve"> Soliton Microcombs Multiplexing Using Intracavity-Stimulated Brillouin Lasers. </w:t>
      </w:r>
      <w:r w:rsidRPr="00C86053">
        <w:rPr>
          <w:rFonts w:cs="Times New Roman"/>
          <w:i/>
          <w:iCs/>
        </w:rPr>
        <w:t>Phys. Rev. Lett.</w:t>
      </w:r>
      <w:r w:rsidRPr="00C86053">
        <w:rPr>
          <w:rFonts w:cs="Times New Roman"/>
        </w:rPr>
        <w:t xml:space="preserve"> </w:t>
      </w:r>
      <w:r w:rsidRPr="00C86053">
        <w:rPr>
          <w:rFonts w:cs="Times New Roman"/>
          <w:b/>
          <w:bCs/>
        </w:rPr>
        <w:t>130</w:t>
      </w:r>
      <w:r w:rsidRPr="00C86053">
        <w:rPr>
          <w:rFonts w:cs="Times New Roman"/>
        </w:rPr>
        <w:t>, 153802 (2023).</w:t>
      </w:r>
    </w:p>
    <w:p w14:paraId="26F1DB4E" w14:textId="77777777" w:rsidR="00C86053" w:rsidRPr="00C86053" w:rsidRDefault="00C86053" w:rsidP="00C86053">
      <w:pPr>
        <w:pStyle w:val="af3"/>
        <w:ind w:firstLine="480"/>
        <w:rPr>
          <w:rFonts w:cs="Times New Roman"/>
        </w:rPr>
      </w:pPr>
      <w:r w:rsidRPr="00C86053">
        <w:rPr>
          <w:rFonts w:cs="Times New Roman"/>
        </w:rPr>
        <w:t>3.</w:t>
      </w:r>
      <w:r w:rsidRPr="00C86053">
        <w:rPr>
          <w:rFonts w:cs="Times New Roman"/>
        </w:rPr>
        <w:tab/>
        <w:t xml:space="preserve">Zhou, H. </w:t>
      </w:r>
      <w:r w:rsidRPr="00C86053">
        <w:rPr>
          <w:rFonts w:cs="Times New Roman"/>
          <w:i/>
          <w:iCs/>
        </w:rPr>
        <w:t>et al.</w:t>
      </w:r>
      <w:r w:rsidRPr="00C86053">
        <w:rPr>
          <w:rFonts w:cs="Times New Roman"/>
        </w:rPr>
        <w:t xml:space="preserve"> Soliton bursts and deterministic dissipative Kerr soliton generation in auxiliary-assisted microcavities. </w:t>
      </w:r>
      <w:r w:rsidRPr="00C86053">
        <w:rPr>
          <w:rFonts w:cs="Times New Roman"/>
          <w:i/>
          <w:iCs/>
        </w:rPr>
        <w:t>Light Sci. Appl.</w:t>
      </w:r>
      <w:r w:rsidRPr="00C86053">
        <w:rPr>
          <w:rFonts w:cs="Times New Roman"/>
        </w:rPr>
        <w:t xml:space="preserve"> </w:t>
      </w:r>
      <w:r w:rsidRPr="00C86053">
        <w:rPr>
          <w:rFonts w:cs="Times New Roman"/>
          <w:b/>
          <w:bCs/>
        </w:rPr>
        <w:t>8</w:t>
      </w:r>
      <w:r w:rsidRPr="00C86053">
        <w:rPr>
          <w:rFonts w:cs="Times New Roman"/>
        </w:rPr>
        <w:t>, 50 (2019).</w:t>
      </w:r>
    </w:p>
    <w:p w14:paraId="2776F97B" w14:textId="77777777" w:rsidR="00C86053" w:rsidRPr="00C86053" w:rsidRDefault="00C86053" w:rsidP="00C86053">
      <w:pPr>
        <w:pStyle w:val="af3"/>
        <w:ind w:firstLine="480"/>
        <w:rPr>
          <w:rFonts w:cs="Times New Roman"/>
        </w:rPr>
      </w:pPr>
      <w:r w:rsidRPr="00C86053">
        <w:rPr>
          <w:rFonts w:cs="Times New Roman"/>
        </w:rPr>
        <w:t>4.</w:t>
      </w:r>
      <w:r w:rsidRPr="00C86053">
        <w:rPr>
          <w:rFonts w:cs="Times New Roman"/>
        </w:rPr>
        <w:tab/>
        <w:t xml:space="preserve">Lu, X., Wu, Y., Gong, Y. &amp; Rao, Y. A Miniature Fiber-Optic Microphone Based on an Annular Corrugated MEMS Diaphragm. </w:t>
      </w:r>
      <w:r w:rsidRPr="00C86053">
        <w:rPr>
          <w:rFonts w:cs="Times New Roman"/>
          <w:i/>
          <w:iCs/>
        </w:rPr>
        <w:t>J. Light. Technol.</w:t>
      </w:r>
      <w:r w:rsidRPr="00C86053">
        <w:rPr>
          <w:rFonts w:cs="Times New Roman"/>
        </w:rPr>
        <w:t xml:space="preserve"> </w:t>
      </w:r>
      <w:r w:rsidRPr="00C86053">
        <w:rPr>
          <w:rFonts w:cs="Times New Roman"/>
          <w:b/>
          <w:bCs/>
        </w:rPr>
        <w:t>36</w:t>
      </w:r>
      <w:r w:rsidRPr="00C86053">
        <w:rPr>
          <w:rFonts w:cs="Times New Roman"/>
        </w:rPr>
        <w:t>, 5224–5229 (2018).</w:t>
      </w:r>
    </w:p>
    <w:p w14:paraId="1A4DBBBA" w14:textId="77777777" w:rsidR="00C86053" w:rsidRPr="00C86053" w:rsidRDefault="00C86053" w:rsidP="00C86053">
      <w:pPr>
        <w:pStyle w:val="af3"/>
        <w:ind w:firstLine="480"/>
        <w:rPr>
          <w:rFonts w:cs="Times New Roman"/>
        </w:rPr>
      </w:pPr>
      <w:r w:rsidRPr="00C86053">
        <w:rPr>
          <w:rFonts w:cs="Times New Roman"/>
        </w:rPr>
        <w:t>5.</w:t>
      </w:r>
      <w:r w:rsidRPr="00C86053">
        <w:rPr>
          <w:rFonts w:cs="Times New Roman"/>
        </w:rPr>
        <w:tab/>
        <w:t xml:space="preserve">Rao, Y.-J. Recent progress in fiber-optic extrinsic Fabry–Perot interferometric sensors. </w:t>
      </w:r>
      <w:r w:rsidRPr="00C86053">
        <w:rPr>
          <w:rFonts w:cs="Times New Roman"/>
          <w:i/>
          <w:iCs/>
        </w:rPr>
        <w:t>Opt. Fiber Technol.</w:t>
      </w:r>
      <w:r w:rsidRPr="00C86053">
        <w:rPr>
          <w:rFonts w:cs="Times New Roman"/>
        </w:rPr>
        <w:t xml:space="preserve"> </w:t>
      </w:r>
      <w:r w:rsidRPr="00C86053">
        <w:rPr>
          <w:rFonts w:cs="Times New Roman"/>
          <w:b/>
          <w:bCs/>
        </w:rPr>
        <w:t>12</w:t>
      </w:r>
      <w:r w:rsidRPr="00C86053">
        <w:rPr>
          <w:rFonts w:cs="Times New Roman"/>
        </w:rPr>
        <w:t>, 227–237 (2006).</w:t>
      </w:r>
    </w:p>
    <w:p w14:paraId="33279275" w14:textId="77777777" w:rsidR="00C86053" w:rsidRPr="00C86053" w:rsidRDefault="00C86053" w:rsidP="00C86053">
      <w:pPr>
        <w:pStyle w:val="af3"/>
        <w:ind w:firstLine="480"/>
        <w:rPr>
          <w:rFonts w:cs="Times New Roman"/>
        </w:rPr>
      </w:pPr>
      <w:r w:rsidRPr="00C86053">
        <w:rPr>
          <w:rFonts w:cs="Times New Roman"/>
        </w:rPr>
        <w:t>6.</w:t>
      </w:r>
      <w:r w:rsidRPr="00C86053">
        <w:rPr>
          <w:rFonts w:cs="Times New Roman"/>
        </w:rPr>
        <w:tab/>
        <w:t xml:space="preserve">Wu, Y. </w:t>
      </w:r>
      <w:r w:rsidRPr="00C86053">
        <w:rPr>
          <w:rFonts w:cs="Times New Roman"/>
          <w:i/>
          <w:iCs/>
        </w:rPr>
        <w:t>et al.</w:t>
      </w:r>
      <w:r w:rsidRPr="00C86053">
        <w:rPr>
          <w:rFonts w:cs="Times New Roman"/>
        </w:rPr>
        <w:t xml:space="preserve"> A Highly Sensitive Fiber-Optic Microphone Based on Graphene Oxide Membrane. </w:t>
      </w:r>
      <w:r w:rsidRPr="00C86053">
        <w:rPr>
          <w:rFonts w:cs="Times New Roman"/>
          <w:i/>
          <w:iCs/>
        </w:rPr>
        <w:t>J. Light. Technol.</w:t>
      </w:r>
      <w:r w:rsidRPr="00C86053">
        <w:rPr>
          <w:rFonts w:cs="Times New Roman"/>
        </w:rPr>
        <w:t xml:space="preserve"> </w:t>
      </w:r>
      <w:r w:rsidRPr="00C86053">
        <w:rPr>
          <w:rFonts w:cs="Times New Roman"/>
          <w:b/>
          <w:bCs/>
        </w:rPr>
        <w:t>35</w:t>
      </w:r>
      <w:r w:rsidRPr="00C86053">
        <w:rPr>
          <w:rFonts w:cs="Times New Roman"/>
        </w:rPr>
        <w:t>, 4344–4349 (2017).</w:t>
      </w:r>
    </w:p>
    <w:p w14:paraId="102A5BB6" w14:textId="77777777" w:rsidR="00C86053" w:rsidRPr="00C86053" w:rsidRDefault="00C86053" w:rsidP="00C86053">
      <w:pPr>
        <w:pStyle w:val="af3"/>
        <w:ind w:firstLine="480"/>
        <w:rPr>
          <w:rFonts w:cs="Times New Roman"/>
        </w:rPr>
      </w:pPr>
      <w:r w:rsidRPr="00C86053">
        <w:rPr>
          <w:rFonts w:cs="Times New Roman"/>
        </w:rPr>
        <w:t>7.</w:t>
      </w:r>
      <w:r w:rsidRPr="00C86053">
        <w:rPr>
          <w:rFonts w:cs="Times New Roman"/>
        </w:rPr>
        <w:tab/>
        <w:t xml:space="preserve">Khan, A., Philip, J. &amp; Hess, P. Young’s modulus of silicon nitride used in scanning force microscope cantilevers. </w:t>
      </w:r>
      <w:r w:rsidRPr="00C86053">
        <w:rPr>
          <w:rFonts w:cs="Times New Roman"/>
          <w:i/>
          <w:iCs/>
        </w:rPr>
        <w:t>J. Appl. Phys.</w:t>
      </w:r>
      <w:r w:rsidRPr="00C86053">
        <w:rPr>
          <w:rFonts w:cs="Times New Roman"/>
        </w:rPr>
        <w:t xml:space="preserve"> </w:t>
      </w:r>
      <w:r w:rsidRPr="00C86053">
        <w:rPr>
          <w:rFonts w:cs="Times New Roman"/>
          <w:b/>
          <w:bCs/>
        </w:rPr>
        <w:t>95</w:t>
      </w:r>
      <w:r w:rsidRPr="00C86053">
        <w:rPr>
          <w:rFonts w:cs="Times New Roman"/>
        </w:rPr>
        <w:t>, 1667–1672 (2004).</w:t>
      </w:r>
    </w:p>
    <w:p w14:paraId="440D1A5A" w14:textId="77777777" w:rsidR="00C86053" w:rsidRPr="00C86053" w:rsidRDefault="00C86053" w:rsidP="00C86053">
      <w:pPr>
        <w:pStyle w:val="af3"/>
        <w:ind w:firstLine="480"/>
        <w:rPr>
          <w:rFonts w:cs="Times New Roman"/>
        </w:rPr>
      </w:pPr>
      <w:r w:rsidRPr="00C86053">
        <w:rPr>
          <w:rFonts w:cs="Times New Roman"/>
        </w:rPr>
        <w:t>8.</w:t>
      </w:r>
      <w:r w:rsidRPr="00C86053">
        <w:rPr>
          <w:rFonts w:cs="Times New Roman"/>
        </w:rPr>
        <w:tab/>
        <w:t xml:space="preserve">Zhang, P. </w:t>
      </w:r>
      <w:r w:rsidRPr="00C86053">
        <w:rPr>
          <w:rFonts w:cs="Times New Roman"/>
          <w:i/>
          <w:iCs/>
        </w:rPr>
        <w:t>et al.</w:t>
      </w:r>
      <w:r w:rsidRPr="00C86053">
        <w:rPr>
          <w:rFonts w:cs="Times New Roman"/>
        </w:rPr>
        <w:t xml:space="preserve"> Generation of acoustic self-bending and bottle beams by phase engineering. </w:t>
      </w:r>
      <w:r w:rsidRPr="00C86053">
        <w:rPr>
          <w:rFonts w:cs="Times New Roman"/>
          <w:i/>
          <w:iCs/>
        </w:rPr>
        <w:t>Nat. Commun.</w:t>
      </w:r>
      <w:r w:rsidRPr="00C86053">
        <w:rPr>
          <w:rFonts w:cs="Times New Roman"/>
        </w:rPr>
        <w:t xml:space="preserve"> </w:t>
      </w:r>
      <w:r w:rsidRPr="00C86053">
        <w:rPr>
          <w:rFonts w:cs="Times New Roman"/>
          <w:b/>
          <w:bCs/>
        </w:rPr>
        <w:t>5</w:t>
      </w:r>
      <w:r w:rsidRPr="00C86053">
        <w:rPr>
          <w:rFonts w:cs="Times New Roman"/>
        </w:rPr>
        <w:t>, 4316 (2014).</w:t>
      </w:r>
    </w:p>
    <w:p w14:paraId="45B8C23E" w14:textId="77777777" w:rsidR="00C86053" w:rsidRPr="00C86053" w:rsidRDefault="00C86053" w:rsidP="00C86053">
      <w:pPr>
        <w:pStyle w:val="af3"/>
        <w:ind w:firstLine="480"/>
        <w:rPr>
          <w:rFonts w:cs="Times New Roman"/>
        </w:rPr>
      </w:pPr>
      <w:r w:rsidRPr="00C86053">
        <w:rPr>
          <w:rFonts w:cs="Times New Roman"/>
        </w:rPr>
        <w:t>9.</w:t>
      </w:r>
      <w:r w:rsidRPr="00C86053">
        <w:rPr>
          <w:rFonts w:cs="Times New Roman"/>
        </w:rPr>
        <w:tab/>
        <w:t xml:space="preserve">Cao, S., Chen, X., Zhang, X. &amp; Chen, X. Effective Audio Signal Arrival Time Detection Algorithm for Realization of Robust Acoustic Indoor Positioning. </w:t>
      </w:r>
      <w:r w:rsidRPr="00C86053">
        <w:rPr>
          <w:rFonts w:cs="Times New Roman"/>
          <w:i/>
          <w:iCs/>
        </w:rPr>
        <w:t>IEEE Trans. Instrum. Meas.</w:t>
      </w:r>
      <w:r w:rsidRPr="00C86053">
        <w:rPr>
          <w:rFonts w:cs="Times New Roman"/>
        </w:rPr>
        <w:t xml:space="preserve"> </w:t>
      </w:r>
      <w:r w:rsidRPr="00C86053">
        <w:rPr>
          <w:rFonts w:cs="Times New Roman"/>
          <w:b/>
          <w:bCs/>
        </w:rPr>
        <w:t>69</w:t>
      </w:r>
      <w:r w:rsidRPr="00C86053">
        <w:rPr>
          <w:rFonts w:cs="Times New Roman"/>
        </w:rPr>
        <w:t>, 7341–7352 (2020).</w:t>
      </w:r>
    </w:p>
    <w:p w14:paraId="5C008C4E" w14:textId="77777777" w:rsidR="00C86053" w:rsidRPr="00C86053" w:rsidRDefault="00C86053" w:rsidP="00C86053">
      <w:pPr>
        <w:pStyle w:val="af3"/>
        <w:ind w:firstLine="480"/>
        <w:rPr>
          <w:rFonts w:cs="Times New Roman"/>
        </w:rPr>
      </w:pPr>
      <w:r w:rsidRPr="00C86053">
        <w:rPr>
          <w:rFonts w:cs="Times New Roman"/>
        </w:rPr>
        <w:t>10.</w:t>
      </w:r>
      <w:r w:rsidRPr="00C86053">
        <w:rPr>
          <w:rFonts w:cs="Times New Roman"/>
        </w:rPr>
        <w:tab/>
        <w:t xml:space="preserve">Jansen, H., Gardeniers, H., Boer, M. de, Elwenspoek, M. &amp; Fluitman, J. A survey on the reactive ion etching of silicon in microtechnology. </w:t>
      </w:r>
      <w:r w:rsidRPr="00C86053">
        <w:rPr>
          <w:rFonts w:cs="Times New Roman"/>
          <w:i/>
          <w:iCs/>
        </w:rPr>
        <w:t>J. Micromechanics Microengineering</w:t>
      </w:r>
      <w:r w:rsidRPr="00C86053">
        <w:rPr>
          <w:rFonts w:cs="Times New Roman"/>
        </w:rPr>
        <w:t xml:space="preserve"> </w:t>
      </w:r>
      <w:r w:rsidRPr="00C86053">
        <w:rPr>
          <w:rFonts w:cs="Times New Roman"/>
          <w:b/>
          <w:bCs/>
        </w:rPr>
        <w:t>6</w:t>
      </w:r>
      <w:r w:rsidRPr="00C86053">
        <w:rPr>
          <w:rFonts w:cs="Times New Roman"/>
        </w:rPr>
        <w:t>, 14 (1996).</w:t>
      </w:r>
    </w:p>
    <w:p w14:paraId="1C1366A1" w14:textId="77777777" w:rsidR="00C86053" w:rsidRPr="00C86053" w:rsidRDefault="00C86053" w:rsidP="00C86053">
      <w:pPr>
        <w:pStyle w:val="af3"/>
        <w:ind w:firstLine="480"/>
        <w:rPr>
          <w:rFonts w:cs="Times New Roman"/>
        </w:rPr>
      </w:pPr>
      <w:r w:rsidRPr="00C86053">
        <w:rPr>
          <w:rFonts w:cs="Times New Roman"/>
        </w:rPr>
        <w:t>11.</w:t>
      </w:r>
      <w:r w:rsidRPr="00C86053">
        <w:rPr>
          <w:rFonts w:cs="Times New Roman"/>
        </w:rPr>
        <w:tab/>
        <w:t xml:space="preserve">Yi, X., Yang, Q.-F., Yang, K. Y., Suh, M.-G. &amp; Vahala, K. Soliton frequency comb at microwave rates in a high-Q silica microresonator. </w:t>
      </w:r>
      <w:r w:rsidRPr="00C86053">
        <w:rPr>
          <w:rFonts w:cs="Times New Roman"/>
          <w:i/>
          <w:iCs/>
        </w:rPr>
        <w:t>Optica</w:t>
      </w:r>
      <w:r w:rsidRPr="00C86053">
        <w:rPr>
          <w:rFonts w:cs="Times New Roman"/>
        </w:rPr>
        <w:t xml:space="preserve"> </w:t>
      </w:r>
      <w:r w:rsidRPr="00C86053">
        <w:rPr>
          <w:rFonts w:cs="Times New Roman"/>
          <w:b/>
          <w:bCs/>
        </w:rPr>
        <w:t>2</w:t>
      </w:r>
      <w:r w:rsidRPr="00C86053">
        <w:rPr>
          <w:rFonts w:cs="Times New Roman"/>
        </w:rPr>
        <w:t>, 1078–1085 (2015).</w:t>
      </w:r>
    </w:p>
    <w:p w14:paraId="5E2F7200" w14:textId="714243B1" w:rsidR="005A0D3F" w:rsidRDefault="00834DAB" w:rsidP="001F2DA6">
      <w:pPr>
        <w:adjustRightInd w:val="0"/>
        <w:snapToGrid w:val="0"/>
        <w:ind w:firstLineChars="83" w:firstLine="199"/>
      </w:pPr>
      <w:r>
        <w:fldChar w:fldCharType="end"/>
      </w:r>
    </w:p>
    <w:sectPr w:rsidR="005A0D3F">
      <w:headerReference w:type="even" r:id="rId58"/>
      <w:headerReference w:type="default" r:id="rId59"/>
      <w:footerReference w:type="even" r:id="rId60"/>
      <w:footerReference w:type="default" r:id="rId61"/>
      <w:headerReference w:type="first" r:id="rId62"/>
      <w:footerReference w:type="first" r:id="rId6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857C" w14:textId="77777777" w:rsidR="004B671F" w:rsidRDefault="004B671F">
      <w:pPr>
        <w:spacing w:line="240" w:lineRule="auto"/>
        <w:ind w:firstLine="480"/>
      </w:pPr>
      <w:r>
        <w:separator/>
      </w:r>
    </w:p>
  </w:endnote>
  <w:endnote w:type="continuationSeparator" w:id="0">
    <w:p w14:paraId="3F565E70" w14:textId="77777777" w:rsidR="004B671F" w:rsidRDefault="004B671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E4BF" w14:textId="77777777" w:rsidR="005A0D3F" w:rsidRDefault="005A0D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ED4A" w14:textId="77777777" w:rsidR="005A0D3F" w:rsidRDefault="005A0D3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66D5" w14:textId="77777777" w:rsidR="005A0D3F" w:rsidRDefault="005A0D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EE36C" w14:textId="77777777" w:rsidR="004B671F" w:rsidRDefault="004B671F">
      <w:pPr>
        <w:ind w:firstLine="480"/>
      </w:pPr>
      <w:r>
        <w:separator/>
      </w:r>
    </w:p>
  </w:footnote>
  <w:footnote w:type="continuationSeparator" w:id="0">
    <w:p w14:paraId="79305F73" w14:textId="77777777" w:rsidR="004B671F" w:rsidRDefault="004B671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185C" w14:textId="77777777" w:rsidR="005A0D3F" w:rsidRDefault="005A0D3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B57A" w14:textId="77777777" w:rsidR="005A0D3F" w:rsidRDefault="005A0D3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1114" w14:textId="77777777" w:rsidR="005A0D3F" w:rsidRDefault="005A0D3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QyNWE2ODdjZDU1OWYyZjEzMTZmN2JiYzkzMzRjYjUifQ=="/>
  </w:docVars>
  <w:rsids>
    <w:rsidRoot w:val="00DE0676"/>
    <w:rsid w:val="00002454"/>
    <w:rsid w:val="000069E6"/>
    <w:rsid w:val="00026355"/>
    <w:rsid w:val="00032EFA"/>
    <w:rsid w:val="00035E4C"/>
    <w:rsid w:val="0003725D"/>
    <w:rsid w:val="00062239"/>
    <w:rsid w:val="000631E0"/>
    <w:rsid w:val="000635D7"/>
    <w:rsid w:val="000779D1"/>
    <w:rsid w:val="00083ED2"/>
    <w:rsid w:val="00097B7F"/>
    <w:rsid w:val="000A419A"/>
    <w:rsid w:val="000B1D30"/>
    <w:rsid w:val="000E3B8F"/>
    <w:rsid w:val="000E7982"/>
    <w:rsid w:val="00102F89"/>
    <w:rsid w:val="00111D88"/>
    <w:rsid w:val="00116BF4"/>
    <w:rsid w:val="001222CB"/>
    <w:rsid w:val="00132EA9"/>
    <w:rsid w:val="00137513"/>
    <w:rsid w:val="00141B40"/>
    <w:rsid w:val="00147E00"/>
    <w:rsid w:val="00153299"/>
    <w:rsid w:val="00154723"/>
    <w:rsid w:val="00155541"/>
    <w:rsid w:val="001557AB"/>
    <w:rsid w:val="00160864"/>
    <w:rsid w:val="0018506E"/>
    <w:rsid w:val="001927BF"/>
    <w:rsid w:val="0019454B"/>
    <w:rsid w:val="001A2CC4"/>
    <w:rsid w:val="001A4621"/>
    <w:rsid w:val="001C3886"/>
    <w:rsid w:val="001C573F"/>
    <w:rsid w:val="001D0035"/>
    <w:rsid w:val="001D1068"/>
    <w:rsid w:val="001D3A18"/>
    <w:rsid w:val="001D7C4E"/>
    <w:rsid w:val="001F2A5E"/>
    <w:rsid w:val="001F2DA6"/>
    <w:rsid w:val="001F730A"/>
    <w:rsid w:val="00200D4B"/>
    <w:rsid w:val="00200EE8"/>
    <w:rsid w:val="00204665"/>
    <w:rsid w:val="002114BE"/>
    <w:rsid w:val="00216D85"/>
    <w:rsid w:val="002456CF"/>
    <w:rsid w:val="002618B9"/>
    <w:rsid w:val="0026354D"/>
    <w:rsid w:val="00277800"/>
    <w:rsid w:val="0029000B"/>
    <w:rsid w:val="002A6987"/>
    <w:rsid w:val="002A6E49"/>
    <w:rsid w:val="002D6902"/>
    <w:rsid w:val="002E39D8"/>
    <w:rsid w:val="002E41E3"/>
    <w:rsid w:val="002E779F"/>
    <w:rsid w:val="003014D3"/>
    <w:rsid w:val="0031479C"/>
    <w:rsid w:val="00330399"/>
    <w:rsid w:val="0033393E"/>
    <w:rsid w:val="00341B39"/>
    <w:rsid w:val="003433F9"/>
    <w:rsid w:val="00345DC3"/>
    <w:rsid w:val="0034789B"/>
    <w:rsid w:val="00361975"/>
    <w:rsid w:val="00367DE9"/>
    <w:rsid w:val="0038592D"/>
    <w:rsid w:val="003867CA"/>
    <w:rsid w:val="003B7275"/>
    <w:rsid w:val="003D08B9"/>
    <w:rsid w:val="003F12EB"/>
    <w:rsid w:val="00401B63"/>
    <w:rsid w:val="00414358"/>
    <w:rsid w:val="0042199C"/>
    <w:rsid w:val="00430497"/>
    <w:rsid w:val="0043541B"/>
    <w:rsid w:val="0043609D"/>
    <w:rsid w:val="004459EF"/>
    <w:rsid w:val="00464C0B"/>
    <w:rsid w:val="004665C7"/>
    <w:rsid w:val="00473D8E"/>
    <w:rsid w:val="004767B0"/>
    <w:rsid w:val="004A2AC0"/>
    <w:rsid w:val="004B671F"/>
    <w:rsid w:val="004D3349"/>
    <w:rsid w:val="004D41E5"/>
    <w:rsid w:val="004D4E44"/>
    <w:rsid w:val="004E4A3B"/>
    <w:rsid w:val="004F056A"/>
    <w:rsid w:val="004F22A8"/>
    <w:rsid w:val="005024AB"/>
    <w:rsid w:val="00503DF6"/>
    <w:rsid w:val="00511473"/>
    <w:rsid w:val="00521F2D"/>
    <w:rsid w:val="0053579C"/>
    <w:rsid w:val="00540C07"/>
    <w:rsid w:val="0054197A"/>
    <w:rsid w:val="00542942"/>
    <w:rsid w:val="00543E63"/>
    <w:rsid w:val="00556AB5"/>
    <w:rsid w:val="005607FC"/>
    <w:rsid w:val="0057434C"/>
    <w:rsid w:val="0058288E"/>
    <w:rsid w:val="00584607"/>
    <w:rsid w:val="00586F1D"/>
    <w:rsid w:val="005A0D3F"/>
    <w:rsid w:val="005A6346"/>
    <w:rsid w:val="005A6B5A"/>
    <w:rsid w:val="005A76DE"/>
    <w:rsid w:val="005B1E1B"/>
    <w:rsid w:val="005B225B"/>
    <w:rsid w:val="005C4677"/>
    <w:rsid w:val="005C6863"/>
    <w:rsid w:val="005D0C6B"/>
    <w:rsid w:val="005D1EBA"/>
    <w:rsid w:val="005D2D81"/>
    <w:rsid w:val="005D382C"/>
    <w:rsid w:val="005E613D"/>
    <w:rsid w:val="005F250A"/>
    <w:rsid w:val="00603DEE"/>
    <w:rsid w:val="00624023"/>
    <w:rsid w:val="00624784"/>
    <w:rsid w:val="00627E75"/>
    <w:rsid w:val="00627EC7"/>
    <w:rsid w:val="00663F6A"/>
    <w:rsid w:val="00681229"/>
    <w:rsid w:val="00685A29"/>
    <w:rsid w:val="006A5ADC"/>
    <w:rsid w:val="006C1DCF"/>
    <w:rsid w:val="006D3807"/>
    <w:rsid w:val="006D5F31"/>
    <w:rsid w:val="006E1F15"/>
    <w:rsid w:val="00703F79"/>
    <w:rsid w:val="00715D7E"/>
    <w:rsid w:val="0071612F"/>
    <w:rsid w:val="0072632D"/>
    <w:rsid w:val="00737A33"/>
    <w:rsid w:val="00743789"/>
    <w:rsid w:val="007631B1"/>
    <w:rsid w:val="00765B84"/>
    <w:rsid w:val="00772D5D"/>
    <w:rsid w:val="00776B57"/>
    <w:rsid w:val="00776D76"/>
    <w:rsid w:val="007832E7"/>
    <w:rsid w:val="00784163"/>
    <w:rsid w:val="0079331A"/>
    <w:rsid w:val="007945D7"/>
    <w:rsid w:val="007A67C2"/>
    <w:rsid w:val="007B170A"/>
    <w:rsid w:val="007C7EBB"/>
    <w:rsid w:val="007D0BB2"/>
    <w:rsid w:val="007E66C4"/>
    <w:rsid w:val="007F5434"/>
    <w:rsid w:val="007F70AF"/>
    <w:rsid w:val="00805F25"/>
    <w:rsid w:val="008118B0"/>
    <w:rsid w:val="00821DFD"/>
    <w:rsid w:val="00834DAB"/>
    <w:rsid w:val="0084028A"/>
    <w:rsid w:val="00844EB1"/>
    <w:rsid w:val="00847033"/>
    <w:rsid w:val="008516B6"/>
    <w:rsid w:val="00853272"/>
    <w:rsid w:val="0088569C"/>
    <w:rsid w:val="00887457"/>
    <w:rsid w:val="008B2C9E"/>
    <w:rsid w:val="008B392B"/>
    <w:rsid w:val="008C1227"/>
    <w:rsid w:val="008D2095"/>
    <w:rsid w:val="008F0EAD"/>
    <w:rsid w:val="00906D40"/>
    <w:rsid w:val="0091678A"/>
    <w:rsid w:val="009267EA"/>
    <w:rsid w:val="00931AD0"/>
    <w:rsid w:val="009347F3"/>
    <w:rsid w:val="00935C27"/>
    <w:rsid w:val="00945B99"/>
    <w:rsid w:val="0095712A"/>
    <w:rsid w:val="00973731"/>
    <w:rsid w:val="009819F9"/>
    <w:rsid w:val="00990C72"/>
    <w:rsid w:val="00991893"/>
    <w:rsid w:val="00992906"/>
    <w:rsid w:val="00994457"/>
    <w:rsid w:val="009C2B2A"/>
    <w:rsid w:val="009C39CF"/>
    <w:rsid w:val="009C3EC9"/>
    <w:rsid w:val="009C46A0"/>
    <w:rsid w:val="009D6B39"/>
    <w:rsid w:val="009E5013"/>
    <w:rsid w:val="00A114C4"/>
    <w:rsid w:val="00A13274"/>
    <w:rsid w:val="00A30ABF"/>
    <w:rsid w:val="00A44EC8"/>
    <w:rsid w:val="00A4775C"/>
    <w:rsid w:val="00A61D18"/>
    <w:rsid w:val="00A849EB"/>
    <w:rsid w:val="00A862AE"/>
    <w:rsid w:val="00AB3579"/>
    <w:rsid w:val="00AC18B8"/>
    <w:rsid w:val="00AC7135"/>
    <w:rsid w:val="00AD7539"/>
    <w:rsid w:val="00AE2C8F"/>
    <w:rsid w:val="00B0333C"/>
    <w:rsid w:val="00B05A9F"/>
    <w:rsid w:val="00B13824"/>
    <w:rsid w:val="00B335DC"/>
    <w:rsid w:val="00B5185E"/>
    <w:rsid w:val="00B638BF"/>
    <w:rsid w:val="00B67DF1"/>
    <w:rsid w:val="00B85CB8"/>
    <w:rsid w:val="00B865AA"/>
    <w:rsid w:val="00B97F44"/>
    <w:rsid w:val="00BA5812"/>
    <w:rsid w:val="00BB79B4"/>
    <w:rsid w:val="00BC044E"/>
    <w:rsid w:val="00BC1577"/>
    <w:rsid w:val="00BD2F10"/>
    <w:rsid w:val="00BD30A7"/>
    <w:rsid w:val="00BD31D8"/>
    <w:rsid w:val="00BE1222"/>
    <w:rsid w:val="00BE6E40"/>
    <w:rsid w:val="00BE7ABD"/>
    <w:rsid w:val="00BF1D49"/>
    <w:rsid w:val="00BF42BD"/>
    <w:rsid w:val="00C1266F"/>
    <w:rsid w:val="00C17AD7"/>
    <w:rsid w:val="00C322EA"/>
    <w:rsid w:val="00C523A1"/>
    <w:rsid w:val="00C667B0"/>
    <w:rsid w:val="00C70EC9"/>
    <w:rsid w:val="00C74DE0"/>
    <w:rsid w:val="00C75E92"/>
    <w:rsid w:val="00C86053"/>
    <w:rsid w:val="00C86A4B"/>
    <w:rsid w:val="00C91E7F"/>
    <w:rsid w:val="00CA3E1B"/>
    <w:rsid w:val="00CC03AA"/>
    <w:rsid w:val="00CC6CD7"/>
    <w:rsid w:val="00CD2F16"/>
    <w:rsid w:val="00CD7F95"/>
    <w:rsid w:val="00CE7E0D"/>
    <w:rsid w:val="00CF3EBB"/>
    <w:rsid w:val="00CF4A8B"/>
    <w:rsid w:val="00CF4F3B"/>
    <w:rsid w:val="00CF6F93"/>
    <w:rsid w:val="00D06B73"/>
    <w:rsid w:val="00D11F09"/>
    <w:rsid w:val="00D21EB6"/>
    <w:rsid w:val="00D26EA5"/>
    <w:rsid w:val="00D34C3B"/>
    <w:rsid w:val="00D37EBF"/>
    <w:rsid w:val="00D4517E"/>
    <w:rsid w:val="00D52939"/>
    <w:rsid w:val="00D86B5B"/>
    <w:rsid w:val="00D90E5F"/>
    <w:rsid w:val="00DA3A27"/>
    <w:rsid w:val="00DA4BFD"/>
    <w:rsid w:val="00DC139D"/>
    <w:rsid w:val="00DC62A8"/>
    <w:rsid w:val="00DD4BB8"/>
    <w:rsid w:val="00DE0676"/>
    <w:rsid w:val="00DF46BF"/>
    <w:rsid w:val="00E00BC9"/>
    <w:rsid w:val="00E1256F"/>
    <w:rsid w:val="00E140F6"/>
    <w:rsid w:val="00E179E4"/>
    <w:rsid w:val="00E21F9F"/>
    <w:rsid w:val="00E2510E"/>
    <w:rsid w:val="00E46936"/>
    <w:rsid w:val="00E54D72"/>
    <w:rsid w:val="00E56E2B"/>
    <w:rsid w:val="00E627CE"/>
    <w:rsid w:val="00E7043F"/>
    <w:rsid w:val="00E75FB5"/>
    <w:rsid w:val="00E81D7C"/>
    <w:rsid w:val="00E83234"/>
    <w:rsid w:val="00E978EB"/>
    <w:rsid w:val="00EA45F1"/>
    <w:rsid w:val="00EA7B72"/>
    <w:rsid w:val="00EC681B"/>
    <w:rsid w:val="00ED40FC"/>
    <w:rsid w:val="00EE53E8"/>
    <w:rsid w:val="00EE6734"/>
    <w:rsid w:val="00EE71AD"/>
    <w:rsid w:val="00F01847"/>
    <w:rsid w:val="00F037B3"/>
    <w:rsid w:val="00F15D5A"/>
    <w:rsid w:val="00F31D50"/>
    <w:rsid w:val="00F36552"/>
    <w:rsid w:val="00F4710D"/>
    <w:rsid w:val="00F54A5D"/>
    <w:rsid w:val="00F637C2"/>
    <w:rsid w:val="00F74731"/>
    <w:rsid w:val="00F81AFD"/>
    <w:rsid w:val="00F8278D"/>
    <w:rsid w:val="00F85DFA"/>
    <w:rsid w:val="00F93402"/>
    <w:rsid w:val="00F93A94"/>
    <w:rsid w:val="00FB20CF"/>
    <w:rsid w:val="00FB7395"/>
    <w:rsid w:val="00FD3D50"/>
    <w:rsid w:val="00FE1A7C"/>
    <w:rsid w:val="00FE4063"/>
    <w:rsid w:val="00FE76DC"/>
    <w:rsid w:val="00FF6D29"/>
    <w:rsid w:val="71483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D8A07"/>
  <w15:docId w15:val="{8F133D6C-43D6-48CE-999F-A618A6BC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ascii="Times New Roman" w:hAnsi="Times New Roman"/>
      <w:kern w:val="2"/>
      <w:sz w:val="24"/>
      <w:szCs w:val="22"/>
    </w:rPr>
  </w:style>
  <w:style w:type="paragraph" w:styleId="2">
    <w:name w:val="heading 2"/>
    <w:basedOn w:val="a"/>
    <w:next w:val="a"/>
    <w:link w:val="20"/>
    <w:uiPriority w:val="9"/>
    <w:unhideWhenUsed/>
    <w:qFormat/>
    <w:pPr>
      <w:keepNext/>
      <w:keepLines/>
      <w:ind w:firstLineChars="0" w:firstLine="0"/>
      <w:outlineLvl w:val="1"/>
    </w:pPr>
    <w:rPr>
      <w:rFonts w:eastAsiaTheme="majorEastAsia" w:cstheme="majorBidi"/>
      <w:b/>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footer"/>
    <w:basedOn w:val="a"/>
    <w:link w:val="a6"/>
    <w:autoRedefine/>
    <w:uiPriority w:val="99"/>
    <w:unhideWhenUsed/>
    <w:qFormat/>
    <w:pPr>
      <w:tabs>
        <w:tab w:val="center" w:pos="4153"/>
        <w:tab w:val="right" w:pos="8306"/>
      </w:tabs>
      <w:snapToGrid w:val="0"/>
      <w:spacing w:line="240" w:lineRule="auto"/>
      <w:ind w:firstLineChars="0" w:firstLine="0"/>
      <w:jc w:val="left"/>
    </w:pPr>
    <w:rPr>
      <w:rFonts w:asciiTheme="minorHAnsi" w:hAnsiTheme="minorHAnsi"/>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spacing w:line="240" w:lineRule="auto"/>
      <w:ind w:firstLineChars="0" w:firstLine="0"/>
      <w:jc w:val="center"/>
    </w:pPr>
    <w:rPr>
      <w:rFonts w:asciiTheme="minorHAnsi" w:hAnsiTheme="minorHAnsi"/>
      <w:sz w:val="18"/>
      <w:szCs w:val="18"/>
    </w:rPr>
  </w:style>
  <w:style w:type="paragraph" w:styleId="a9">
    <w:name w:val="annotation subject"/>
    <w:basedOn w:val="a3"/>
    <w:next w:val="a3"/>
    <w:link w:val="aa"/>
    <w:uiPriority w:val="99"/>
    <w:semiHidden/>
    <w:unhideWhenUsed/>
    <w:rPr>
      <w:b/>
      <w:bCs/>
    </w:rPr>
  </w:style>
  <w:style w:type="table" w:styleId="ab">
    <w:name w:val="Table Grid"/>
    <w:basedOn w:val="a1"/>
    <w:autoRedefine/>
    <w:uiPriority w:val="39"/>
    <w:qFormat/>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Light Shading"/>
    <w:basedOn w:val="a1"/>
    <w:autoRedefine/>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d">
    <w:name w:val="Hyperlink"/>
    <w:basedOn w:val="a0"/>
    <w:autoRedefine/>
    <w:uiPriority w:val="99"/>
    <w:unhideWhenUsed/>
    <w:qFormat/>
    <w:rPr>
      <w:color w:val="0563C1" w:themeColor="hyperlink"/>
      <w:u w:val="single"/>
    </w:rPr>
  </w:style>
  <w:style w:type="character" w:styleId="ae">
    <w:name w:val="annotation reference"/>
    <w:basedOn w:val="a0"/>
    <w:autoRedefine/>
    <w:uiPriority w:val="99"/>
    <w:semiHidden/>
    <w:unhideWhenUsed/>
    <w:qFormat/>
    <w:rPr>
      <w:sz w:val="21"/>
      <w:szCs w:val="21"/>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20">
    <w:name w:val="标题 2 字符"/>
    <w:basedOn w:val="a0"/>
    <w:link w:val="2"/>
    <w:autoRedefine/>
    <w:uiPriority w:val="9"/>
    <w:qFormat/>
    <w:rPr>
      <w:rFonts w:ascii="Times New Roman" w:eastAsiaTheme="majorEastAsia" w:hAnsi="Times New Roman" w:cstheme="majorBidi"/>
      <w:b/>
      <w:bCs/>
      <w:sz w:val="24"/>
      <w:szCs w:val="32"/>
    </w:rPr>
  </w:style>
  <w:style w:type="character" w:customStyle="1" w:styleId="30">
    <w:name w:val="标题 3 字符"/>
    <w:basedOn w:val="a0"/>
    <w:link w:val="3"/>
    <w:autoRedefine/>
    <w:uiPriority w:val="9"/>
    <w:rPr>
      <w:rFonts w:ascii="Times New Roman" w:hAnsi="Times New Roman"/>
      <w:b/>
      <w:bCs/>
      <w:sz w:val="32"/>
      <w:szCs w:val="32"/>
    </w:rPr>
  </w:style>
  <w:style w:type="paragraph" w:customStyle="1" w:styleId="SMText">
    <w:name w:val="SM Text"/>
    <w:basedOn w:val="a"/>
    <w:autoRedefine/>
    <w:qFormat/>
    <w:pPr>
      <w:widowControl/>
      <w:spacing w:line="240" w:lineRule="auto"/>
      <w:ind w:firstLineChars="0" w:firstLine="480"/>
      <w:jc w:val="left"/>
    </w:pPr>
    <w:rPr>
      <w:rFonts w:cs="Times New Roman"/>
      <w:kern w:val="0"/>
      <w:szCs w:val="20"/>
      <w:lang w:eastAsia="en-US"/>
    </w:rPr>
  </w:style>
  <w:style w:type="paragraph" w:customStyle="1" w:styleId="SMcaption">
    <w:name w:val="SM caption"/>
    <w:basedOn w:val="SMText"/>
    <w:autoRedefine/>
    <w:qFormat/>
    <w:pPr>
      <w:ind w:firstLine="0"/>
    </w:pPr>
  </w:style>
  <w:style w:type="paragraph" w:customStyle="1" w:styleId="af">
    <w:name w:val="公式"/>
    <w:basedOn w:val="a"/>
    <w:link w:val="af0"/>
    <w:autoRedefine/>
    <w:qFormat/>
    <w:pPr>
      <w:tabs>
        <w:tab w:val="center" w:pos="4253"/>
        <w:tab w:val="right" w:pos="8505"/>
      </w:tabs>
      <w:wordWrap w:val="0"/>
      <w:spacing w:line="240" w:lineRule="auto"/>
      <w:ind w:firstLineChars="0" w:firstLine="0"/>
      <w:jc w:val="right"/>
      <w:textAlignment w:val="center"/>
    </w:pPr>
    <w:rPr>
      <w:szCs w:val="24"/>
    </w:rPr>
  </w:style>
  <w:style w:type="character" w:customStyle="1" w:styleId="af0">
    <w:name w:val="公式 字符"/>
    <w:basedOn w:val="a0"/>
    <w:link w:val="af"/>
    <w:autoRedefine/>
    <w:rPr>
      <w:rFonts w:ascii="Times New Roman" w:hAnsi="Times New Roman"/>
      <w:sz w:val="24"/>
      <w:szCs w:val="24"/>
    </w:rPr>
  </w:style>
  <w:style w:type="paragraph" w:customStyle="1" w:styleId="af1">
    <w:name w:val="图注"/>
    <w:basedOn w:val="a"/>
    <w:link w:val="af2"/>
    <w:qFormat/>
    <w:pPr>
      <w:spacing w:line="240" w:lineRule="auto"/>
      <w:ind w:firstLineChars="0" w:firstLine="0"/>
    </w:pPr>
    <w:rPr>
      <w:sz w:val="21"/>
      <w:szCs w:val="21"/>
    </w:rPr>
  </w:style>
  <w:style w:type="character" w:customStyle="1" w:styleId="af2">
    <w:name w:val="图注 字符"/>
    <w:basedOn w:val="a0"/>
    <w:link w:val="af1"/>
    <w:autoRedefine/>
    <w:qFormat/>
    <w:rPr>
      <w:rFonts w:ascii="Times New Roman" w:hAnsi="Times New Roman"/>
      <w:szCs w:val="21"/>
    </w:rPr>
  </w:style>
  <w:style w:type="character" w:customStyle="1" w:styleId="a4">
    <w:name w:val="批注文字 字符"/>
    <w:basedOn w:val="a0"/>
    <w:link w:val="a3"/>
    <w:autoRedefine/>
    <w:uiPriority w:val="99"/>
    <w:semiHidden/>
    <w:qFormat/>
    <w:rPr>
      <w:rFonts w:ascii="Times New Roman" w:hAnsi="Times New Roman"/>
      <w:sz w:val="24"/>
    </w:rPr>
  </w:style>
  <w:style w:type="character" w:customStyle="1" w:styleId="aa">
    <w:name w:val="批注主题 字符"/>
    <w:basedOn w:val="a4"/>
    <w:link w:val="a9"/>
    <w:uiPriority w:val="99"/>
    <w:semiHidden/>
    <w:rPr>
      <w:rFonts w:ascii="Times New Roman" w:hAnsi="Times New Roman"/>
      <w:b/>
      <w:bCs/>
      <w:sz w:val="24"/>
    </w:rPr>
  </w:style>
  <w:style w:type="paragraph" w:styleId="af3">
    <w:name w:val="Bibliography"/>
    <w:basedOn w:val="a"/>
    <w:next w:val="a"/>
    <w:uiPriority w:val="37"/>
    <w:unhideWhenUsed/>
    <w:rsid w:val="00FE76DC"/>
  </w:style>
  <w:style w:type="paragraph" w:styleId="af4">
    <w:name w:val="Balloon Text"/>
    <w:basedOn w:val="a"/>
    <w:link w:val="af5"/>
    <w:uiPriority w:val="99"/>
    <w:semiHidden/>
    <w:unhideWhenUsed/>
    <w:rsid w:val="00DC139D"/>
    <w:pPr>
      <w:spacing w:line="240" w:lineRule="auto"/>
    </w:pPr>
    <w:rPr>
      <w:sz w:val="18"/>
      <w:szCs w:val="18"/>
    </w:rPr>
  </w:style>
  <w:style w:type="character" w:customStyle="1" w:styleId="af5">
    <w:name w:val="批注框文本 字符"/>
    <w:basedOn w:val="a0"/>
    <w:link w:val="af4"/>
    <w:uiPriority w:val="99"/>
    <w:semiHidden/>
    <w:rsid w:val="00DC139D"/>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2.wmf"/><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footer" Target="footer3.xml"/><Relationship Id="rId7" Type="http://schemas.openxmlformats.org/officeDocument/2006/relationships/hyperlink" Target="mailto:yaobaicheng@uestc.edu.cn"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image" Target="media/image26.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E94A6-369C-43AA-9AE9-74B0A1B8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17</Pages>
  <Words>5449</Words>
  <Characters>27842</Characters>
  <Application>Microsoft Office Word</Application>
  <DocSecurity>0</DocSecurity>
  <Lines>446</Lines>
  <Paragraphs>137</Paragraphs>
  <ScaleCrop>false</ScaleCrop>
  <Company/>
  <LinksUpToDate>false</LinksUpToDate>
  <CharactersWithSpaces>33285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欣玥 何</cp:lastModifiedBy>
  <cp:revision>283</cp:revision>
  <dcterms:created xsi:type="dcterms:W3CDTF">2024-03-22T03:03:00Z</dcterms:created>
  <dcterms:modified xsi:type="dcterms:W3CDTF">2024-04-07T08:42:00Z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http://www.zotero.org/styles/american-physics-society</vt:lpwstr>
  </property>
  <property fmtid="{D5CDD505-2E9C-101B-9397-08002B2CF9AE}" pid="5" name="Mendeley Recent Style Name 1_1">
    <vt:lpwstr>American Physical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http://www.zotero.org/styles/nano-letters</vt:lpwstr>
  </property>
  <property fmtid="{D5CDD505-2E9C-101B-9397-08002B2CF9AE}" pid="9" name="Mendeley Recent Style Name 3_1">
    <vt:lpwstr>Nano Letters</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http://csl.mendeley.com/styles/546749541/nature-2</vt:lpwstr>
  </property>
  <property fmtid="{D5CDD505-2E9C-101B-9397-08002B2CF9AE}" pid="13" name="Mendeley Recent Style Name 5_1">
    <vt:lpwstr>Nature - chenye qin</vt:lpwstr>
  </property>
  <property fmtid="{D5CDD505-2E9C-101B-9397-08002B2CF9AE}" pid="14" name="Mendeley Recent Style Id 6_1">
    <vt:lpwstr>http://www.zotero.org/styles/physical-review-letters</vt:lpwstr>
  </property>
  <property fmtid="{D5CDD505-2E9C-101B-9397-08002B2CF9AE}" pid="15" name="Mendeley Recent Style Name 6_1">
    <vt:lpwstr>Physical Review Letters</vt:lpwstr>
  </property>
  <property fmtid="{D5CDD505-2E9C-101B-9397-08002B2CF9AE}" pid="16" name="Mendeley Recent Style Id 7_1">
    <vt:lpwstr>http://www.zotero.org/styles/science-advances</vt:lpwstr>
  </property>
  <property fmtid="{D5CDD505-2E9C-101B-9397-08002B2CF9AE}" pid="17" name="Mendeley Recent Style Name 7_1">
    <vt:lpwstr>Science Advances</vt:lpwstr>
  </property>
  <property fmtid="{D5CDD505-2E9C-101B-9397-08002B2CF9AE}" pid="18" name="Mendeley Recent Style Id 8_1">
    <vt:lpwstr>http://www.zotero.org/styles/the-optical-society</vt:lpwstr>
  </property>
  <property fmtid="{D5CDD505-2E9C-101B-9397-08002B2CF9AE}" pid="19" name="Mendeley Recent Style Name 8_1">
    <vt:lpwstr>The Optical Society</vt:lpwstr>
  </property>
  <property fmtid="{D5CDD505-2E9C-101B-9397-08002B2CF9AE}" pid="20" name="Mendeley Recent Style Id 9_1">
    <vt:lpwstr>http://csl.mendeley.com/styles/599024881/PS</vt:lpwstr>
  </property>
  <property fmtid="{D5CDD505-2E9C-101B-9397-08002B2CF9AE}" pid="21" name="Mendeley Recent Style Name 9_1">
    <vt:lpwstr>photonics sensors- 安宁 安</vt:lpwstr>
  </property>
  <property fmtid="{D5CDD505-2E9C-101B-9397-08002B2CF9AE}" pid="22" name="Mendeley Document_1">
    <vt:lpwstr>True</vt:lpwstr>
  </property>
  <property fmtid="{D5CDD505-2E9C-101B-9397-08002B2CF9AE}" pid="23" name="Mendeley Unique User Id_1">
    <vt:lpwstr>d98eed1d-0667-3e44-b0bc-15359b7a492a</vt:lpwstr>
  </property>
  <property fmtid="{D5CDD505-2E9C-101B-9397-08002B2CF9AE}" pid="24" name="Mendeley Citation Style_1">
    <vt:lpwstr>http://www.zotero.org/styles/nature</vt:lpwstr>
  </property>
  <property fmtid="{D5CDD505-2E9C-101B-9397-08002B2CF9AE}" pid="25" name="GrammarlyDocumentId">
    <vt:lpwstr>cded131454ba6281274b6681c9a5164fab0a5f02ecb8a5924ab3bc5388ba0cca</vt:lpwstr>
  </property>
  <property fmtid="{D5CDD505-2E9C-101B-9397-08002B2CF9AE}" pid="26" name="KSOProductBuildVer">
    <vt:lpwstr>2052-12.1.0.16417</vt:lpwstr>
  </property>
  <property fmtid="{D5CDD505-2E9C-101B-9397-08002B2CF9AE}" pid="27" name="ICV">
    <vt:lpwstr>8929526BAB8C4C1BA70A451E3BA5D173_12</vt:lpwstr>
  </property>
  <property fmtid="{D5CDD505-2E9C-101B-9397-08002B2CF9AE}" pid="28" name="ZOTERO_PREF_1">
    <vt:lpwstr>&lt;data data-version="3" zotero-version="6.0.36"&gt;&lt;session id="7KFSzQ2n"/&gt;&lt;style id="http://www.zotero.org/styles/nature" hasBibliography="1" bibliographyStyleHasBeenSet="1"/&gt;&lt;prefs&gt;&lt;pref name="fieldType" value="Field"/&gt;&lt;pref name="automaticJournalAbbreviati</vt:lpwstr>
  </property>
  <property fmtid="{D5CDD505-2E9C-101B-9397-08002B2CF9AE}" pid="29" name="ZOTERO_PREF_2">
    <vt:lpwstr>ons" value="true"/&gt;&lt;/prefs&gt;&lt;/data&gt;</vt:lpwstr>
  </property>
</Properties>
</file>