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1"/>
        </w:numPr>
        <w:bidi w:val="0"/>
        <w:spacing w:lineRule="auto" w:line="360"/>
        <w:jc w:val="both"/>
        <w:rPr/>
      </w:pPr>
      <w:r>
        <w:rPr>
          <w:rFonts w:ascii="Times New Roman" w:hAnsi="Times New Roman"/>
          <w:sz w:val="24"/>
          <w:szCs w:val="24"/>
        </w:rPr>
        <w:t xml:space="preserve">The incidence rate has decreased to </w:t>
      </w:r>
      <w:r>
        <w:rPr>
          <w:rFonts w:ascii="Times New Roman" w:hAnsi="Times New Roman"/>
          <w:sz w:val="24"/>
          <w:szCs w:val="24"/>
        </w:rPr>
        <w:t>around</w:t>
      </w:r>
      <w:r>
        <w:rPr>
          <w:rFonts w:ascii="Times New Roman" w:hAnsi="Times New Roman"/>
          <w:sz w:val="24"/>
          <w:szCs w:val="24"/>
        </w:rPr>
        <w:t xml:space="preserve"> 0.06%. Surgeons worldwide feel reassured for themselves and their patients, as the threat of endophthalmitis has almost been halted.</w:t>
      </w:r>
      <w:r>
        <w:rPr>
          <w:rFonts w:ascii="Times New Roman" w:hAnsi="Times New Roman"/>
          <w:sz w:val="24"/>
          <w:szCs w:val="24"/>
        </w:rPr>
        <w:t xml:space="preserve"> This assurance led to the abandonment of systemic prophylaxis globally. </w:t>
      </w:r>
      <w:r>
        <w:rPr>
          <w:rFonts w:ascii="Times New Roman" w:hAnsi="Times New Roman"/>
          <w:sz w:val="24"/>
          <w:szCs w:val="24"/>
        </w:rPr>
        <w:t xml:space="preserve">Contrary </w:t>
      </w:r>
      <w:r>
        <w:rPr>
          <w:rFonts w:ascii="Times New Roman" w:hAnsi="Times New Roman"/>
          <w:sz w:val="24"/>
          <w:szCs w:val="24"/>
        </w:rPr>
        <w:t xml:space="preserve">to </w:t>
      </w:r>
      <w:r>
        <w:rPr>
          <w:rFonts w:ascii="Times New Roman" w:hAnsi="Times New Roman"/>
          <w:sz w:val="24"/>
          <w:szCs w:val="24"/>
        </w:rPr>
        <w:t>this assurance</w:t>
      </w:r>
      <w:r>
        <w:rPr>
          <w:rFonts w:ascii="Times New Roman" w:hAnsi="Times New Roman"/>
          <w:sz w:val="24"/>
          <w:szCs w:val="24"/>
        </w:rPr>
        <w:t xml:space="preserve">, along with the anticipated rise in cataract surgery cases accompanying growth of older population contributes to increase in endophthalmitis cases.  Despite the incidence rate not increasing, rise of  occurence is concerning in respect to its future burden. </w:t>
      </w:r>
    </w:p>
    <w:p>
      <w:pPr>
        <w:pStyle w:val="Normal"/>
        <w:numPr>
          <w:ilvl w:val="0"/>
          <w:numId w:val="1"/>
        </w:numPr>
        <w:bidi w:val="0"/>
        <w:spacing w:lineRule="auto" w:line="360"/>
        <w:jc w:val="both"/>
        <w:rPr>
          <w:rFonts w:ascii="Times New Roman" w:hAnsi="Times New Roman"/>
        </w:rPr>
      </w:pPr>
      <w:r>
        <w:rPr>
          <w:rFonts w:ascii="Times New Roman" w:hAnsi="Times New Roman"/>
          <w:sz w:val="24"/>
          <w:szCs w:val="24"/>
        </w:rPr>
        <w:t xml:space="preserve">To my knowledge, all the studies conducted so far about endophthalmitis prophylaxis have focused on the perioperative period. They do not address the vulnerable period of wound healing. The wounds in post-cataract surgery are vulnerable to external influences during the healing process. Therefore, if the threat persists, the preventive measures should also continue. </w:t>
      </w:r>
    </w:p>
    <w:p>
      <w:pPr>
        <w:pStyle w:val="Normal"/>
        <w:numPr>
          <w:ilvl w:val="0"/>
          <w:numId w:val="1"/>
        </w:numPr>
        <w:bidi w:val="0"/>
        <w:spacing w:lineRule="auto" w:line="360"/>
        <w:jc w:val="both"/>
        <w:rPr>
          <w:rFonts w:ascii="Times New Roman" w:hAnsi="Times New Roman"/>
        </w:rPr>
      </w:pPr>
      <w:r>
        <w:rPr>
          <w:rFonts w:ascii="Times New Roman" w:hAnsi="Times New Roman"/>
          <w:sz w:val="24"/>
          <w:szCs w:val="24"/>
        </w:rPr>
        <w:t>The author believes prophylaxis should cover an extended period post-surgery and recommends taking two 750 mg tablets per day postoperatively for one week immediately after cataract surgery.</w:t>
      </w:r>
      <w:r>
        <w:rPr>
          <w:rFonts w:ascii="Times New Roman" w:hAnsi="Times New Roman"/>
          <w:sz w:val="24"/>
          <w:szCs w:val="24"/>
        </w:rPr>
        <w:t xml:space="preserve"> Oral administration for a week after surgery is superior to a single intracameral antibiotic injection as an additional measure.</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oto Serif CJK SC" w:cs="Lohit Devanagari"/>
      <w:color w:val="auto"/>
      <w:kern w:val="2"/>
      <w:sz w:val="24"/>
      <w:szCs w:val="24"/>
      <w:lang w:val="en-US" w:eastAsia="zh-CN" w:bidi="hi-IN"/>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PreformattedText">
    <w:name w:val="Preformatted Text"/>
    <w:basedOn w:val="Normal"/>
    <w:qFormat/>
    <w:pPr>
      <w:spacing w:before="0" w:after="0"/>
    </w:pPr>
    <w:rPr>
      <w:rFonts w:ascii="Liberation Mono" w:hAnsi="Liberation Mono" w:eastAsia="Noto Sans Mono CJK SC"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LibreOffice/7.3.7.2$Linux_X86_64 LibreOffice_project/30$Build-2</Application>
  <AppVersion>15.0000</AppVersion>
  <Pages>1</Pages>
  <Words>179</Words>
  <Characters>1048</Characters>
  <CharactersWithSpaces>1225</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2024-03-10T17:29:53Z</dcterms:created>
  <dc:creator/>
  <dc:description/>
  <dc:language>en-US</dc:language>
  <cp:lastModifiedBy/>
  <dcterms:modified xsi:type="dcterms:W3CDTF">2024-03-17T15:28:37Z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