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8E4838" w14:textId="77777777" w:rsidR="00E75C11" w:rsidRDefault="00E75C11" w:rsidP="00E75C11">
      <w:pPr>
        <w:rPr>
          <w:rFonts w:ascii="Times New Roman" w:hAnsi="Times New Roman" w:cs="Times New Roman"/>
        </w:rPr>
      </w:pPr>
      <w:r>
        <w:rPr>
          <w:rFonts w:ascii="Times New Roman" w:hAnsi="Times New Roman" w:cs="Times New Roman"/>
        </w:rPr>
        <w:t>Figure 1-Figure Supplement 1. revealed the quality control index of scRNA-seq. (A) The number of features, UMI counts, and percent.mt in each cell in different sample groups, and the proportion of mitochondrial genes in sample cells screened based on the standards. (B) The Principal Component Analysis (PCA) was performed on genes with a large variation through the "RunPCA" and "ElbowPlot" functions. (C): Feature genes used to preliminarily define the 24 subclusters.</w:t>
      </w:r>
    </w:p>
    <w:p w14:paraId="58758354" w14:textId="77777777" w:rsidR="00E75C11" w:rsidRDefault="00E75C11" w:rsidP="00E75C11">
      <w:pPr>
        <w:rPr>
          <w:rFonts w:ascii="Times New Roman" w:hAnsi="Times New Roman" w:cs="Times New Roman"/>
        </w:rPr>
      </w:pPr>
    </w:p>
    <w:p w14:paraId="2F3C1871" w14:textId="77777777" w:rsidR="00E75C11" w:rsidRDefault="00E75C11" w:rsidP="00E75C11">
      <w:pPr>
        <w:rPr>
          <w:rFonts w:ascii="Times New Roman" w:hAnsi="Times New Roman" w:cs="Times New Roman"/>
        </w:rPr>
      </w:pPr>
      <w:r>
        <w:rPr>
          <w:rFonts w:ascii="Times New Roman" w:hAnsi="Times New Roman" w:cs="Times New Roman"/>
        </w:rPr>
        <w:t>Figure 1-Figure Supplement 2. (A) Sample information table. (B) Major cell subtypes and marker genes. (C) Visualization of tSNE and UMAP of 24 clusters in meniscus and synovium samples. (D) The possible types of single cells summarized by SingleR. (E) Genes associated with each cell type and their expression in different cell types.</w:t>
      </w:r>
    </w:p>
    <w:p w14:paraId="2F82623F" w14:textId="77777777" w:rsidR="00E75C11" w:rsidRDefault="00E75C11" w:rsidP="00E75C11">
      <w:pPr>
        <w:rPr>
          <w:rFonts w:ascii="Times New Roman" w:hAnsi="Times New Roman" w:cs="Times New Roman"/>
        </w:rPr>
      </w:pPr>
    </w:p>
    <w:p w14:paraId="37FFD165" w14:textId="77777777" w:rsidR="00E75C11" w:rsidRDefault="00E75C11" w:rsidP="00E75C11">
      <w:pPr>
        <w:rPr>
          <w:rFonts w:ascii="Times New Roman" w:hAnsi="Times New Roman" w:cs="Times New Roman"/>
        </w:rPr>
      </w:pPr>
      <w:r>
        <w:rPr>
          <w:rFonts w:ascii="Times New Roman" w:hAnsi="Times New Roman" w:cs="Times New Roman"/>
        </w:rPr>
        <w:t>Figure 1-Figure Supplement 3. The violin plot revealed the expression of major class markers.</w:t>
      </w:r>
    </w:p>
    <w:p w14:paraId="6C10E69B" w14:textId="77777777" w:rsidR="00E75C11" w:rsidRDefault="00E75C11" w:rsidP="00E75C11">
      <w:pPr>
        <w:rPr>
          <w:rFonts w:ascii="Times New Roman" w:hAnsi="Times New Roman" w:cs="Times New Roman"/>
        </w:rPr>
      </w:pPr>
    </w:p>
    <w:p w14:paraId="5F6BBD1F" w14:textId="77777777" w:rsidR="00E75C11" w:rsidRDefault="00E75C11" w:rsidP="00E75C11">
      <w:pPr>
        <w:rPr>
          <w:rFonts w:ascii="Times New Roman" w:hAnsi="Times New Roman" w:cs="Times New Roman"/>
        </w:rPr>
      </w:pPr>
      <w:r>
        <w:rPr>
          <w:rFonts w:ascii="Times New Roman" w:hAnsi="Times New Roman" w:cs="Times New Roman"/>
        </w:rPr>
        <w:t>Figure 1—Figure Supplement 4. The expression level of major class markers. The darker the color, the higher the expression level.</w:t>
      </w:r>
    </w:p>
    <w:p w14:paraId="43432EFF" w14:textId="77777777" w:rsidR="00E75C11" w:rsidRDefault="00E75C11" w:rsidP="00E75C11">
      <w:pPr>
        <w:rPr>
          <w:rFonts w:ascii="Times New Roman" w:hAnsi="Times New Roman" w:cs="Times New Roman"/>
        </w:rPr>
      </w:pPr>
    </w:p>
    <w:p w14:paraId="036EB339" w14:textId="77777777" w:rsidR="00E75C11" w:rsidRDefault="00E75C11" w:rsidP="00E75C11">
      <w:pPr>
        <w:rPr>
          <w:rFonts w:ascii="Times New Roman" w:hAnsi="Times New Roman" w:cs="Times New Roman"/>
        </w:rPr>
      </w:pPr>
      <w:r>
        <w:rPr>
          <w:rFonts w:ascii="Times New Roman" w:hAnsi="Times New Roman" w:cs="Times New Roman"/>
        </w:rPr>
        <w:t>Figure 1-Figure Supplement 5. Expression of major markers of cell subtypes. (A) Expression of DEGs of major cell subtypes in synovial fibroblasts and meniscus chondrocytes. (B) Expression of DEGs of major cell subtypes in immune cells. (C) Expression of DEGs in major cell subtypes associated with blood vessels.</w:t>
      </w:r>
    </w:p>
    <w:p w14:paraId="48DE493B" w14:textId="77777777" w:rsidR="00E75C11" w:rsidRDefault="00E75C11" w:rsidP="00E75C11">
      <w:pPr>
        <w:rPr>
          <w:rFonts w:ascii="Times New Roman" w:hAnsi="Times New Roman" w:cs="Times New Roman"/>
        </w:rPr>
      </w:pPr>
    </w:p>
    <w:p w14:paraId="12AC26C4" w14:textId="77777777" w:rsidR="00E75C11" w:rsidRDefault="00E75C11" w:rsidP="00E75C11">
      <w:pPr>
        <w:rPr>
          <w:rFonts w:ascii="Times New Roman" w:hAnsi="Times New Roman" w:cs="Times New Roman"/>
        </w:rPr>
      </w:pPr>
      <w:r>
        <w:rPr>
          <w:rFonts w:ascii="Times New Roman" w:hAnsi="Times New Roman" w:cs="Times New Roman"/>
        </w:rPr>
        <w:t>Figure 2-Figure Supplement 1. Cross-talk analysis of OA-related pathways (A) The violin plot (by cellChat analysis) revealed the expression of key molecules of pathways related to the progression of OA in Normal_meniscus, Degenerated _meniscus, Normal_synovium, and Degenerated _synovium groups, respectively. (B) Cross-talk analysis between each cluster.</w:t>
      </w:r>
    </w:p>
    <w:p w14:paraId="7157E7DF" w14:textId="77777777" w:rsidR="00E75C11" w:rsidRDefault="00E75C11" w:rsidP="00E75C11">
      <w:pPr>
        <w:rPr>
          <w:rFonts w:ascii="Times New Roman" w:hAnsi="Times New Roman" w:cs="Times New Roman"/>
        </w:rPr>
      </w:pPr>
    </w:p>
    <w:p w14:paraId="54673877" w14:textId="77777777" w:rsidR="00E75C11" w:rsidRDefault="00E75C11" w:rsidP="00E75C11">
      <w:pPr>
        <w:rPr>
          <w:rFonts w:ascii="Times New Roman" w:hAnsi="Times New Roman" w:cs="Times New Roman"/>
        </w:rPr>
      </w:pPr>
      <w:r>
        <w:rPr>
          <w:rFonts w:ascii="Times New Roman" w:hAnsi="Times New Roman" w:cs="Times New Roman"/>
        </w:rPr>
        <w:t xml:space="preserve">Figure 2—figure supplement 2. Cross-talk analysis in cartilage regulatory pathways </w:t>
      </w:r>
    </w:p>
    <w:p w14:paraId="16EE2126" w14:textId="77777777" w:rsidR="00E75C11" w:rsidRDefault="00E75C11" w:rsidP="00E75C11">
      <w:pPr>
        <w:rPr>
          <w:rFonts w:ascii="Times New Roman" w:hAnsi="Times New Roman" w:cs="Times New Roman"/>
        </w:rPr>
      </w:pPr>
    </w:p>
    <w:p w14:paraId="487A6235" w14:textId="77777777" w:rsidR="00E75C11" w:rsidRDefault="00E75C11" w:rsidP="00E75C11">
      <w:pPr>
        <w:rPr>
          <w:rFonts w:ascii="Times New Roman" w:hAnsi="Times New Roman" w:cs="Times New Roman"/>
        </w:rPr>
      </w:pPr>
      <w:r>
        <w:rPr>
          <w:rFonts w:ascii="Times New Roman" w:hAnsi="Times New Roman" w:cs="Times New Roman"/>
        </w:rPr>
        <w:t>Figure 2—figure supplement 3. Cross-talk analysis in neovascularization pathways</w:t>
      </w:r>
    </w:p>
    <w:p w14:paraId="1A1655F6" w14:textId="77777777" w:rsidR="00E75C11" w:rsidRDefault="00E75C11" w:rsidP="00E75C11">
      <w:pPr>
        <w:rPr>
          <w:rFonts w:ascii="Times New Roman" w:hAnsi="Times New Roman" w:cs="Times New Roman"/>
        </w:rPr>
      </w:pPr>
    </w:p>
    <w:p w14:paraId="65EC7583" w14:textId="77777777" w:rsidR="00E75C11" w:rsidRDefault="00E75C11" w:rsidP="00E75C11">
      <w:pPr>
        <w:rPr>
          <w:rFonts w:ascii="Times New Roman" w:hAnsi="Times New Roman" w:cs="Times New Roman"/>
        </w:rPr>
      </w:pPr>
      <w:r>
        <w:rPr>
          <w:rFonts w:ascii="Times New Roman" w:hAnsi="Times New Roman" w:cs="Times New Roman"/>
        </w:rPr>
        <w:t>Figure 2—figure supplement 4. Cross-talk analysis in macrophage polarization pathways</w:t>
      </w:r>
    </w:p>
    <w:p w14:paraId="3B6516CE" w14:textId="77777777" w:rsidR="00E75C11" w:rsidRDefault="00E75C11" w:rsidP="00E75C11">
      <w:pPr>
        <w:rPr>
          <w:rFonts w:ascii="Times New Roman" w:hAnsi="Times New Roman" w:cs="Times New Roman"/>
        </w:rPr>
      </w:pPr>
    </w:p>
    <w:p w14:paraId="3028AC1D" w14:textId="77777777" w:rsidR="00E75C11" w:rsidRDefault="00E75C11" w:rsidP="00E75C11">
      <w:pPr>
        <w:rPr>
          <w:rFonts w:ascii="Times New Roman" w:hAnsi="Times New Roman" w:cs="Times New Roman"/>
        </w:rPr>
      </w:pPr>
      <w:r>
        <w:rPr>
          <w:rFonts w:ascii="Times New Roman" w:hAnsi="Times New Roman" w:cs="Times New Roman"/>
        </w:rPr>
        <w:t xml:space="preserve">Figure 2—figure supplement 5. Cross-talk analysis in inner meniscus samples </w:t>
      </w:r>
    </w:p>
    <w:p w14:paraId="235F8EC2" w14:textId="77777777" w:rsidR="00E75C11" w:rsidRDefault="00E75C11" w:rsidP="00E75C11">
      <w:pPr>
        <w:rPr>
          <w:rFonts w:ascii="Times New Roman" w:hAnsi="Times New Roman" w:cs="Times New Roman"/>
        </w:rPr>
      </w:pPr>
    </w:p>
    <w:p w14:paraId="23F46120" w14:textId="77777777" w:rsidR="00E75C11" w:rsidRDefault="00E75C11" w:rsidP="00E75C11">
      <w:pPr>
        <w:rPr>
          <w:rFonts w:ascii="Times New Roman" w:hAnsi="Times New Roman" w:cs="Times New Roman"/>
        </w:rPr>
      </w:pPr>
      <w:r>
        <w:rPr>
          <w:rFonts w:ascii="Times New Roman" w:hAnsi="Times New Roman" w:cs="Times New Roman"/>
        </w:rPr>
        <w:t>Figure 3-Figure Supplement 1. The functional enrichment of HALLMARK TNFA SIGNALING VIA NFKB in normal and degenerated meniscus and synovium samples described by GSEA and scMetabolism.</w:t>
      </w:r>
    </w:p>
    <w:p w14:paraId="713EC863" w14:textId="77777777" w:rsidR="00E75C11" w:rsidRDefault="00E75C11" w:rsidP="00E75C11">
      <w:pPr>
        <w:rPr>
          <w:rFonts w:ascii="Times New Roman" w:hAnsi="Times New Roman" w:cs="Times New Roman"/>
        </w:rPr>
      </w:pPr>
    </w:p>
    <w:p w14:paraId="109A6DE9" w14:textId="77777777" w:rsidR="00E75C11" w:rsidRDefault="00E75C11" w:rsidP="00E75C11">
      <w:pPr>
        <w:rPr>
          <w:rFonts w:ascii="Times New Roman" w:hAnsi="Times New Roman" w:cs="Times New Roman"/>
        </w:rPr>
      </w:pPr>
      <w:r>
        <w:rPr>
          <w:rFonts w:ascii="Times New Roman" w:hAnsi="Times New Roman" w:cs="Times New Roman"/>
        </w:rPr>
        <w:t>Figure 3—figure supplement 2. The functional enrichment of HALLMARK HYPOCXIA and HALLMARK APOPTOSIS in normal and degenerated meniscus and synovium samples described by GSEA and scMetabolism.</w:t>
      </w:r>
    </w:p>
    <w:p w14:paraId="0F774583" w14:textId="77777777" w:rsidR="00E75C11" w:rsidRDefault="00E75C11" w:rsidP="00E75C11">
      <w:pPr>
        <w:rPr>
          <w:rFonts w:ascii="Times New Roman" w:hAnsi="Times New Roman" w:cs="Times New Roman"/>
        </w:rPr>
      </w:pPr>
    </w:p>
    <w:p w14:paraId="6DB2591A" w14:textId="77777777" w:rsidR="00E75C11" w:rsidRDefault="00E75C11" w:rsidP="00E75C11">
      <w:pPr>
        <w:rPr>
          <w:rFonts w:ascii="Times New Roman" w:hAnsi="Times New Roman" w:cs="Times New Roman"/>
        </w:rPr>
      </w:pPr>
      <w:r>
        <w:rPr>
          <w:rFonts w:ascii="Times New Roman" w:hAnsi="Times New Roman" w:cs="Times New Roman"/>
        </w:rPr>
        <w:t>Figure 3-Figure Supplement 3. (A and B) Similarities and differences between Fib_1 and Fib_2 described by GSEA and scMetabolism. (C) GO_BP enrichment analysis of Ch.2 and CXCL14+_Fib.</w:t>
      </w:r>
    </w:p>
    <w:p w14:paraId="37C836F9"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5C11"/>
    <w:rsid w:val="00755780"/>
    <w:rsid w:val="00857596"/>
    <w:rsid w:val="00E75C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BD8F7B"/>
  <w15:chartTrackingRefBased/>
  <w15:docId w15:val="{945AE88C-3DF2-4ABB-9C02-34926DF56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5C11"/>
    <w:pPr>
      <w:widowControl w:val="0"/>
      <w:spacing w:after="0" w:line="240" w:lineRule="auto"/>
      <w:jc w:val="both"/>
    </w:pPr>
    <w:rPr>
      <w:rFonts w:eastAsiaTheme="minorEastAsia"/>
      <w:sz w:val="21"/>
      <w:szCs w:val="24"/>
      <w:lang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388</Words>
  <Characters>2212</Characters>
  <Application>Microsoft Office Word</Application>
  <DocSecurity>0</DocSecurity>
  <Lines>18</Lines>
  <Paragraphs>5</Paragraphs>
  <ScaleCrop>false</ScaleCrop>
  <Company>Springer Nature</Company>
  <LinksUpToDate>false</LinksUpToDate>
  <CharactersWithSpaces>2595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2024-04-11T11:06:00Z</dcterms:created>
  <dcterms:modified xsi:type="dcterms:W3CDTF">2024-04-11T11:06:00Z</dcterms:modified>
</cp:coreProperties>
</file>