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45C1C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Supplementary information</w:t>
      </w:r>
    </w:p>
    <w:p w14:paraId="1BEE826E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Results</w:t>
      </w:r>
    </w:p>
    <w:p w14:paraId="280E6ACA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Cs/>
          <w:i/>
          <w:iCs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Cs/>
          <w:i/>
          <w:iCs/>
          <w:kern w:val="0"/>
          <w:lang w:val="en-US" w:eastAsia="en-GB"/>
          <w14:ligatures w14:val="none"/>
        </w:rPr>
        <w:t xml:space="preserve">Additional </w:t>
      </w:r>
      <w:proofErr w:type="spellStart"/>
      <w:r w:rsidRPr="00DE7B97">
        <w:rPr>
          <w:rFonts w:ascii="Arial" w:eastAsia="Arial" w:hAnsi="Arial" w:cs="Arial"/>
          <w:bCs/>
          <w:i/>
          <w:iCs/>
          <w:kern w:val="0"/>
          <w:lang w:val="en-US" w:eastAsia="en-GB"/>
          <w14:ligatures w14:val="none"/>
        </w:rPr>
        <w:t>DaTSCAN</w:t>
      </w:r>
      <w:proofErr w:type="spellEnd"/>
      <w:r w:rsidRPr="00DE7B97">
        <w:rPr>
          <w:rFonts w:ascii="Arial" w:eastAsia="Arial" w:hAnsi="Arial" w:cs="Arial"/>
          <w:bCs/>
          <w:i/>
          <w:iCs/>
          <w:kern w:val="0"/>
          <w:lang w:val="en-US" w:eastAsia="en-GB"/>
          <w14:ligatures w14:val="none"/>
        </w:rPr>
        <w:t xml:space="preserve"> results</w:t>
      </w:r>
    </w:p>
    <w:p w14:paraId="4C237D08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As a descriptive analysis, the PASADENA delayed- and early-start groups showed a mean progression after 4 years of 0.63 (80% CI: 0.6 to 0.65) and 0.63 (80% CI: 0.61 to 0.65) points, respectively, while the PPMI cohort showed a mean progression of 0.55 (80% CI: 0.53 to 0.56) points in the putamen. In the caudate, the PASADENA delayed- and early-start groups showed a mean progression after 4 years of 1.18 (80% CI: 1.13 to 1.23) and 1.19 (80% CI: 1.15 to 1.23) points, respectively, while the PPMI cohort showed a mean progression of 1.45 (80% CI: 1.45 to 1.49) points.</w:t>
      </w:r>
    </w:p>
    <w:p w14:paraId="088077D9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</w:p>
    <w:p w14:paraId="43826E70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The annual decline in putamen at year 1, 2 and 4 in PASADENA was -6.66, -10.55 and -9.02 (delayed-start) and -10.33, -8.90 and -8.41 (early-start) percent, while for the PPMI cohort, it was -16.70, -6.45 and -6.53 percent. The annual decline in caudate at year 1, 2 and 4 in PASADENA was -6.42, -9.37 and -8.85 (delayed-start) and -8.84, -8.75 and -8.53 (early-start) percent, while for the PPMI cohort, it was 10.11 -7.63, and -5.07 percent.</w:t>
      </w:r>
    </w:p>
    <w:p w14:paraId="7DD397C6" w14:textId="77777777" w:rsidR="00DE7B97" w:rsidRPr="00DE7B97" w:rsidRDefault="00DE7B97" w:rsidP="00DE7B97">
      <w:pPr>
        <w:spacing w:after="0" w:line="480" w:lineRule="auto"/>
        <w:rPr>
          <w:rFonts w:ascii="Calibri" w:eastAsia="Calibri" w:hAnsi="Calibri" w:cs="Calibri"/>
          <w:kern w:val="0"/>
          <w:lang w:val="en-US" w:eastAsia="en-GB"/>
          <w14:ligatures w14:val="none"/>
        </w:rPr>
      </w:pPr>
    </w:p>
    <w:p w14:paraId="39728602" w14:textId="77777777" w:rsidR="00DE7B97" w:rsidRPr="00DE7B97" w:rsidRDefault="00DE7B97" w:rsidP="00DE7B97">
      <w:pPr>
        <w:spacing w:after="0" w:line="480" w:lineRule="auto"/>
        <w:rPr>
          <w:rFonts w:ascii="Arial" w:eastAsia="Calibri" w:hAnsi="Arial" w:cs="Arial"/>
          <w:i/>
          <w:iCs/>
          <w:kern w:val="0"/>
          <w:lang w:val="en-US" w:eastAsia="en-GB"/>
          <w14:ligatures w14:val="none"/>
        </w:rPr>
      </w:pPr>
      <w:r w:rsidRPr="00DE7B97">
        <w:rPr>
          <w:rFonts w:ascii="Arial" w:eastAsia="Calibri" w:hAnsi="Arial" w:cs="Arial"/>
          <w:i/>
          <w:iCs/>
          <w:kern w:val="0"/>
          <w:lang w:val="en-US" w:eastAsia="en-GB"/>
          <w14:ligatures w14:val="none"/>
        </w:rPr>
        <w:t xml:space="preserve">Rigidity </w:t>
      </w:r>
      <w:proofErr w:type="spellStart"/>
      <w:r w:rsidRPr="00DE7B97">
        <w:rPr>
          <w:rFonts w:ascii="Arial" w:eastAsia="Calibri" w:hAnsi="Arial" w:cs="Arial"/>
          <w:i/>
          <w:iCs/>
          <w:kern w:val="0"/>
          <w:lang w:val="en-US" w:eastAsia="en-GB"/>
          <w14:ligatures w14:val="none"/>
        </w:rPr>
        <w:t>subscore</w:t>
      </w:r>
      <w:proofErr w:type="spellEnd"/>
    </w:p>
    <w:p w14:paraId="798BD6F6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The PASADENA delayed- and early-start groups both showed lower MDS-UPDRS Part III rigidity </w:t>
      </w:r>
      <w:proofErr w:type="spellStart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progression in OFF-state in comparison with the PPMI cohort after 4 years, with -39% relative difference (mean [80% CI], -0.77 [-1.25 to -0.29] points) for the delayed-start group and -71% relative difference (mean [80% CI], -1.38 [-1.77 to -0.98] points) for the early-start group (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Supplementary Figure S6A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).</w:t>
      </w:r>
    </w:p>
    <w:p w14:paraId="04C28C37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</w:p>
    <w:p w14:paraId="3689BC60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Cs/>
          <w:i/>
          <w:iCs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Cs/>
          <w:i/>
          <w:iCs/>
          <w:kern w:val="0"/>
          <w:lang w:val="en-US" w:eastAsia="en-GB"/>
          <w14:ligatures w14:val="none"/>
        </w:rPr>
        <w:t xml:space="preserve">Resting tremor </w:t>
      </w:r>
      <w:proofErr w:type="spellStart"/>
      <w:r w:rsidRPr="00DE7B97">
        <w:rPr>
          <w:rFonts w:ascii="Arial" w:eastAsia="Arial" w:hAnsi="Arial" w:cs="Arial"/>
          <w:bCs/>
          <w:i/>
          <w:iCs/>
          <w:kern w:val="0"/>
          <w:lang w:val="en-US" w:eastAsia="en-GB"/>
          <w14:ligatures w14:val="none"/>
        </w:rPr>
        <w:t>subscore</w:t>
      </w:r>
      <w:proofErr w:type="spellEnd"/>
    </w:p>
    <w:p w14:paraId="5D0C70A9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The PASADENA delayed- and early-start groups both showed lower MDS-UPDRS Part III resting tremor </w:t>
      </w:r>
      <w:proofErr w:type="spellStart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progression in OFF-state in comparison with the PPMI cohort after 4 years, with -34% relative difference (mean [80% CI], -0.47 [-0.89 to -0.06] points) for the 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lastRenderedPageBreak/>
        <w:t>delayed-start group and -50% relative difference (mean [80% CI], -0.69 [-1.03 to -0.35] points) for the early-start group (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Supplementary Figure S6B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).</w:t>
      </w:r>
    </w:p>
    <w:p w14:paraId="414AEFAB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</w:p>
    <w:p w14:paraId="72D938A7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 xml:space="preserve">Bradykinesia </w:t>
      </w:r>
      <w:proofErr w:type="spellStart"/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>subscore</w:t>
      </w:r>
      <w:proofErr w:type="spellEnd"/>
    </w:p>
    <w:p w14:paraId="125F4E17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The PASADENA delayed- and early-start groups both showed lower MDS-UPDRS Part III bradykinesia </w:t>
      </w:r>
      <w:proofErr w:type="spellStart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progression in OFF-state in comparison with the PPMI cohort after 4 years, with -62% relative difference (mean [80% CI], -3.67 [-4.70 to -2.65] points) for the delayed-start group and -67% relative difference (mean [80% CI], -3.98 [-4.83 to -3.13] points) for the early-start group (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Supplementary Figure S6C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).</w:t>
      </w:r>
    </w:p>
    <w:p w14:paraId="6D437FBA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</w:p>
    <w:p w14:paraId="5187E553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 xml:space="preserve">Axial signs </w:t>
      </w:r>
      <w:proofErr w:type="spellStart"/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>subscore</w:t>
      </w:r>
      <w:proofErr w:type="spellEnd"/>
    </w:p>
    <w:p w14:paraId="65758A93" w14:textId="77777777" w:rsidR="00DE7B97" w:rsidRPr="00DE7B97" w:rsidRDefault="00DE7B97" w:rsidP="00DE7B97">
      <w:pPr>
        <w:spacing w:after="0" w:line="480" w:lineRule="auto"/>
        <w:rPr>
          <w:rFonts w:ascii="Arial" w:eastAsia="Book Antiqua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Book Antiqua" w:hAnsi="Arial" w:cs="Arial"/>
          <w:iCs/>
          <w:kern w:val="0"/>
          <w:lang w:val="en-US" w:eastAsia="en-GB"/>
          <w14:ligatures w14:val="none"/>
        </w:rPr>
        <w:t xml:space="preserve">Axial symptoms comprise MDS-UPDRS Part III items 10, 11 and 12. 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The PASADENA delayed- and early-start groups both showed lower MDS-UPDRS Part III axial signs </w:t>
      </w:r>
      <w:proofErr w:type="spellStart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progression in OFF-state in comparison with the PPMI cohort after 4 years, with -67% relative difference (mean [80% Cl], -0.47 [-0.71 to -0.23] points) for the delayed-start group and -64% relative difference (mean [80% CI], -0.45 [-0.65 to -0.25] points) for the early-start group (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Supplementary Figure S6D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).</w:t>
      </w:r>
    </w:p>
    <w:p w14:paraId="6952190B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</w:p>
    <w:p w14:paraId="0D97AD9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 xml:space="preserve">Tremor motor severity </w:t>
      </w:r>
      <w:proofErr w:type="spellStart"/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 xml:space="preserve"> – ON-</w:t>
      </w:r>
      <w:proofErr w:type="gramStart"/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>state</w:t>
      </w:r>
      <w:proofErr w:type="gramEnd"/>
    </w:p>
    <w:p w14:paraId="0EEA3CBD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The tremor motor severity </w:t>
      </w:r>
      <w:proofErr w:type="spellStart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includes item 10 from MDS-UPDRS Part II and items 15, 16, 17 and 18 from MDS-UPDRS Part III. The PASADENA delayed- and early-start groups both showed lower MDS-UPDRS Part III tremor </w:t>
      </w:r>
      <w:proofErr w:type="spellStart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progression in ON-state in comparison with the PPMI cohort after 4 years, with -19% relative difference (mean [80% CI], 0.3 [-0.26 to 0.86] points) for the delayed-start group and -35% relative difference (mean [80% CI], 0.55 [0.1 to 1.01] points) for the early-start group (</w:t>
      </w:r>
      <w:r w:rsidRPr="00DE7B97">
        <w:rPr>
          <w:rFonts w:ascii="Arial" w:eastAsia="Arial" w:hAnsi="Arial" w:cs="Arial"/>
          <w:b/>
          <w:bCs/>
          <w:kern w:val="0"/>
          <w:lang w:val="en-US" w:eastAsia="en-GB"/>
          <w14:ligatures w14:val="none"/>
        </w:rPr>
        <w:t>Supplementary Figure S6E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).</w:t>
      </w:r>
    </w:p>
    <w:p w14:paraId="4B28E6D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</w:p>
    <w:p w14:paraId="7B2BB6B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 xml:space="preserve">Tremor motor severity </w:t>
      </w:r>
      <w:proofErr w:type="spellStart"/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 xml:space="preserve"> – OFF-</w:t>
      </w:r>
      <w:proofErr w:type="gramStart"/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>state</w:t>
      </w:r>
      <w:proofErr w:type="gramEnd"/>
    </w:p>
    <w:p w14:paraId="570C8B2D" w14:textId="77777777" w:rsidR="00DE7B97" w:rsidRPr="00DE7B97" w:rsidRDefault="00DE7B97" w:rsidP="00DE7B97">
      <w:pPr>
        <w:spacing w:after="0" w:line="480" w:lineRule="auto"/>
        <w:rPr>
          <w:rFonts w:ascii="Book Antiqua" w:eastAsia="Book Antiqua" w:hAnsi="Book Antiqua" w:cs="Book Antiqua"/>
          <w:i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lastRenderedPageBreak/>
        <w:t xml:space="preserve">The PASADENA delayed- and early-start groups both showed lower MDS-UPDRS Part III tremor </w:t>
      </w:r>
      <w:proofErr w:type="spellStart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progression in OFF-state in comparison with the PPMI cohort after 4 years, with 400% relative difference (mean [80% CI], 0.64 [-0.02 to 1.29] points) for the delayed-start group and 288% relative difference (mean [80% CI], 0.46 [-0.06 to 0.98] points) for the early-start group (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Supplementary Figure S6F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).</w:t>
      </w:r>
    </w:p>
    <w:p w14:paraId="17442653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</w:p>
    <w:p w14:paraId="2C7F03FD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>Non-tremor subscale – ON-state</w:t>
      </w:r>
    </w:p>
    <w:p w14:paraId="1FC8BF7A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Book Antiqua" w:hAnsi="Arial" w:cs="Arial"/>
          <w:iCs/>
          <w:kern w:val="0"/>
          <w:lang w:val="en-US" w:eastAsia="en-GB"/>
          <w14:ligatures w14:val="none"/>
        </w:rPr>
        <w:t xml:space="preserve">The non-tremor motor severity </w:t>
      </w:r>
      <w:proofErr w:type="spellStart"/>
      <w:r w:rsidRPr="00DE7B97">
        <w:rPr>
          <w:rFonts w:ascii="Arial" w:eastAsia="Book Antiqua" w:hAnsi="Arial" w:cs="Arial"/>
          <w:iCs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Book Antiqua" w:hAnsi="Arial" w:cs="Arial"/>
          <w:iCs/>
          <w:kern w:val="0"/>
          <w:lang w:val="en-US" w:eastAsia="en-GB"/>
          <w14:ligatures w14:val="none"/>
        </w:rPr>
        <w:t xml:space="preserve"> includes items 1‒9 and 11‒13 from MDS-UPDRS Part II, and items 1‒14 from MDS UPDRS Part III. 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The PASADENA delayed- and early-start groups both showed lower MDS-UPDRS Part III non-tremor </w:t>
      </w:r>
      <w:proofErr w:type="spellStart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progression in ON-state in comparison with the PPMI cohort after 4 years, with -53% relative difference (mean [80% CI], -2.97 [-4.97 to -0.98] points) for the delayed-start group and -66% relative difference (mean [80% CI], -3.75 [-5.38 to -2.12] points) for the early-start group (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Supplementary Figure S6G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).</w:t>
      </w:r>
    </w:p>
    <w:p w14:paraId="7366787E" w14:textId="77777777" w:rsidR="00DE7B97" w:rsidRPr="00DE7B97" w:rsidRDefault="00DE7B97" w:rsidP="00DE7B97">
      <w:pPr>
        <w:spacing w:after="0" w:line="36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</w:p>
    <w:p w14:paraId="3D297D6C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bookmarkStart w:id="0" w:name="_heading=h.gjdgxs" w:colFirst="0" w:colLast="0"/>
      <w:bookmarkEnd w:id="0"/>
      <w:r w:rsidRPr="00DE7B97">
        <w:rPr>
          <w:rFonts w:ascii="Arial" w:eastAsia="Arial" w:hAnsi="Arial" w:cs="Arial"/>
          <w:i/>
          <w:iCs/>
          <w:kern w:val="0"/>
          <w:lang w:val="en-US" w:eastAsia="en-GB"/>
          <w14:ligatures w14:val="none"/>
        </w:rPr>
        <w:t xml:space="preserve">Non-tremor subscale – OFF-state 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The PASADENA delayed- and early-start groups both showed lower MDS-UPDRS Part III non-tremor </w:t>
      </w:r>
      <w:proofErr w:type="spellStart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subscore</w:t>
      </w:r>
      <w:proofErr w:type="spellEnd"/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progression in OFF-state in comparison with the PPMI cohort after 4 years, with 9% relative difference (mean [80% CI], 0.47 [-1.78 to 2.73] points) for the delayed-start group and -2% relative difference (mean [80% CI], -0.08 [-1.9 to 1.74] points) for the early-start group (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Supplementary Figure S6H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).</w:t>
      </w:r>
    </w:p>
    <w:p w14:paraId="7BBD779D" w14:textId="77777777" w:rsidR="00DE7B97" w:rsidRPr="00DE7B97" w:rsidRDefault="00DE7B97" w:rsidP="00DE7B97">
      <w:pPr>
        <w:spacing w:after="0" w:line="480" w:lineRule="auto"/>
        <w:rPr>
          <w:rFonts w:ascii="Calibri" w:eastAsia="Calibri" w:hAnsi="Calibri" w:cs="Calibri"/>
          <w:kern w:val="0"/>
          <w:lang w:val="en-US" w:eastAsia="en-GB"/>
          <w14:ligatures w14:val="none"/>
        </w:rPr>
      </w:pPr>
    </w:p>
    <w:p w14:paraId="2EA2CB01" w14:textId="77777777" w:rsidR="00DE7B97" w:rsidRPr="00DE7B97" w:rsidRDefault="00DE7B97" w:rsidP="00DE7B97">
      <w:pPr>
        <w:rPr>
          <w:rFonts w:ascii="Arial" w:eastAsia="Arial" w:hAnsi="Arial" w:cs="Arial"/>
          <w:i/>
          <w:kern w:val="0"/>
          <w:sz w:val="32"/>
          <w:szCs w:val="32"/>
          <w:lang w:val="en-US" w:eastAsia="en-GB"/>
          <w14:ligatures w14:val="none"/>
        </w:rPr>
      </w:pPr>
      <w:r w:rsidRPr="00DE7B97">
        <w:rPr>
          <w:rFonts w:ascii="Calibri" w:eastAsia="Calibri" w:hAnsi="Calibri" w:cs="Calibri"/>
          <w:kern w:val="0"/>
          <w:lang w:val="en-US" w:eastAsia="en-GB"/>
          <w14:ligatures w14:val="none"/>
        </w:rPr>
        <w:br w:type="page"/>
      </w:r>
    </w:p>
    <w:p w14:paraId="3652C0B4" w14:textId="77777777" w:rsidR="00DE7B97" w:rsidRPr="00DE7B97" w:rsidRDefault="00DE7B97" w:rsidP="00DE7B97">
      <w:pPr>
        <w:spacing w:after="0" w:line="36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  <w:sectPr w:rsidR="00DE7B97" w:rsidRPr="00DE7B97" w:rsidSect="00DE7B97">
          <w:pgSz w:w="11906" w:h="16838"/>
          <w:pgMar w:top="1440" w:right="1440" w:bottom="1440" w:left="1440" w:header="709" w:footer="709" w:gutter="0"/>
          <w:cols w:space="720"/>
        </w:sectPr>
      </w:pPr>
    </w:p>
    <w:p w14:paraId="1FB77CFA" w14:textId="77777777" w:rsidR="00DE7B97" w:rsidRPr="00DE7B97" w:rsidRDefault="00DE7B97" w:rsidP="00DE7B97">
      <w:pPr>
        <w:spacing w:after="0" w:line="36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lastRenderedPageBreak/>
        <w:t xml:space="preserve">Supplementary Table S1. MDS UPDRS Part IV and start of levodopa descriptive summary </w:t>
      </w:r>
      <w:proofErr w:type="gramStart"/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statistics</w:t>
      </w:r>
      <w:proofErr w:type="gramEnd"/>
    </w:p>
    <w:tbl>
      <w:tblPr>
        <w:tblStyle w:val="1"/>
        <w:tblW w:w="13290" w:type="dxa"/>
        <w:tblInd w:w="-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55"/>
        <w:gridCol w:w="2730"/>
        <w:gridCol w:w="2520"/>
        <w:gridCol w:w="2055"/>
        <w:gridCol w:w="1830"/>
      </w:tblGrid>
      <w:tr w:rsidR="00DE7B97" w:rsidRPr="00DE7B97" w14:paraId="22F46B23" w14:textId="77777777" w:rsidTr="00315D15">
        <w:tc>
          <w:tcPr>
            <w:tcW w:w="4155" w:type="dxa"/>
            <w:vAlign w:val="center"/>
          </w:tcPr>
          <w:p w14:paraId="5D425684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Assessment </w:t>
            </w:r>
          </w:p>
        </w:tc>
        <w:tc>
          <w:tcPr>
            <w:tcW w:w="2730" w:type="dxa"/>
            <w:vAlign w:val="center"/>
          </w:tcPr>
          <w:p w14:paraId="54FDDBAC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Visit</w:t>
            </w:r>
          </w:p>
        </w:tc>
        <w:tc>
          <w:tcPr>
            <w:tcW w:w="2520" w:type="dxa"/>
          </w:tcPr>
          <w:p w14:paraId="29E12788" w14:textId="77777777" w:rsidR="00DE7B97" w:rsidRPr="00DE7B97" w:rsidRDefault="00DE7B97" w:rsidP="00DE7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 PASADENA </w:t>
            </w:r>
            <w:proofErr w:type="gramStart"/>
            <w:r w:rsidRPr="00DE7B97">
              <w:rPr>
                <w:rFonts w:ascii="Arial" w:eastAsia="Arial" w:hAnsi="Arial" w:cs="Arial"/>
                <w:b/>
              </w:rPr>
              <w:t>delayed-start</w:t>
            </w:r>
            <w:proofErr w:type="gramEnd"/>
            <w:r w:rsidRPr="00DE7B97">
              <w:rPr>
                <w:rFonts w:ascii="Arial" w:eastAsia="Arial" w:hAnsi="Arial" w:cs="Arial"/>
                <w:b/>
              </w:rPr>
              <w:t xml:space="preserve">(N=94) </w:t>
            </w:r>
          </w:p>
        </w:tc>
        <w:tc>
          <w:tcPr>
            <w:tcW w:w="2055" w:type="dxa"/>
          </w:tcPr>
          <w:p w14:paraId="3DB66246" w14:textId="77777777" w:rsidR="00DE7B97" w:rsidRPr="00DE7B97" w:rsidRDefault="00DE7B97" w:rsidP="00DE7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PASADENA early-start (N=177) </w:t>
            </w:r>
          </w:p>
        </w:tc>
        <w:tc>
          <w:tcPr>
            <w:tcW w:w="1830" w:type="dxa"/>
          </w:tcPr>
          <w:p w14:paraId="18E4F76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PPMI (N=303)</w:t>
            </w:r>
          </w:p>
        </w:tc>
      </w:tr>
      <w:tr w:rsidR="00DE7B97" w:rsidRPr="00DE7B97" w14:paraId="5D53121B" w14:textId="77777777" w:rsidTr="00315D15">
        <w:trPr>
          <w:trHeight w:val="200"/>
        </w:trPr>
        <w:tc>
          <w:tcPr>
            <w:tcW w:w="4155" w:type="dxa"/>
            <w:vMerge w:val="restart"/>
          </w:tcPr>
          <w:p w14:paraId="15BED816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MDS-UPDRS Part IV</w:t>
            </w:r>
            <w:r w:rsidRPr="00DE7B97">
              <w:rPr>
                <w:rFonts w:ascii="Arial" w:eastAsia="Arial" w:hAnsi="Arial" w:cs="Arial"/>
              </w:rPr>
              <w:t xml:space="preserve">: </w:t>
            </w:r>
            <w:r w:rsidRPr="00DE7B97">
              <w:rPr>
                <w:rFonts w:ascii="Arial" w:eastAsia="Arial" w:hAnsi="Arial" w:cs="Arial"/>
                <w:b/>
              </w:rPr>
              <w:t>N</w:t>
            </w:r>
          </w:p>
          <w:p w14:paraId="55748A93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Mean (SD) change from </w:t>
            </w:r>
            <w:proofErr w:type="gramStart"/>
            <w:r w:rsidRPr="00DE7B97">
              <w:rPr>
                <w:rFonts w:ascii="Arial" w:eastAsia="Arial" w:hAnsi="Arial" w:cs="Arial"/>
                <w:b/>
              </w:rPr>
              <w:t>baseline</w:t>
            </w:r>
            <w:proofErr w:type="gramEnd"/>
          </w:p>
          <w:p w14:paraId="72F50749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Median [Range]</w:t>
            </w:r>
          </w:p>
          <w:p w14:paraId="3D256C36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</w:rPr>
            </w:pPr>
          </w:p>
          <w:p w14:paraId="5FB534A6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 xml:space="preserve">  </w:t>
            </w:r>
          </w:p>
          <w:p w14:paraId="45B1A6C3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30" w:type="dxa"/>
          </w:tcPr>
          <w:p w14:paraId="4B57543E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1</w:t>
            </w:r>
          </w:p>
        </w:tc>
        <w:tc>
          <w:tcPr>
            <w:tcW w:w="2520" w:type="dxa"/>
          </w:tcPr>
          <w:p w14:paraId="70479A5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62</w:t>
            </w:r>
          </w:p>
          <w:p w14:paraId="05F941A5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0.92 (2.21)</w:t>
            </w:r>
          </w:p>
          <w:p w14:paraId="46580D6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[0-10]</w:t>
            </w:r>
          </w:p>
        </w:tc>
        <w:tc>
          <w:tcPr>
            <w:tcW w:w="2055" w:type="dxa"/>
          </w:tcPr>
          <w:p w14:paraId="3B07775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 xml:space="preserve">113 </w:t>
            </w:r>
          </w:p>
          <w:p w14:paraId="287B458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0.58 (1.77)</w:t>
            </w:r>
          </w:p>
          <w:p w14:paraId="1C268FCE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 xml:space="preserve"> 0 [0-10]</w:t>
            </w:r>
          </w:p>
        </w:tc>
        <w:tc>
          <w:tcPr>
            <w:tcW w:w="1830" w:type="dxa"/>
          </w:tcPr>
          <w:p w14:paraId="0E6783D1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174</w:t>
            </w:r>
          </w:p>
          <w:p w14:paraId="3438A252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0.43 (1.35)</w:t>
            </w:r>
          </w:p>
          <w:p w14:paraId="7BB802D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[0-9]</w:t>
            </w:r>
          </w:p>
        </w:tc>
      </w:tr>
      <w:tr w:rsidR="00DE7B97" w:rsidRPr="00DE7B97" w14:paraId="04934D45" w14:textId="77777777" w:rsidTr="00315D15">
        <w:trPr>
          <w:trHeight w:val="200"/>
        </w:trPr>
        <w:tc>
          <w:tcPr>
            <w:tcW w:w="4155" w:type="dxa"/>
            <w:vMerge/>
          </w:tcPr>
          <w:p w14:paraId="56EA81A1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7D7BE5EF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Year 2 </w:t>
            </w:r>
          </w:p>
        </w:tc>
        <w:tc>
          <w:tcPr>
            <w:tcW w:w="2520" w:type="dxa"/>
          </w:tcPr>
          <w:p w14:paraId="153109F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75</w:t>
            </w:r>
          </w:p>
          <w:p w14:paraId="15584A9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1.4 (2.05)</w:t>
            </w:r>
          </w:p>
          <w:p w14:paraId="773207A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[0-7]</w:t>
            </w:r>
          </w:p>
        </w:tc>
        <w:tc>
          <w:tcPr>
            <w:tcW w:w="2055" w:type="dxa"/>
          </w:tcPr>
          <w:p w14:paraId="555C5D1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134</w:t>
            </w:r>
          </w:p>
          <w:p w14:paraId="536D44CE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1.07 (1.96)</w:t>
            </w:r>
          </w:p>
          <w:p w14:paraId="21F564C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[0-9]</w:t>
            </w:r>
          </w:p>
        </w:tc>
        <w:tc>
          <w:tcPr>
            <w:tcW w:w="1830" w:type="dxa"/>
          </w:tcPr>
          <w:p w14:paraId="5E29281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231</w:t>
            </w:r>
          </w:p>
          <w:p w14:paraId="6BF42B2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0.71 (1.79)</w:t>
            </w:r>
          </w:p>
          <w:p w14:paraId="11299DB1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[0-11]</w:t>
            </w:r>
          </w:p>
        </w:tc>
      </w:tr>
      <w:tr w:rsidR="00DE7B97" w:rsidRPr="00DE7B97" w14:paraId="22B249DD" w14:textId="77777777" w:rsidTr="00315D15">
        <w:trPr>
          <w:trHeight w:val="200"/>
        </w:trPr>
        <w:tc>
          <w:tcPr>
            <w:tcW w:w="4155" w:type="dxa"/>
            <w:vMerge/>
          </w:tcPr>
          <w:p w14:paraId="22080BDD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29BBCED0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3</w:t>
            </w:r>
          </w:p>
        </w:tc>
        <w:tc>
          <w:tcPr>
            <w:tcW w:w="2520" w:type="dxa"/>
          </w:tcPr>
          <w:p w14:paraId="24F9DDE0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82</w:t>
            </w:r>
          </w:p>
          <w:p w14:paraId="20C1ABD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1.55 (2.39)</w:t>
            </w:r>
          </w:p>
          <w:p w14:paraId="40E9822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[0-11]</w:t>
            </w:r>
          </w:p>
        </w:tc>
        <w:tc>
          <w:tcPr>
            <w:tcW w:w="2055" w:type="dxa"/>
          </w:tcPr>
          <w:p w14:paraId="5932534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149</w:t>
            </w:r>
          </w:p>
          <w:p w14:paraId="7AB2A1F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1.48 (2.25)</w:t>
            </w:r>
          </w:p>
          <w:p w14:paraId="31FC574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[0-12]</w:t>
            </w:r>
          </w:p>
        </w:tc>
        <w:tc>
          <w:tcPr>
            <w:tcW w:w="1830" w:type="dxa"/>
          </w:tcPr>
          <w:p w14:paraId="38ACEA7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245</w:t>
            </w:r>
          </w:p>
          <w:p w14:paraId="5CAC2030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0.86 (1.82)</w:t>
            </w:r>
          </w:p>
          <w:p w14:paraId="525BB16B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[0-11]</w:t>
            </w:r>
          </w:p>
        </w:tc>
      </w:tr>
      <w:tr w:rsidR="00DE7B97" w:rsidRPr="00DE7B97" w14:paraId="3D4AB718" w14:textId="77777777" w:rsidTr="00315D15">
        <w:trPr>
          <w:trHeight w:val="200"/>
        </w:trPr>
        <w:tc>
          <w:tcPr>
            <w:tcW w:w="4155" w:type="dxa"/>
            <w:vMerge/>
          </w:tcPr>
          <w:p w14:paraId="2CC85DA8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1DBDBC9E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4</w:t>
            </w:r>
          </w:p>
        </w:tc>
        <w:tc>
          <w:tcPr>
            <w:tcW w:w="2520" w:type="dxa"/>
          </w:tcPr>
          <w:p w14:paraId="12F9B0EC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84</w:t>
            </w:r>
          </w:p>
          <w:p w14:paraId="10051811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1.99 (2.64)</w:t>
            </w:r>
          </w:p>
          <w:p w14:paraId="2E78FED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[0-11]</w:t>
            </w:r>
          </w:p>
        </w:tc>
        <w:tc>
          <w:tcPr>
            <w:tcW w:w="2055" w:type="dxa"/>
          </w:tcPr>
          <w:p w14:paraId="72D586EC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159</w:t>
            </w:r>
          </w:p>
          <w:p w14:paraId="04A5FF81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1.93 (2.65)</w:t>
            </w:r>
          </w:p>
          <w:p w14:paraId="6F479D6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[0-13]</w:t>
            </w:r>
          </w:p>
        </w:tc>
        <w:tc>
          <w:tcPr>
            <w:tcW w:w="1830" w:type="dxa"/>
          </w:tcPr>
          <w:p w14:paraId="296E5255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239</w:t>
            </w:r>
          </w:p>
          <w:p w14:paraId="08595F8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1.53 (2.58)</w:t>
            </w:r>
          </w:p>
          <w:p w14:paraId="67B24695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[0-12]</w:t>
            </w:r>
          </w:p>
        </w:tc>
      </w:tr>
      <w:tr w:rsidR="00DE7B97" w:rsidRPr="00DE7B97" w14:paraId="45FBDE48" w14:textId="77777777" w:rsidTr="00315D15">
        <w:trPr>
          <w:trHeight w:val="200"/>
        </w:trPr>
        <w:tc>
          <w:tcPr>
            <w:tcW w:w="4155" w:type="dxa"/>
            <w:vMerge w:val="restart"/>
          </w:tcPr>
          <w:p w14:paraId="765EDBF2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Levodopa started, n (%) </w:t>
            </w:r>
          </w:p>
          <w:p w14:paraId="3028D704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 xml:space="preserve">   </w:t>
            </w:r>
          </w:p>
        </w:tc>
        <w:tc>
          <w:tcPr>
            <w:tcW w:w="2730" w:type="dxa"/>
          </w:tcPr>
          <w:p w14:paraId="29CD70EC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Baseline</w:t>
            </w:r>
          </w:p>
        </w:tc>
        <w:tc>
          <w:tcPr>
            <w:tcW w:w="2520" w:type="dxa"/>
          </w:tcPr>
          <w:p w14:paraId="4971D79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(0)</w:t>
            </w:r>
          </w:p>
        </w:tc>
        <w:tc>
          <w:tcPr>
            <w:tcW w:w="2055" w:type="dxa"/>
          </w:tcPr>
          <w:p w14:paraId="2F697F9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(0)</w:t>
            </w:r>
          </w:p>
        </w:tc>
        <w:tc>
          <w:tcPr>
            <w:tcW w:w="1830" w:type="dxa"/>
          </w:tcPr>
          <w:p w14:paraId="7D51CB9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4 (1)</w:t>
            </w:r>
          </w:p>
        </w:tc>
      </w:tr>
      <w:tr w:rsidR="00DE7B97" w:rsidRPr="00DE7B97" w14:paraId="69983AFC" w14:textId="77777777" w:rsidTr="00315D15">
        <w:trPr>
          <w:trHeight w:val="200"/>
        </w:trPr>
        <w:tc>
          <w:tcPr>
            <w:tcW w:w="4155" w:type="dxa"/>
            <w:vMerge/>
          </w:tcPr>
          <w:p w14:paraId="6A8B5130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7DB680E4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1</w:t>
            </w:r>
          </w:p>
        </w:tc>
        <w:tc>
          <w:tcPr>
            <w:tcW w:w="2520" w:type="dxa"/>
          </w:tcPr>
          <w:p w14:paraId="5D7B9E97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25 (27)</w:t>
            </w:r>
          </w:p>
        </w:tc>
        <w:tc>
          <w:tcPr>
            <w:tcW w:w="2055" w:type="dxa"/>
          </w:tcPr>
          <w:p w14:paraId="6A7FF91E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50 (28)</w:t>
            </w:r>
          </w:p>
        </w:tc>
        <w:tc>
          <w:tcPr>
            <w:tcW w:w="1830" w:type="dxa"/>
          </w:tcPr>
          <w:p w14:paraId="4A84F42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81 (27)</w:t>
            </w:r>
          </w:p>
        </w:tc>
      </w:tr>
      <w:tr w:rsidR="00DE7B97" w:rsidRPr="00DE7B97" w14:paraId="003EC656" w14:textId="77777777" w:rsidTr="00315D15">
        <w:trPr>
          <w:trHeight w:val="200"/>
        </w:trPr>
        <w:tc>
          <w:tcPr>
            <w:tcW w:w="4155" w:type="dxa"/>
            <w:vMerge/>
          </w:tcPr>
          <w:p w14:paraId="101BD12F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1634A050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2</w:t>
            </w:r>
          </w:p>
        </w:tc>
        <w:tc>
          <w:tcPr>
            <w:tcW w:w="2520" w:type="dxa"/>
          </w:tcPr>
          <w:p w14:paraId="7BF6E54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54 (57)</w:t>
            </w:r>
          </w:p>
        </w:tc>
        <w:tc>
          <w:tcPr>
            <w:tcW w:w="2055" w:type="dxa"/>
          </w:tcPr>
          <w:p w14:paraId="49C74BFB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94 (53)</w:t>
            </w:r>
          </w:p>
        </w:tc>
        <w:tc>
          <w:tcPr>
            <w:tcW w:w="1830" w:type="dxa"/>
          </w:tcPr>
          <w:p w14:paraId="7DBABF0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143 (49)</w:t>
            </w:r>
          </w:p>
        </w:tc>
      </w:tr>
      <w:tr w:rsidR="00DE7B97" w:rsidRPr="00DE7B97" w14:paraId="79BCF830" w14:textId="77777777" w:rsidTr="00315D15">
        <w:trPr>
          <w:trHeight w:val="200"/>
        </w:trPr>
        <w:tc>
          <w:tcPr>
            <w:tcW w:w="4155" w:type="dxa"/>
            <w:vMerge/>
          </w:tcPr>
          <w:p w14:paraId="034B889E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03C4D1CC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3</w:t>
            </w:r>
          </w:p>
        </w:tc>
        <w:tc>
          <w:tcPr>
            <w:tcW w:w="2520" w:type="dxa"/>
          </w:tcPr>
          <w:p w14:paraId="30B12A08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70 (74)</w:t>
            </w:r>
          </w:p>
        </w:tc>
        <w:tc>
          <w:tcPr>
            <w:tcW w:w="2055" w:type="dxa"/>
          </w:tcPr>
          <w:p w14:paraId="17A651E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125 (71)</w:t>
            </w:r>
          </w:p>
        </w:tc>
        <w:tc>
          <w:tcPr>
            <w:tcW w:w="1830" w:type="dxa"/>
          </w:tcPr>
          <w:p w14:paraId="62A1F18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187 (66)</w:t>
            </w:r>
          </w:p>
        </w:tc>
      </w:tr>
      <w:tr w:rsidR="00DE7B97" w:rsidRPr="00DE7B97" w14:paraId="08B37781" w14:textId="77777777" w:rsidTr="00315D15">
        <w:trPr>
          <w:trHeight w:val="200"/>
        </w:trPr>
        <w:tc>
          <w:tcPr>
            <w:tcW w:w="4155" w:type="dxa"/>
            <w:vMerge/>
          </w:tcPr>
          <w:p w14:paraId="618A4DE9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11DBC2E2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4</w:t>
            </w:r>
          </w:p>
        </w:tc>
        <w:tc>
          <w:tcPr>
            <w:tcW w:w="2520" w:type="dxa"/>
          </w:tcPr>
          <w:p w14:paraId="36D00668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76 (84)</w:t>
            </w:r>
          </w:p>
        </w:tc>
        <w:tc>
          <w:tcPr>
            <w:tcW w:w="2055" w:type="dxa"/>
          </w:tcPr>
          <w:p w14:paraId="6592A75C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142 (82)</w:t>
            </w:r>
          </w:p>
        </w:tc>
        <w:tc>
          <w:tcPr>
            <w:tcW w:w="1830" w:type="dxa"/>
          </w:tcPr>
          <w:p w14:paraId="462B5D9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209 (77)</w:t>
            </w:r>
          </w:p>
        </w:tc>
      </w:tr>
      <w:tr w:rsidR="00DE7B97" w:rsidRPr="00DE7B97" w14:paraId="6DFE891D" w14:textId="77777777" w:rsidTr="00315D15">
        <w:trPr>
          <w:trHeight w:val="200"/>
        </w:trPr>
        <w:tc>
          <w:tcPr>
            <w:tcW w:w="4155" w:type="dxa"/>
            <w:vMerge w:val="restart"/>
          </w:tcPr>
          <w:p w14:paraId="67FC4210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MDS-UPDRS Part IV with score 0, </w:t>
            </w:r>
          </w:p>
          <w:p w14:paraId="537F547A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  <w:b/>
              </w:rPr>
              <w:t>n (%)</w:t>
            </w:r>
          </w:p>
        </w:tc>
        <w:tc>
          <w:tcPr>
            <w:tcW w:w="2730" w:type="dxa"/>
          </w:tcPr>
          <w:p w14:paraId="56D89F0A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1</w:t>
            </w:r>
          </w:p>
        </w:tc>
        <w:tc>
          <w:tcPr>
            <w:tcW w:w="2520" w:type="dxa"/>
          </w:tcPr>
          <w:p w14:paraId="4F5A30D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53 (53.2)</w:t>
            </w:r>
          </w:p>
        </w:tc>
        <w:tc>
          <w:tcPr>
            <w:tcW w:w="2055" w:type="dxa"/>
          </w:tcPr>
          <w:p w14:paraId="5210FC7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99 (55.9)</w:t>
            </w:r>
          </w:p>
        </w:tc>
        <w:tc>
          <w:tcPr>
            <w:tcW w:w="1830" w:type="dxa"/>
          </w:tcPr>
          <w:p w14:paraId="70B1BF2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152 (51.2)</w:t>
            </w:r>
          </w:p>
        </w:tc>
      </w:tr>
      <w:tr w:rsidR="00DE7B97" w:rsidRPr="00DE7B97" w14:paraId="14DC68A1" w14:textId="77777777" w:rsidTr="00315D15">
        <w:trPr>
          <w:trHeight w:val="200"/>
        </w:trPr>
        <w:tc>
          <w:tcPr>
            <w:tcW w:w="4155" w:type="dxa"/>
            <w:vMerge/>
          </w:tcPr>
          <w:p w14:paraId="58DF10D9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009643A8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2</w:t>
            </w:r>
          </w:p>
        </w:tc>
        <w:tc>
          <w:tcPr>
            <w:tcW w:w="2520" w:type="dxa"/>
          </w:tcPr>
          <w:p w14:paraId="1FAE29F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47 (50.0)</w:t>
            </w:r>
          </w:p>
        </w:tc>
        <w:tc>
          <w:tcPr>
            <w:tcW w:w="2055" w:type="dxa"/>
          </w:tcPr>
          <w:p w14:paraId="778BFF4E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95 (53.7)</w:t>
            </w:r>
          </w:p>
        </w:tc>
        <w:tc>
          <w:tcPr>
            <w:tcW w:w="1830" w:type="dxa"/>
          </w:tcPr>
          <w:p w14:paraId="50CE493C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187 (64.5)</w:t>
            </w:r>
          </w:p>
        </w:tc>
      </w:tr>
      <w:tr w:rsidR="00DE7B97" w:rsidRPr="00DE7B97" w14:paraId="32467CC0" w14:textId="77777777" w:rsidTr="00315D15">
        <w:trPr>
          <w:trHeight w:val="200"/>
        </w:trPr>
        <w:tc>
          <w:tcPr>
            <w:tcW w:w="4155" w:type="dxa"/>
            <w:vMerge/>
          </w:tcPr>
          <w:p w14:paraId="66A69631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1FDCCE5D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3</w:t>
            </w:r>
          </w:p>
        </w:tc>
        <w:tc>
          <w:tcPr>
            <w:tcW w:w="2520" w:type="dxa"/>
          </w:tcPr>
          <w:p w14:paraId="74E5833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50 (53.2)</w:t>
            </w:r>
          </w:p>
        </w:tc>
        <w:tc>
          <w:tcPr>
            <w:tcW w:w="2055" w:type="dxa"/>
          </w:tcPr>
          <w:p w14:paraId="23E81FD0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89 (50.6)</w:t>
            </w:r>
          </w:p>
        </w:tc>
        <w:tc>
          <w:tcPr>
            <w:tcW w:w="1830" w:type="dxa"/>
          </w:tcPr>
          <w:p w14:paraId="1B193D0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184 (64.6)</w:t>
            </w:r>
          </w:p>
        </w:tc>
      </w:tr>
      <w:tr w:rsidR="00DE7B97" w:rsidRPr="00DE7B97" w14:paraId="018C3A8C" w14:textId="77777777" w:rsidTr="00315D15">
        <w:trPr>
          <w:trHeight w:val="200"/>
        </w:trPr>
        <w:tc>
          <w:tcPr>
            <w:tcW w:w="4155" w:type="dxa"/>
            <w:vMerge/>
          </w:tcPr>
          <w:p w14:paraId="552C915D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29D17ECB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4</w:t>
            </w:r>
          </w:p>
        </w:tc>
        <w:tc>
          <w:tcPr>
            <w:tcW w:w="2520" w:type="dxa"/>
          </w:tcPr>
          <w:p w14:paraId="64F9FBB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44 (48.4)</w:t>
            </w:r>
          </w:p>
        </w:tc>
        <w:tc>
          <w:tcPr>
            <w:tcW w:w="2055" w:type="dxa"/>
          </w:tcPr>
          <w:p w14:paraId="6539E69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85 (49.1)</w:t>
            </w:r>
          </w:p>
        </w:tc>
        <w:tc>
          <w:tcPr>
            <w:tcW w:w="1830" w:type="dxa"/>
          </w:tcPr>
          <w:p w14:paraId="794FB2D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159 (58.2)</w:t>
            </w:r>
          </w:p>
        </w:tc>
      </w:tr>
      <w:tr w:rsidR="00DE7B97" w:rsidRPr="00DE7B97" w14:paraId="44CF56D4" w14:textId="77777777" w:rsidTr="00315D15">
        <w:trPr>
          <w:trHeight w:val="200"/>
        </w:trPr>
        <w:tc>
          <w:tcPr>
            <w:tcW w:w="4155" w:type="dxa"/>
            <w:vMerge w:val="restart"/>
          </w:tcPr>
          <w:p w14:paraId="7BAEC3EE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MDS-UPDRS Part IV with score 1,</w:t>
            </w:r>
          </w:p>
          <w:p w14:paraId="7A9F6EB4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n (%)</w:t>
            </w:r>
          </w:p>
        </w:tc>
        <w:tc>
          <w:tcPr>
            <w:tcW w:w="2730" w:type="dxa"/>
          </w:tcPr>
          <w:p w14:paraId="5166F4B0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1</w:t>
            </w:r>
          </w:p>
        </w:tc>
        <w:tc>
          <w:tcPr>
            <w:tcW w:w="2520" w:type="dxa"/>
          </w:tcPr>
          <w:p w14:paraId="75C5E32B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(0)</w:t>
            </w:r>
          </w:p>
        </w:tc>
        <w:tc>
          <w:tcPr>
            <w:tcW w:w="2055" w:type="dxa"/>
          </w:tcPr>
          <w:p w14:paraId="43A8E3A7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0 (0)</w:t>
            </w:r>
          </w:p>
        </w:tc>
        <w:tc>
          <w:tcPr>
            <w:tcW w:w="1830" w:type="dxa"/>
          </w:tcPr>
          <w:p w14:paraId="4132616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5 (1.7)</w:t>
            </w:r>
          </w:p>
        </w:tc>
      </w:tr>
      <w:tr w:rsidR="00DE7B97" w:rsidRPr="00DE7B97" w14:paraId="0327A2ED" w14:textId="77777777" w:rsidTr="00315D15">
        <w:trPr>
          <w:trHeight w:val="200"/>
        </w:trPr>
        <w:tc>
          <w:tcPr>
            <w:tcW w:w="4155" w:type="dxa"/>
            <w:vMerge/>
          </w:tcPr>
          <w:p w14:paraId="6142D583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5C05DBE7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2</w:t>
            </w:r>
          </w:p>
        </w:tc>
        <w:tc>
          <w:tcPr>
            <w:tcW w:w="2520" w:type="dxa"/>
          </w:tcPr>
          <w:p w14:paraId="67D21A8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 (1.1)</w:t>
            </w:r>
          </w:p>
        </w:tc>
        <w:tc>
          <w:tcPr>
            <w:tcW w:w="2055" w:type="dxa"/>
          </w:tcPr>
          <w:p w14:paraId="0250F00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4 (2.3)</w:t>
            </w:r>
          </w:p>
        </w:tc>
        <w:tc>
          <w:tcPr>
            <w:tcW w:w="1830" w:type="dxa"/>
          </w:tcPr>
          <w:p w14:paraId="7614485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 (2.4)</w:t>
            </w:r>
          </w:p>
        </w:tc>
      </w:tr>
      <w:tr w:rsidR="00DE7B97" w:rsidRPr="00DE7B97" w14:paraId="2BBC5C58" w14:textId="77777777" w:rsidTr="00315D15">
        <w:trPr>
          <w:trHeight w:val="200"/>
        </w:trPr>
        <w:tc>
          <w:tcPr>
            <w:tcW w:w="4155" w:type="dxa"/>
            <w:vMerge/>
          </w:tcPr>
          <w:p w14:paraId="22A21193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3E890614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3</w:t>
            </w:r>
          </w:p>
        </w:tc>
        <w:tc>
          <w:tcPr>
            <w:tcW w:w="2520" w:type="dxa"/>
          </w:tcPr>
          <w:p w14:paraId="29BAF74C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4 (4.3)</w:t>
            </w:r>
          </w:p>
        </w:tc>
        <w:tc>
          <w:tcPr>
            <w:tcW w:w="2055" w:type="dxa"/>
          </w:tcPr>
          <w:p w14:paraId="04ADE3C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6 (3.4)</w:t>
            </w:r>
          </w:p>
        </w:tc>
        <w:tc>
          <w:tcPr>
            <w:tcW w:w="1830" w:type="dxa"/>
          </w:tcPr>
          <w:p w14:paraId="1E07C925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14 (4.9)</w:t>
            </w:r>
          </w:p>
        </w:tc>
      </w:tr>
      <w:tr w:rsidR="00DE7B97" w:rsidRPr="00DE7B97" w14:paraId="353A5C7F" w14:textId="77777777" w:rsidTr="00315D15">
        <w:trPr>
          <w:trHeight w:val="200"/>
        </w:trPr>
        <w:tc>
          <w:tcPr>
            <w:tcW w:w="4155" w:type="dxa"/>
            <w:vMerge/>
          </w:tcPr>
          <w:p w14:paraId="742F75E1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5BCA37BE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4</w:t>
            </w:r>
          </w:p>
        </w:tc>
        <w:tc>
          <w:tcPr>
            <w:tcW w:w="2520" w:type="dxa"/>
          </w:tcPr>
          <w:p w14:paraId="77C9495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5 (5.5)</w:t>
            </w:r>
          </w:p>
        </w:tc>
        <w:tc>
          <w:tcPr>
            <w:tcW w:w="2055" w:type="dxa"/>
          </w:tcPr>
          <w:p w14:paraId="001070B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 (4.6)</w:t>
            </w:r>
          </w:p>
        </w:tc>
        <w:tc>
          <w:tcPr>
            <w:tcW w:w="1830" w:type="dxa"/>
          </w:tcPr>
          <w:p w14:paraId="11C1071B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6 (2.2)</w:t>
            </w:r>
          </w:p>
        </w:tc>
      </w:tr>
      <w:tr w:rsidR="00DE7B97" w:rsidRPr="00DE7B97" w14:paraId="1777EBE0" w14:textId="77777777" w:rsidTr="00315D15">
        <w:trPr>
          <w:trHeight w:val="200"/>
        </w:trPr>
        <w:tc>
          <w:tcPr>
            <w:tcW w:w="4155" w:type="dxa"/>
            <w:vMerge w:val="restart"/>
          </w:tcPr>
          <w:p w14:paraId="1AFB326C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MDS-UPDRS Part IV with score ≥2, </w:t>
            </w:r>
          </w:p>
          <w:p w14:paraId="31CA2909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lastRenderedPageBreak/>
              <w:t>n (%)</w:t>
            </w:r>
          </w:p>
        </w:tc>
        <w:tc>
          <w:tcPr>
            <w:tcW w:w="2730" w:type="dxa"/>
          </w:tcPr>
          <w:p w14:paraId="339502E8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lastRenderedPageBreak/>
              <w:t>Year 1</w:t>
            </w:r>
          </w:p>
        </w:tc>
        <w:tc>
          <w:tcPr>
            <w:tcW w:w="2520" w:type="dxa"/>
          </w:tcPr>
          <w:p w14:paraId="769D4071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12 (12.8)</w:t>
            </w:r>
          </w:p>
        </w:tc>
        <w:tc>
          <w:tcPr>
            <w:tcW w:w="2055" w:type="dxa"/>
          </w:tcPr>
          <w:p w14:paraId="09BE17CE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14 (7.9)</w:t>
            </w:r>
          </w:p>
        </w:tc>
        <w:tc>
          <w:tcPr>
            <w:tcW w:w="1830" w:type="dxa"/>
          </w:tcPr>
          <w:p w14:paraId="5CA3EAE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17 (5.7)</w:t>
            </w:r>
          </w:p>
        </w:tc>
      </w:tr>
      <w:tr w:rsidR="00DE7B97" w:rsidRPr="00DE7B97" w14:paraId="1FA8B76E" w14:textId="77777777" w:rsidTr="00315D15">
        <w:trPr>
          <w:trHeight w:val="200"/>
        </w:trPr>
        <w:tc>
          <w:tcPr>
            <w:tcW w:w="4155" w:type="dxa"/>
            <w:vMerge/>
          </w:tcPr>
          <w:p w14:paraId="6EA0B42F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262D57AD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2</w:t>
            </w:r>
          </w:p>
        </w:tc>
        <w:tc>
          <w:tcPr>
            <w:tcW w:w="2520" w:type="dxa"/>
          </w:tcPr>
          <w:p w14:paraId="3489513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27 (28.7)</w:t>
            </w:r>
          </w:p>
        </w:tc>
        <w:tc>
          <w:tcPr>
            <w:tcW w:w="2055" w:type="dxa"/>
          </w:tcPr>
          <w:p w14:paraId="12FD0B10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35 (19.8)</w:t>
            </w:r>
          </w:p>
        </w:tc>
        <w:tc>
          <w:tcPr>
            <w:tcW w:w="1830" w:type="dxa"/>
          </w:tcPr>
          <w:p w14:paraId="109E301E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37 (12.8)</w:t>
            </w:r>
          </w:p>
        </w:tc>
      </w:tr>
      <w:tr w:rsidR="00DE7B97" w:rsidRPr="00DE7B97" w14:paraId="3CDFCF06" w14:textId="77777777" w:rsidTr="00315D15">
        <w:trPr>
          <w:trHeight w:val="200"/>
        </w:trPr>
        <w:tc>
          <w:tcPr>
            <w:tcW w:w="4155" w:type="dxa"/>
            <w:vMerge/>
          </w:tcPr>
          <w:p w14:paraId="2691CA35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42072586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3</w:t>
            </w:r>
          </w:p>
        </w:tc>
        <w:tc>
          <w:tcPr>
            <w:tcW w:w="2520" w:type="dxa"/>
          </w:tcPr>
          <w:p w14:paraId="2737707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28 (29.8)</w:t>
            </w:r>
          </w:p>
        </w:tc>
        <w:tc>
          <w:tcPr>
            <w:tcW w:w="2055" w:type="dxa"/>
          </w:tcPr>
          <w:p w14:paraId="14E1E5C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53 (30.1)</w:t>
            </w:r>
          </w:p>
        </w:tc>
        <w:tc>
          <w:tcPr>
            <w:tcW w:w="1830" w:type="dxa"/>
          </w:tcPr>
          <w:p w14:paraId="39383897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47 (16.5)</w:t>
            </w:r>
          </w:p>
        </w:tc>
      </w:tr>
      <w:tr w:rsidR="00DE7B97" w:rsidRPr="00DE7B97" w14:paraId="26A6DE1A" w14:textId="77777777" w:rsidTr="00315D15">
        <w:trPr>
          <w:trHeight w:val="200"/>
        </w:trPr>
        <w:tc>
          <w:tcPr>
            <w:tcW w:w="4155" w:type="dxa"/>
            <w:vMerge/>
          </w:tcPr>
          <w:p w14:paraId="7115EEAC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71721FFD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4</w:t>
            </w:r>
          </w:p>
        </w:tc>
        <w:tc>
          <w:tcPr>
            <w:tcW w:w="2520" w:type="dxa"/>
          </w:tcPr>
          <w:p w14:paraId="42420F2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35 (38.5)</w:t>
            </w:r>
          </w:p>
        </w:tc>
        <w:tc>
          <w:tcPr>
            <w:tcW w:w="2055" w:type="dxa"/>
          </w:tcPr>
          <w:p w14:paraId="7B4BB702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65 (37.6)</w:t>
            </w:r>
          </w:p>
        </w:tc>
        <w:tc>
          <w:tcPr>
            <w:tcW w:w="1830" w:type="dxa"/>
          </w:tcPr>
          <w:p w14:paraId="22B8CD40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74 (27.1)</w:t>
            </w:r>
          </w:p>
        </w:tc>
      </w:tr>
      <w:tr w:rsidR="00DE7B97" w:rsidRPr="00DE7B97" w14:paraId="46D8D0A3" w14:textId="77777777" w:rsidTr="00315D15">
        <w:trPr>
          <w:trHeight w:val="200"/>
        </w:trPr>
        <w:tc>
          <w:tcPr>
            <w:tcW w:w="4155" w:type="dxa"/>
            <w:vMerge w:val="restart"/>
          </w:tcPr>
          <w:p w14:paraId="6AA35AB8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  <w:b/>
              </w:rPr>
              <w:t>MDS-UPDRS Part IV missing,</w:t>
            </w:r>
            <w:r w:rsidRPr="00DE7B97">
              <w:rPr>
                <w:rFonts w:ascii="Arial" w:eastAsia="Arial" w:hAnsi="Arial" w:cs="Arial"/>
              </w:rPr>
              <w:t xml:space="preserve">   </w:t>
            </w:r>
          </w:p>
          <w:p w14:paraId="17DC256E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  <w:b/>
              </w:rPr>
              <w:t>n (%)</w:t>
            </w:r>
          </w:p>
        </w:tc>
        <w:tc>
          <w:tcPr>
            <w:tcW w:w="2730" w:type="dxa"/>
          </w:tcPr>
          <w:p w14:paraId="7394A59B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1</w:t>
            </w:r>
          </w:p>
        </w:tc>
        <w:tc>
          <w:tcPr>
            <w:tcW w:w="2520" w:type="dxa"/>
          </w:tcPr>
          <w:p w14:paraId="28A21170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32 (34.0)</w:t>
            </w:r>
          </w:p>
        </w:tc>
        <w:tc>
          <w:tcPr>
            <w:tcW w:w="2055" w:type="dxa"/>
          </w:tcPr>
          <w:p w14:paraId="6C83BF57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64 (36.2)</w:t>
            </w:r>
          </w:p>
        </w:tc>
        <w:tc>
          <w:tcPr>
            <w:tcW w:w="1830" w:type="dxa"/>
          </w:tcPr>
          <w:p w14:paraId="15505BA7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123 (41.4)</w:t>
            </w:r>
          </w:p>
        </w:tc>
      </w:tr>
      <w:tr w:rsidR="00DE7B97" w:rsidRPr="00DE7B97" w14:paraId="4AC0CC74" w14:textId="77777777" w:rsidTr="00315D15">
        <w:trPr>
          <w:trHeight w:val="200"/>
        </w:trPr>
        <w:tc>
          <w:tcPr>
            <w:tcW w:w="4155" w:type="dxa"/>
            <w:vMerge/>
          </w:tcPr>
          <w:p w14:paraId="06C8D52F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61A728FD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2</w:t>
            </w:r>
          </w:p>
        </w:tc>
        <w:tc>
          <w:tcPr>
            <w:tcW w:w="2520" w:type="dxa"/>
          </w:tcPr>
          <w:p w14:paraId="64DC659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19 (20.2)</w:t>
            </w:r>
          </w:p>
        </w:tc>
        <w:tc>
          <w:tcPr>
            <w:tcW w:w="2055" w:type="dxa"/>
          </w:tcPr>
          <w:p w14:paraId="763289C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43 (24.3)</w:t>
            </w:r>
          </w:p>
        </w:tc>
        <w:tc>
          <w:tcPr>
            <w:tcW w:w="1830" w:type="dxa"/>
          </w:tcPr>
          <w:p w14:paraId="0BDD7AE8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59 (20.3)</w:t>
            </w:r>
          </w:p>
        </w:tc>
      </w:tr>
      <w:tr w:rsidR="00DE7B97" w:rsidRPr="00DE7B97" w14:paraId="554961E6" w14:textId="77777777" w:rsidTr="00315D15">
        <w:trPr>
          <w:trHeight w:val="200"/>
        </w:trPr>
        <w:tc>
          <w:tcPr>
            <w:tcW w:w="4155" w:type="dxa"/>
            <w:vMerge/>
          </w:tcPr>
          <w:p w14:paraId="6170647E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2FCC1442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3</w:t>
            </w:r>
          </w:p>
        </w:tc>
        <w:tc>
          <w:tcPr>
            <w:tcW w:w="2520" w:type="dxa"/>
          </w:tcPr>
          <w:p w14:paraId="433203B0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12 (12.8)</w:t>
            </w:r>
          </w:p>
        </w:tc>
        <w:tc>
          <w:tcPr>
            <w:tcW w:w="2055" w:type="dxa"/>
          </w:tcPr>
          <w:p w14:paraId="70C45D5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28 (15.9)</w:t>
            </w:r>
          </w:p>
        </w:tc>
        <w:tc>
          <w:tcPr>
            <w:tcW w:w="1830" w:type="dxa"/>
          </w:tcPr>
          <w:p w14:paraId="383E9E3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40 (14)</w:t>
            </w:r>
          </w:p>
        </w:tc>
      </w:tr>
      <w:tr w:rsidR="00DE7B97" w:rsidRPr="00DE7B97" w14:paraId="22451820" w14:textId="77777777" w:rsidTr="00315D15">
        <w:trPr>
          <w:trHeight w:val="200"/>
        </w:trPr>
        <w:tc>
          <w:tcPr>
            <w:tcW w:w="4155" w:type="dxa"/>
            <w:vMerge/>
          </w:tcPr>
          <w:p w14:paraId="7B3DA94A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07947BF0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4</w:t>
            </w:r>
          </w:p>
        </w:tc>
        <w:tc>
          <w:tcPr>
            <w:tcW w:w="2520" w:type="dxa"/>
          </w:tcPr>
          <w:p w14:paraId="666369F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 (7.7)</w:t>
            </w:r>
          </w:p>
        </w:tc>
        <w:tc>
          <w:tcPr>
            <w:tcW w:w="2055" w:type="dxa"/>
          </w:tcPr>
          <w:p w14:paraId="0EE6443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15 (8.7)</w:t>
            </w:r>
          </w:p>
        </w:tc>
        <w:tc>
          <w:tcPr>
            <w:tcW w:w="1830" w:type="dxa"/>
          </w:tcPr>
          <w:p w14:paraId="32D4A18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34 (12.5)</w:t>
            </w:r>
          </w:p>
        </w:tc>
      </w:tr>
      <w:tr w:rsidR="00DE7B97" w:rsidRPr="00DE7B97" w14:paraId="4E293AE7" w14:textId="77777777" w:rsidTr="00315D15">
        <w:trPr>
          <w:trHeight w:val="200"/>
        </w:trPr>
        <w:tc>
          <w:tcPr>
            <w:tcW w:w="4155" w:type="dxa"/>
            <w:vMerge w:val="restart"/>
          </w:tcPr>
          <w:p w14:paraId="4FBB4EED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MDS-UPDRS Part IV item 4.1 </w:t>
            </w:r>
          </w:p>
          <w:p w14:paraId="5FCFC8FD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missing or 0 vs ≥1 (%)</w:t>
            </w:r>
          </w:p>
        </w:tc>
        <w:tc>
          <w:tcPr>
            <w:tcW w:w="2730" w:type="dxa"/>
          </w:tcPr>
          <w:p w14:paraId="415E8B85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1</w:t>
            </w:r>
          </w:p>
        </w:tc>
        <w:tc>
          <w:tcPr>
            <w:tcW w:w="2520" w:type="dxa"/>
          </w:tcPr>
          <w:p w14:paraId="631B3F9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96.8 vs 3.2</w:t>
            </w:r>
          </w:p>
        </w:tc>
        <w:tc>
          <w:tcPr>
            <w:tcW w:w="2055" w:type="dxa"/>
          </w:tcPr>
          <w:p w14:paraId="2763484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99.4 vs 0.6</w:t>
            </w:r>
          </w:p>
        </w:tc>
        <w:tc>
          <w:tcPr>
            <w:tcW w:w="1830" w:type="dxa"/>
          </w:tcPr>
          <w:p w14:paraId="26D82C53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99.0 vs 1.0</w:t>
            </w:r>
          </w:p>
        </w:tc>
      </w:tr>
      <w:tr w:rsidR="00DE7B97" w:rsidRPr="00DE7B97" w14:paraId="73B02730" w14:textId="77777777" w:rsidTr="00315D15">
        <w:trPr>
          <w:trHeight w:val="200"/>
        </w:trPr>
        <w:tc>
          <w:tcPr>
            <w:tcW w:w="4155" w:type="dxa"/>
            <w:vMerge/>
          </w:tcPr>
          <w:p w14:paraId="1EC58616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1AB5CF7D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2</w:t>
            </w:r>
          </w:p>
        </w:tc>
        <w:tc>
          <w:tcPr>
            <w:tcW w:w="2520" w:type="dxa"/>
          </w:tcPr>
          <w:p w14:paraId="4BE5AB8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94.7 vs 5.3</w:t>
            </w:r>
          </w:p>
        </w:tc>
        <w:tc>
          <w:tcPr>
            <w:tcW w:w="2055" w:type="dxa"/>
          </w:tcPr>
          <w:p w14:paraId="44F3227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96.0 vs 4.0</w:t>
            </w:r>
          </w:p>
        </w:tc>
        <w:tc>
          <w:tcPr>
            <w:tcW w:w="1830" w:type="dxa"/>
          </w:tcPr>
          <w:p w14:paraId="3E7D9B00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95.2 vs 4.8</w:t>
            </w:r>
          </w:p>
        </w:tc>
      </w:tr>
      <w:tr w:rsidR="00DE7B97" w:rsidRPr="00DE7B97" w14:paraId="112031D9" w14:textId="77777777" w:rsidTr="00315D15">
        <w:trPr>
          <w:trHeight w:val="200"/>
        </w:trPr>
        <w:tc>
          <w:tcPr>
            <w:tcW w:w="4155" w:type="dxa"/>
            <w:vMerge/>
          </w:tcPr>
          <w:p w14:paraId="47DC549F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6AA73F16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3</w:t>
            </w:r>
          </w:p>
        </w:tc>
        <w:tc>
          <w:tcPr>
            <w:tcW w:w="2520" w:type="dxa"/>
          </w:tcPr>
          <w:p w14:paraId="2D2C1B57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91.5 vs 8.5</w:t>
            </w:r>
          </w:p>
        </w:tc>
        <w:tc>
          <w:tcPr>
            <w:tcW w:w="2055" w:type="dxa"/>
          </w:tcPr>
          <w:p w14:paraId="1021A51C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90.9 vs 9.1</w:t>
            </w:r>
          </w:p>
        </w:tc>
        <w:tc>
          <w:tcPr>
            <w:tcW w:w="1830" w:type="dxa"/>
          </w:tcPr>
          <w:p w14:paraId="75C7E81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91.6 vs 8.4</w:t>
            </w:r>
          </w:p>
        </w:tc>
      </w:tr>
      <w:tr w:rsidR="00DE7B97" w:rsidRPr="00DE7B97" w14:paraId="1F8312E8" w14:textId="77777777" w:rsidTr="00315D15">
        <w:trPr>
          <w:trHeight w:val="200"/>
        </w:trPr>
        <w:tc>
          <w:tcPr>
            <w:tcW w:w="4155" w:type="dxa"/>
            <w:vMerge/>
          </w:tcPr>
          <w:p w14:paraId="1B2503D0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760FFBF4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4</w:t>
            </w:r>
          </w:p>
        </w:tc>
        <w:tc>
          <w:tcPr>
            <w:tcW w:w="2520" w:type="dxa"/>
          </w:tcPr>
          <w:p w14:paraId="5E41C51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83.5 vs 16.5</w:t>
            </w:r>
          </w:p>
        </w:tc>
        <w:tc>
          <w:tcPr>
            <w:tcW w:w="2055" w:type="dxa"/>
          </w:tcPr>
          <w:p w14:paraId="1C32CA2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84.4 vs 15.6</w:t>
            </w:r>
          </w:p>
        </w:tc>
        <w:tc>
          <w:tcPr>
            <w:tcW w:w="1830" w:type="dxa"/>
          </w:tcPr>
          <w:p w14:paraId="638279AF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89.0 vs 11.0</w:t>
            </w:r>
          </w:p>
        </w:tc>
      </w:tr>
      <w:tr w:rsidR="00DE7B97" w:rsidRPr="00DE7B97" w14:paraId="12ABA3CB" w14:textId="77777777" w:rsidTr="00315D15">
        <w:trPr>
          <w:trHeight w:val="200"/>
        </w:trPr>
        <w:tc>
          <w:tcPr>
            <w:tcW w:w="4155" w:type="dxa"/>
            <w:vMerge w:val="restart"/>
          </w:tcPr>
          <w:p w14:paraId="02790A14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 xml:space="preserve">MDS-UPDRS Part IV item 4.3  </w:t>
            </w:r>
          </w:p>
          <w:p w14:paraId="788452CA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  <w:b/>
              </w:rPr>
              <w:t>missing or 0 vs ≥1</w:t>
            </w:r>
            <w:r w:rsidRPr="00DE7B97">
              <w:rPr>
                <w:rFonts w:ascii="Arial" w:eastAsia="Arial" w:hAnsi="Arial" w:cs="Arial"/>
              </w:rPr>
              <w:t xml:space="preserve"> </w:t>
            </w:r>
            <w:r w:rsidRPr="00DE7B97">
              <w:rPr>
                <w:rFonts w:ascii="Arial" w:eastAsia="Arial" w:hAnsi="Arial" w:cs="Arial"/>
                <w:b/>
              </w:rPr>
              <w:t>(%)</w:t>
            </w:r>
          </w:p>
        </w:tc>
        <w:tc>
          <w:tcPr>
            <w:tcW w:w="2730" w:type="dxa"/>
          </w:tcPr>
          <w:p w14:paraId="07691210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1</w:t>
            </w:r>
          </w:p>
        </w:tc>
        <w:tc>
          <w:tcPr>
            <w:tcW w:w="2520" w:type="dxa"/>
          </w:tcPr>
          <w:p w14:paraId="64E6B1F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87.2 vs 12.8</w:t>
            </w:r>
          </w:p>
        </w:tc>
        <w:tc>
          <w:tcPr>
            <w:tcW w:w="2055" w:type="dxa"/>
          </w:tcPr>
          <w:p w14:paraId="01468636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92.7 vs 7.3</w:t>
            </w:r>
          </w:p>
        </w:tc>
        <w:tc>
          <w:tcPr>
            <w:tcW w:w="1830" w:type="dxa"/>
          </w:tcPr>
          <w:p w14:paraId="0997768D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94.3 vs 5.7</w:t>
            </w:r>
          </w:p>
        </w:tc>
      </w:tr>
      <w:tr w:rsidR="00DE7B97" w:rsidRPr="00DE7B97" w14:paraId="75518306" w14:textId="77777777" w:rsidTr="00315D15">
        <w:trPr>
          <w:trHeight w:val="200"/>
        </w:trPr>
        <w:tc>
          <w:tcPr>
            <w:tcW w:w="4155" w:type="dxa"/>
            <w:vMerge/>
          </w:tcPr>
          <w:p w14:paraId="5DB753EF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5D1BEE52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2</w:t>
            </w:r>
          </w:p>
        </w:tc>
        <w:tc>
          <w:tcPr>
            <w:tcW w:w="2520" w:type="dxa"/>
          </w:tcPr>
          <w:p w14:paraId="1392B6EE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73.4 vs 26.6</w:t>
            </w:r>
          </w:p>
        </w:tc>
        <w:tc>
          <w:tcPr>
            <w:tcW w:w="2055" w:type="dxa"/>
          </w:tcPr>
          <w:p w14:paraId="7E807497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79.7 vs 20.3</w:t>
            </w:r>
          </w:p>
        </w:tc>
        <w:tc>
          <w:tcPr>
            <w:tcW w:w="1830" w:type="dxa"/>
          </w:tcPr>
          <w:p w14:paraId="2105C489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87.9 vs 12.1</w:t>
            </w:r>
          </w:p>
        </w:tc>
      </w:tr>
      <w:tr w:rsidR="00DE7B97" w:rsidRPr="00DE7B97" w14:paraId="458CECEA" w14:textId="77777777" w:rsidTr="00315D15">
        <w:trPr>
          <w:trHeight w:val="200"/>
        </w:trPr>
        <w:tc>
          <w:tcPr>
            <w:tcW w:w="4155" w:type="dxa"/>
            <w:vMerge/>
          </w:tcPr>
          <w:p w14:paraId="531C736A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05849BA1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3</w:t>
            </w:r>
          </w:p>
        </w:tc>
        <w:tc>
          <w:tcPr>
            <w:tcW w:w="2520" w:type="dxa"/>
          </w:tcPr>
          <w:p w14:paraId="4B53151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69.1 vs 30.9</w:t>
            </w:r>
          </w:p>
        </w:tc>
        <w:tc>
          <w:tcPr>
            <w:tcW w:w="2055" w:type="dxa"/>
          </w:tcPr>
          <w:p w14:paraId="4D5D675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68.8 vs 31.2</w:t>
            </w:r>
          </w:p>
        </w:tc>
        <w:tc>
          <w:tcPr>
            <w:tcW w:w="1830" w:type="dxa"/>
          </w:tcPr>
          <w:p w14:paraId="1351D60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74.9 vs 15.1</w:t>
            </w:r>
          </w:p>
        </w:tc>
      </w:tr>
      <w:tr w:rsidR="00DE7B97" w:rsidRPr="00DE7B97" w14:paraId="217F4B7B" w14:textId="77777777" w:rsidTr="00315D15">
        <w:trPr>
          <w:trHeight w:val="200"/>
        </w:trPr>
        <w:tc>
          <w:tcPr>
            <w:tcW w:w="4155" w:type="dxa"/>
            <w:vMerge/>
          </w:tcPr>
          <w:p w14:paraId="4A699816" w14:textId="77777777" w:rsidR="00DE7B97" w:rsidRPr="00DE7B97" w:rsidRDefault="00DE7B97" w:rsidP="00DE7B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730" w:type="dxa"/>
          </w:tcPr>
          <w:p w14:paraId="4FFC5DFB" w14:textId="77777777" w:rsidR="00DE7B97" w:rsidRPr="00DE7B97" w:rsidRDefault="00DE7B97" w:rsidP="00DE7B97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DE7B97">
              <w:rPr>
                <w:rFonts w:ascii="Arial" w:eastAsia="Arial" w:hAnsi="Arial" w:cs="Arial"/>
                <w:b/>
              </w:rPr>
              <w:t>Year 4</w:t>
            </w:r>
          </w:p>
        </w:tc>
        <w:tc>
          <w:tcPr>
            <w:tcW w:w="2520" w:type="dxa"/>
          </w:tcPr>
          <w:p w14:paraId="1FAE45CB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59.3 vs 40.7</w:t>
            </w:r>
          </w:p>
        </w:tc>
        <w:tc>
          <w:tcPr>
            <w:tcW w:w="2055" w:type="dxa"/>
          </w:tcPr>
          <w:p w14:paraId="7BB84DE4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61.8 vs 38.2</w:t>
            </w:r>
          </w:p>
        </w:tc>
        <w:tc>
          <w:tcPr>
            <w:tcW w:w="1830" w:type="dxa"/>
          </w:tcPr>
          <w:p w14:paraId="6891192A" w14:textId="77777777" w:rsidR="00DE7B97" w:rsidRPr="00DE7B97" w:rsidRDefault="00DE7B97" w:rsidP="00DE7B97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DE7B97">
              <w:rPr>
                <w:rFonts w:ascii="Arial" w:eastAsia="Arial" w:hAnsi="Arial" w:cs="Arial"/>
              </w:rPr>
              <w:t>72.6 vs 27.5</w:t>
            </w:r>
          </w:p>
        </w:tc>
      </w:tr>
    </w:tbl>
    <w:p w14:paraId="2B7F84C0" w14:textId="77777777" w:rsidR="00DE7B97" w:rsidRPr="00DE7B97" w:rsidRDefault="00DE7B97" w:rsidP="00DE7B97">
      <w:pPr>
        <w:spacing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MDS-UPDRS, Movement Disorder Society-sponsored revision of the Unified Parkinson's Disease Rating Scale; SD, standard deviation; PPMI, Parkinson's Progression Markers Initiative.</w:t>
      </w:r>
    </w:p>
    <w:p w14:paraId="56149623" w14:textId="77777777" w:rsidR="00DE7B97" w:rsidRPr="00DE7B97" w:rsidRDefault="00DE7B97" w:rsidP="00DE7B97">
      <w:pPr>
        <w:spacing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  <w:sectPr w:rsidR="00DE7B97" w:rsidRPr="00DE7B97" w:rsidSect="00DE7B97">
          <w:pgSz w:w="16838" w:h="11906" w:orient="landscape"/>
          <w:pgMar w:top="1440" w:right="1440" w:bottom="1440" w:left="1440" w:header="709" w:footer="709" w:gutter="0"/>
          <w:cols w:space="720"/>
        </w:sectPr>
      </w:pPr>
    </w:p>
    <w:p w14:paraId="6ED0952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/>
          <w:kern w:val="0"/>
          <w:sz w:val="18"/>
          <w:szCs w:val="18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lastRenderedPageBreak/>
        <w:t xml:space="preserve">Supplementary </w:t>
      </w:r>
      <w:sdt>
        <w:sdtPr>
          <w:rPr>
            <w:rFonts w:ascii="Calibri" w:eastAsia="Calibri" w:hAnsi="Calibri" w:cs="Calibri"/>
            <w:kern w:val="0"/>
            <w:lang w:val="en-US" w:eastAsia="en-GB"/>
            <w14:ligatures w14:val="none"/>
          </w:rPr>
          <w:tag w:val="goog_rdk_16"/>
          <w:id w:val="-596559031"/>
        </w:sdtPr>
        <w:sdtEndPr/>
        <w:sdtContent/>
      </w:sdt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 xml:space="preserve">Figure S1. </w:t>
      </w:r>
      <w:r w:rsidRPr="00DE7B97">
        <w:rPr>
          <w:rFonts w:ascii="Arial" w:eastAsia="Roboto" w:hAnsi="Arial" w:cs="Arial"/>
          <w:b/>
          <w:kern w:val="0"/>
          <w:lang w:val="en-US" w:eastAsia="en-GB"/>
          <w14:ligatures w14:val="none"/>
        </w:rPr>
        <w:t xml:space="preserve">Adjusted logistic model Hoehn &amp; Yahr </w:t>
      </w:r>
      <w:sdt>
        <w:sdtPr>
          <w:rPr>
            <w:rFonts w:ascii="Arial" w:eastAsia="Calibri" w:hAnsi="Arial" w:cs="Arial"/>
            <w:kern w:val="0"/>
            <w:lang w:val="en-US" w:eastAsia="en-GB"/>
            <w14:ligatures w14:val="none"/>
          </w:rPr>
          <w:tag w:val="goog_rdk_17"/>
          <w:id w:val="-1273929564"/>
        </w:sdtPr>
        <w:sdtEndPr/>
        <w:sdtContent>
          <w:r w:rsidRPr="00DE7B97">
            <w:rPr>
              <w:rFonts w:ascii="Arial" w:eastAsia="Arial Unicode MS" w:hAnsi="Arial" w:cs="Arial"/>
              <w:b/>
              <w:kern w:val="0"/>
              <w:lang w:val="en-US" w:eastAsia="en-GB"/>
              <w14:ligatures w14:val="none"/>
            </w:rPr>
            <w:t>≥</w:t>
          </w:r>
        </w:sdtContent>
      </w:sdt>
      <w:r w:rsidRPr="00DE7B97">
        <w:rPr>
          <w:rFonts w:ascii="Arial" w:eastAsia="Roboto" w:hAnsi="Arial" w:cs="Arial"/>
          <w:b/>
          <w:kern w:val="0"/>
          <w:lang w:val="en-US" w:eastAsia="en-GB"/>
          <w14:ligatures w14:val="none"/>
        </w:rPr>
        <w:t>3 at year 4.</w:t>
      </w:r>
      <w:r w:rsidRPr="00DE7B97">
        <w:rPr>
          <w:rFonts w:ascii="Roboto" w:eastAsia="Roboto" w:hAnsi="Roboto" w:cs="Roboto"/>
          <w:b/>
          <w:kern w:val="0"/>
          <w:sz w:val="21"/>
          <w:szCs w:val="21"/>
          <w:lang w:val="en-US" w:eastAsia="en-GB"/>
          <w14:ligatures w14:val="none"/>
        </w:rPr>
        <w:t xml:space="preserve"> 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PPMI, Parkinson's Progression Markers Initiative.</w:t>
      </w:r>
    </w:p>
    <w:p w14:paraId="52F5F9B7" w14:textId="77777777" w:rsidR="00DE7B97" w:rsidRPr="00DE7B97" w:rsidRDefault="00DE7B97" w:rsidP="00DE7B97">
      <w:pPr>
        <w:spacing w:after="0" w:line="360" w:lineRule="auto"/>
        <w:rPr>
          <w:rFonts w:ascii="Arial" w:eastAsia="Arial" w:hAnsi="Arial" w:cs="Arial"/>
          <w:b/>
          <w:kern w:val="0"/>
          <w:sz w:val="18"/>
          <w:szCs w:val="18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 xml:space="preserve"> </w:t>
      </w:r>
      <w:r w:rsidRPr="00DE7B97">
        <w:rPr>
          <w:rFonts w:ascii="Calibri" w:eastAsia="Calibri" w:hAnsi="Calibri" w:cs="Calibri"/>
          <w:noProof/>
          <w:kern w:val="0"/>
          <w:lang w:val="en-US"/>
          <w14:ligatures w14:val="none"/>
        </w:rPr>
        <w:drawing>
          <wp:inline distT="0" distB="0" distL="0" distR="0" wp14:anchorId="68B42472" wp14:editId="61E72857">
            <wp:extent cx="5731510" cy="1788160"/>
            <wp:effectExtent l="0" t="0" r="2540" b="2540"/>
            <wp:docPr id="1653347224" name="Picture 1" descr="A graph with black dots and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347224" name="Picture 1" descr="A graph with black dots and white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8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9BC85" w14:textId="77777777" w:rsidR="00DE7B97" w:rsidRPr="00DE7B97" w:rsidRDefault="00DE7B97" w:rsidP="00DE7B97">
      <w:pPr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br w:type="page"/>
      </w:r>
    </w:p>
    <w:p w14:paraId="76420864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lastRenderedPageBreak/>
        <w:t>Supplementary Figure S2. LEDD plot of mean and standard deviation over time (A) and LEDD MMRM change from baseline (B).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 xml:space="preserve"> LEDD, levodopa equivalent daily dose; MMRM, Mixed Models for Repeated Measures; PPMI, Parkinson's Progression Markers Initiative.</w:t>
      </w:r>
    </w:p>
    <w:p w14:paraId="5E48C881" w14:textId="77777777" w:rsidR="00DE7B97" w:rsidRPr="00DE7B97" w:rsidRDefault="00DE7B97" w:rsidP="00DE7B97">
      <w:pPr>
        <w:spacing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</w:p>
    <w:p w14:paraId="2940F786" w14:textId="77777777" w:rsidR="00DE7B97" w:rsidRPr="00DE7B97" w:rsidRDefault="00DE7B97" w:rsidP="00DE7B97">
      <w:pPr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Calibri" w:eastAsia="Calibri" w:hAnsi="Calibri" w:cs="Calibri"/>
          <w:noProof/>
          <w:kern w:val="0"/>
          <w:lang w:val="en-US"/>
          <w14:ligatures w14:val="none"/>
        </w:rPr>
        <w:drawing>
          <wp:inline distT="0" distB="0" distL="0" distR="0" wp14:anchorId="7C038644" wp14:editId="2E42D7CA">
            <wp:extent cx="6134364" cy="2552700"/>
            <wp:effectExtent l="0" t="0" r="0" b="0"/>
            <wp:docPr id="148129233" name="Picture 1" descr="A graph of a patient's heigh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29233" name="Picture 1" descr="A graph of a patient's height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35791" cy="2553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4906B" w14:textId="77777777" w:rsidR="00DE7B97" w:rsidRPr="00DE7B97" w:rsidRDefault="00DE7B97" w:rsidP="00DE7B97">
      <w:pPr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br w:type="page"/>
      </w:r>
    </w:p>
    <w:p w14:paraId="7905304F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 w:rsidDel="003F0223">
        <w:rPr>
          <w:rFonts w:ascii="Arial" w:eastAsia="Arial" w:hAnsi="Arial" w:cs="Arial"/>
          <w:b/>
          <w:kern w:val="0"/>
          <w:lang w:val="en-US" w:eastAsia="en-GB"/>
          <w14:ligatures w14:val="none"/>
        </w:rPr>
        <w:lastRenderedPageBreak/>
        <w:t>Supplementary Figure S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3</w:t>
      </w:r>
      <w:r w:rsidRPr="00DE7B97" w:rsidDel="003F0223">
        <w:rPr>
          <w:rFonts w:ascii="Arial" w:eastAsia="Arial" w:hAnsi="Arial" w:cs="Arial"/>
          <w:b/>
          <w:kern w:val="0"/>
          <w:lang w:val="en-US" w:eastAsia="en-GB"/>
          <w14:ligatures w14:val="none"/>
        </w:rPr>
        <w:t>. Change from baseline for MDS-UPDRS Part I of PASADENA (early and delayed start) against PPMI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 xml:space="preserve">. </w:t>
      </w:r>
      <w:r w:rsidRPr="00DE7B97">
        <w:rPr>
          <w:rFonts w:ascii="Arial" w:eastAsia="Arial" w:hAnsi="Arial" w:cs="Arial"/>
          <w:bCs/>
          <w:kern w:val="0"/>
          <w:lang w:val="en-US" w:eastAsia="en-GB"/>
          <w14:ligatures w14:val="none"/>
        </w:rPr>
        <w:t xml:space="preserve">MDS-UPDRS, 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Movement Disorder Society-sponsored revision of the Unified Parkinson's Disease Rating Scale</w:t>
      </w:r>
      <w:r w:rsidRPr="00DE7B97">
        <w:rPr>
          <w:rFonts w:ascii="Arial" w:eastAsia="Arial" w:hAnsi="Arial" w:cs="Arial"/>
          <w:bCs/>
          <w:kern w:val="0"/>
          <w:lang w:val="en-US" w:eastAsia="en-GB"/>
          <w14:ligatures w14:val="none"/>
        </w:rPr>
        <w:t>; PPMI, Parkinson's Progression Markers Initiative.</w:t>
      </w:r>
    </w:p>
    <w:p w14:paraId="571B45ED" w14:textId="77777777" w:rsidR="00DE7B97" w:rsidRPr="00DE7B97" w:rsidDel="003F0223" w:rsidRDefault="00DE7B97" w:rsidP="00DE7B97">
      <w:pPr>
        <w:spacing w:after="0" w:line="36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</w:p>
    <w:p w14:paraId="4C567F6C" w14:textId="77777777" w:rsidR="00DE7B97" w:rsidRPr="00DE7B97" w:rsidRDefault="00DE7B97" w:rsidP="00DE7B97">
      <w:pPr>
        <w:spacing w:after="0" w:line="360" w:lineRule="auto"/>
        <w:rPr>
          <w:rFonts w:ascii="Arial" w:eastAsia="Arial" w:hAnsi="Arial" w:cs="Arial"/>
          <w:kern w:val="0"/>
          <w:sz w:val="18"/>
          <w:szCs w:val="18"/>
          <w:lang w:val="en-US" w:eastAsia="en-GB"/>
          <w14:ligatures w14:val="none"/>
        </w:rPr>
      </w:pPr>
      <w:r w:rsidRPr="00DE7B97">
        <w:rPr>
          <w:rFonts w:ascii="Calibri" w:eastAsia="Calibri" w:hAnsi="Calibri" w:cs="Calibri"/>
          <w:noProof/>
          <w:kern w:val="0"/>
          <w:lang w:val="en-US"/>
          <w14:ligatures w14:val="none"/>
        </w:rPr>
        <w:drawing>
          <wp:inline distT="0" distB="0" distL="0" distR="0" wp14:anchorId="555D283D" wp14:editId="71DD8D6A">
            <wp:extent cx="4425940" cy="3381375"/>
            <wp:effectExtent l="0" t="0" r="0" b="0"/>
            <wp:docPr id="1054202612" name="Picture 1" descr="A graph of a patient's performa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202612" name="Picture 1" descr="A graph of a patient's performance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30288" cy="3384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32269" w14:textId="77777777" w:rsidR="00DE7B97" w:rsidRPr="00DE7B97" w:rsidDel="003F0223" w:rsidRDefault="00DE7B97" w:rsidP="00DE7B97">
      <w:pPr>
        <w:spacing w:after="0" w:line="360" w:lineRule="auto"/>
        <w:rPr>
          <w:rFonts w:ascii="Arial" w:eastAsia="Arial" w:hAnsi="Arial" w:cs="Arial"/>
          <w:kern w:val="0"/>
          <w:sz w:val="18"/>
          <w:szCs w:val="18"/>
          <w:lang w:val="en-US" w:eastAsia="en-GB"/>
          <w14:ligatures w14:val="none"/>
        </w:rPr>
      </w:pPr>
    </w:p>
    <w:p w14:paraId="4F2BD742" w14:textId="77777777" w:rsidR="00DE7B97" w:rsidRPr="00DE7B97" w:rsidRDefault="00DE7B97" w:rsidP="00DE7B97">
      <w:pPr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br w:type="page"/>
      </w:r>
    </w:p>
    <w:p w14:paraId="5FEDD2E5" w14:textId="77777777" w:rsidR="00DE7B97" w:rsidRPr="00DE7B97" w:rsidRDefault="00DE7B97" w:rsidP="00DE7B97">
      <w:pPr>
        <w:spacing w:line="48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lastRenderedPageBreak/>
        <w:t xml:space="preserve">Supplementary Figure S4. Attrition of PPMI sample. </w:t>
      </w:r>
      <w:r w:rsidRPr="00DE7B97">
        <w:rPr>
          <w:rFonts w:ascii="Arial" w:eastAsia="Arial" w:hAnsi="Arial" w:cs="Arial"/>
          <w:bCs/>
          <w:kern w:val="0"/>
          <w:lang w:val="en-US" w:eastAsia="en-GB"/>
          <w14:ligatures w14:val="none"/>
        </w:rPr>
        <w:t>H&amp;Y, Hoehn and Yahr; PD, Parkinson’s disease; PPMI, Parkinson's Progression Markers Initiative.</w:t>
      </w:r>
    </w:p>
    <w:p w14:paraId="41C085D1" w14:textId="77777777" w:rsidR="00DE7B97" w:rsidRPr="00DE7B97" w:rsidRDefault="00DE7B97" w:rsidP="00DE7B97">
      <w:pPr>
        <w:spacing w:after="0" w:line="480" w:lineRule="auto"/>
        <w:jc w:val="center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Calibri" w:eastAsia="Calibri" w:hAnsi="Calibri" w:cs="Calibri"/>
          <w:noProof/>
          <w:kern w:val="0"/>
          <w:lang w:val="en-US"/>
          <w14:ligatures w14:val="none"/>
        </w:rPr>
        <w:drawing>
          <wp:inline distT="0" distB="0" distL="0" distR="0" wp14:anchorId="5B8712DE" wp14:editId="67EBB61F">
            <wp:extent cx="4740729" cy="4210050"/>
            <wp:effectExtent l="0" t="0" r="3175" b="0"/>
            <wp:docPr id="480496666" name="Picture 1" descr="A flowchart of a pati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496666" name="Picture 1" descr="A flowchart of a patien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44984" cy="4213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A689D" w14:textId="77777777" w:rsidR="00DE7B97" w:rsidRPr="00DE7B97" w:rsidRDefault="00DE7B97" w:rsidP="00DE7B97">
      <w:pPr>
        <w:rPr>
          <w:rFonts w:ascii="Arial" w:eastAsia="Arial" w:hAnsi="Arial" w:cs="Arial"/>
          <w:b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br w:type="page"/>
      </w:r>
    </w:p>
    <w:p w14:paraId="02EBFFAB" w14:textId="77777777" w:rsidR="00DE7B97" w:rsidRPr="00DE7B97" w:rsidRDefault="00DE7B97" w:rsidP="00DE7B97">
      <w:pPr>
        <w:spacing w:after="0" w:line="360" w:lineRule="auto"/>
        <w:rPr>
          <w:rFonts w:ascii="Arial" w:eastAsia="Arial" w:hAnsi="Arial" w:cs="Arial"/>
          <w:b/>
          <w:kern w:val="0"/>
          <w:lang w:val="en-US" w:eastAsia="en-GB"/>
          <w14:ligatures w14:val="none"/>
        </w:rPr>
        <w:sectPr w:rsidR="00DE7B97" w:rsidRPr="00DE7B97" w:rsidSect="00DE7B97">
          <w:pgSz w:w="11906" w:h="16838"/>
          <w:pgMar w:top="1440" w:right="1440" w:bottom="1440" w:left="1440" w:header="709" w:footer="709" w:gutter="0"/>
          <w:cols w:space="720"/>
        </w:sectPr>
      </w:pPr>
    </w:p>
    <w:p w14:paraId="6AFA6475" w14:textId="77777777" w:rsidR="00DD03F9" w:rsidRDefault="00DD03F9" w:rsidP="00DD03F9">
      <w:pPr>
        <w:spacing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lastRenderedPageBreak/>
        <w:t>Supplementary Figure S5. Evaluation of the PPMI-based disease progression models</w:t>
      </w:r>
      <w:r>
        <w:rPr>
          <w:rFonts w:ascii="Arial" w:eastAsia="Arial" w:hAnsi="Arial" w:cs="Arial"/>
          <w:b/>
          <w:kern w:val="0"/>
          <w:lang w:val="en-US" w:eastAsia="en-GB"/>
          <w14:ligatures w14:val="none"/>
        </w:rPr>
        <w:t xml:space="preserve"> </w:t>
      </w:r>
      <w:r w:rsidRPr="00BA5666">
        <w:rPr>
          <w:rFonts w:ascii="Arial" w:eastAsia="Arial" w:hAnsi="Arial" w:cs="Arial"/>
          <w:b/>
          <w:kern w:val="0"/>
          <w:lang w:val="en-US" w:eastAsia="en-GB"/>
          <w14:ligatures w14:val="none"/>
        </w:rPr>
        <w:t>with PASADENA data from the placebo group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 xml:space="preserve"> for (A)</w:t>
      </w:r>
      <w:r w:rsidRPr="00DE7B97">
        <w:rPr>
          <w:rFonts w:ascii="Calibri" w:eastAsia="Calibri" w:hAnsi="Calibri" w:cs="Calibri"/>
          <w:b/>
          <w:kern w:val="0"/>
          <w:lang w:val="en-US" w:eastAsia="en-GB"/>
          <w14:ligatures w14:val="none"/>
        </w:rPr>
        <w:t xml:space="preserve"> 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MDS-UPDRS Part III OFF; (B) MDS-UPDRS Part III ON and (C) MDS-UPDRS Part II</w:t>
      </w:r>
      <w:r>
        <w:rPr>
          <w:rFonts w:ascii="Arial" w:eastAsia="Arial" w:hAnsi="Arial" w:cs="Arial"/>
          <w:b/>
          <w:kern w:val="0"/>
          <w:lang w:val="en-US" w:eastAsia="en-GB"/>
          <w14:ligatures w14:val="none"/>
        </w:rPr>
        <w:t>; and c</w:t>
      </w:r>
      <w:r w:rsidRPr="00301EA6">
        <w:rPr>
          <w:rFonts w:ascii="Arial" w:eastAsia="Arial" w:hAnsi="Arial" w:cs="Arial"/>
          <w:b/>
          <w:kern w:val="0"/>
          <w:lang w:val="en-US" w:eastAsia="en-GB"/>
          <w14:ligatures w14:val="none"/>
        </w:rPr>
        <w:t>omparison of PPMI-based disease model prediction and PASADENA data when merging the two treatment groups (early- and delayed-start)</w:t>
      </w:r>
      <w:r>
        <w:rPr>
          <w:rFonts w:ascii="Arial" w:eastAsia="Arial" w:hAnsi="Arial" w:cs="Arial"/>
          <w:b/>
          <w:kern w:val="0"/>
          <w:lang w:val="en-US" w:eastAsia="en-GB"/>
          <w14:ligatures w14:val="none"/>
        </w:rPr>
        <w:t xml:space="preserve"> for</w:t>
      </w:r>
      <w:r w:rsidRPr="00301EA6">
        <w:rPr>
          <w:rFonts w:ascii="Arial" w:eastAsia="Arial" w:hAnsi="Arial" w:cs="Arial"/>
          <w:b/>
          <w:kern w:val="0"/>
          <w:lang w:val="en-US" w:eastAsia="en-GB"/>
          <w14:ligatures w14:val="none"/>
        </w:rPr>
        <w:t xml:space="preserve"> (D) MDS-UPDRS Part III OFF and OLE; (E) MDS-UPDRS Part III ON and OLE, and (F) MDS-UPDRS Part II and OLE. 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Over that year, 46% and 48% of the PASADENA data fall within the predicted PPMI median for MDS-UPDRS Part III OFF and Part II, respectively. For MDS-UPDRS Part III ON, 42% of the PASADENA data fall within the PPMI median, which was considered too low to keep the model for further comparison. Note that the figures for MDS-UPDRS Part III ON are only shown for transparency and to illustrate the challenges of successfully reproducing placebo data. MDS-UPDRS, Movement Disorder Society-sponsored revision of the Unified Parkinson's Disease Rating Scale; OLE, open-label extension; PPMI, Parkinson's Progression Markers Initiative.</w:t>
      </w:r>
    </w:p>
    <w:p w14:paraId="6F4684E2" w14:textId="77777777" w:rsidR="00DE7B97" w:rsidRPr="00DE7B97" w:rsidRDefault="00DE7B97" w:rsidP="00DE7B97">
      <w:pPr>
        <w:spacing w:after="0" w:line="36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Calibri" w:eastAsia="Calibri" w:hAnsi="Calibri" w:cs="Calibri"/>
          <w:noProof/>
          <w:kern w:val="0"/>
          <w:lang w:val="en-US" w:eastAsia="en-GB"/>
          <w14:ligatures w14:val="none"/>
        </w:rPr>
        <w:lastRenderedPageBreak/>
        <w:drawing>
          <wp:inline distT="0" distB="0" distL="0" distR="0" wp14:anchorId="58B6BD8B" wp14:editId="7592681E">
            <wp:extent cx="9171480" cy="4619625"/>
            <wp:effectExtent l="0" t="0" r="0" b="0"/>
            <wp:docPr id="918003161" name="Picture 1" descr="A group of graphs showing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003161" name="Picture 1" descr="A group of graphs showing different types of data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74714" cy="4621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4CF74" w14:textId="77777777" w:rsidR="00DE7B97" w:rsidRPr="00DE7B97" w:rsidRDefault="00DE7B97" w:rsidP="00DE7B97">
      <w:pPr>
        <w:rPr>
          <w:rFonts w:ascii="Arial" w:eastAsia="Arial" w:hAnsi="Arial" w:cs="Arial"/>
          <w:kern w:val="0"/>
          <w:lang w:val="en-US" w:eastAsia="en-GB"/>
          <w14:ligatures w14:val="none"/>
        </w:rPr>
        <w:sectPr w:rsidR="00DE7B97" w:rsidRPr="00DE7B97" w:rsidSect="00DE7B97">
          <w:pgSz w:w="16838" w:h="11906" w:orient="landscape"/>
          <w:pgMar w:top="1440" w:right="1440" w:bottom="1440" w:left="1440" w:header="709" w:footer="709" w:gutter="0"/>
          <w:cols w:space="720"/>
        </w:sectPr>
      </w:pP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br w:type="page"/>
      </w:r>
    </w:p>
    <w:p w14:paraId="597790FF" w14:textId="77777777" w:rsidR="00DE7B97" w:rsidRPr="00DE7B97" w:rsidRDefault="00DE7B97" w:rsidP="00DE7B97">
      <w:pPr>
        <w:spacing w:line="480" w:lineRule="auto"/>
        <w:rPr>
          <w:rFonts w:ascii="Arial" w:eastAsia="Arial" w:hAnsi="Arial" w:cs="Arial"/>
          <w:kern w:val="0"/>
          <w:lang w:val="en-US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lastRenderedPageBreak/>
        <w:t xml:space="preserve">Supplementary Figure S6. Adjusted mean change from baseline in MDR-UPDRS Part III motor </w:t>
      </w:r>
      <w:proofErr w:type="spellStart"/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>subscores</w:t>
      </w:r>
      <w:proofErr w:type="spellEnd"/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 xml:space="preserve"> (all in OFF state), and in combination with Part II for tremor and non-tremor. 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MDS-UPDRS,</w:t>
      </w:r>
      <w:r w:rsidRPr="00DE7B97">
        <w:rPr>
          <w:rFonts w:ascii="Arial" w:eastAsia="Arial" w:hAnsi="Arial" w:cs="Arial"/>
          <w:b/>
          <w:kern w:val="0"/>
          <w:lang w:val="en-US" w:eastAsia="en-GB"/>
          <w14:ligatures w14:val="none"/>
        </w:rPr>
        <w:t xml:space="preserve"> </w:t>
      </w:r>
      <w:r w:rsidRPr="00DE7B97">
        <w:rPr>
          <w:rFonts w:ascii="Arial" w:eastAsia="Arial" w:hAnsi="Arial" w:cs="Arial"/>
          <w:kern w:val="0"/>
          <w:lang w:val="en-US" w:eastAsia="en-GB"/>
          <w14:ligatures w14:val="none"/>
        </w:rPr>
        <w:t>Movement Disorder Society-sponsored revision of the Unified Parkinson's Disease Rating Scale; PPMI, Parkinson's Progression Markers Initiative.</w:t>
      </w:r>
    </w:p>
    <w:p w14:paraId="5B026A37" w14:textId="77777777" w:rsidR="00DE7B97" w:rsidRPr="00DE7B97" w:rsidRDefault="00DE7B97" w:rsidP="00DE7B97">
      <w:pPr>
        <w:spacing w:line="480" w:lineRule="auto"/>
        <w:rPr>
          <w:rFonts w:ascii="Arial" w:eastAsia="Arial" w:hAnsi="Arial" w:cs="Arial"/>
          <w:b/>
          <w:bCs/>
          <w:kern w:val="0"/>
          <w:lang w:val="en-US" w:eastAsia="en-GB"/>
          <w14:ligatures w14:val="none"/>
        </w:rPr>
      </w:pPr>
      <w:r w:rsidRPr="00DE7B97">
        <w:rPr>
          <w:rFonts w:ascii="Calibri" w:eastAsia="Calibri" w:hAnsi="Calibri" w:cs="Calibri"/>
          <w:noProof/>
          <w:kern w:val="0"/>
          <w:lang w:val="en-US"/>
          <w14:ligatures w14:val="none"/>
        </w:rPr>
        <w:drawing>
          <wp:inline distT="0" distB="0" distL="0" distR="0" wp14:anchorId="0CB132F3" wp14:editId="04FC450F">
            <wp:extent cx="5983105" cy="6561865"/>
            <wp:effectExtent l="0" t="0" r="0" b="0"/>
            <wp:docPr id="1460075851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019197" name="Picture 1" descr="A screenshot of a graph&#10;&#10;Description automatically generated"/>
                    <pic:cNvPicPr/>
                  </pic:nvPicPr>
                  <pic:blipFill rotWithShape="1">
                    <a:blip r:embed="rId9"/>
                    <a:srcRect t="-1" b="24804"/>
                    <a:stretch/>
                  </pic:blipFill>
                  <pic:spPr bwMode="auto">
                    <a:xfrm>
                      <a:off x="0" y="0"/>
                      <a:ext cx="5998495" cy="65787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B1A92F" w14:textId="77777777" w:rsidR="00DE7B97" w:rsidRPr="00DE7B97" w:rsidRDefault="00DE7B97" w:rsidP="00DE7B97">
      <w:pPr>
        <w:rPr>
          <w:rFonts w:ascii="Arial" w:eastAsia="Arial" w:hAnsi="Arial" w:cs="Arial"/>
          <w:iCs/>
          <w:kern w:val="0"/>
          <w:lang w:val="en-US" w:eastAsia="en-GB"/>
          <w14:ligatures w14:val="none"/>
        </w:rPr>
      </w:pPr>
      <w:r w:rsidRPr="00DE7B97">
        <w:rPr>
          <w:rFonts w:ascii="Calibri" w:eastAsia="Calibri" w:hAnsi="Calibri" w:cs="Calibri"/>
          <w:noProof/>
          <w:kern w:val="0"/>
          <w:lang w:val="en-US"/>
          <w14:ligatures w14:val="none"/>
        </w:rPr>
        <w:lastRenderedPageBreak/>
        <w:drawing>
          <wp:inline distT="0" distB="0" distL="0" distR="0" wp14:anchorId="5CF20D70" wp14:editId="4CFA7C58">
            <wp:extent cx="5871210" cy="2190663"/>
            <wp:effectExtent l="0" t="0" r="0" b="635"/>
            <wp:docPr id="1678019197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019197" name="Picture 1" descr="A screenshot of a graph&#10;&#10;Description automatically generated"/>
                    <pic:cNvPicPr/>
                  </pic:nvPicPr>
                  <pic:blipFill rotWithShape="1">
                    <a:blip r:embed="rId9"/>
                    <a:srcRect t="74417"/>
                    <a:stretch/>
                  </pic:blipFill>
                  <pic:spPr bwMode="auto">
                    <a:xfrm>
                      <a:off x="0" y="0"/>
                      <a:ext cx="5875562" cy="21922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2A68B5" w14:textId="3EE17425" w:rsidR="00DE7B97" w:rsidRDefault="00DE7B97">
      <w:r>
        <w:br w:type="page"/>
      </w:r>
    </w:p>
    <w:p w14:paraId="78C1E7B9" w14:textId="77777777" w:rsidR="00DE7B97" w:rsidRPr="00DE7B97" w:rsidRDefault="00DE7B97" w:rsidP="00DE7B97">
      <w:pPr>
        <w:spacing w:after="240" w:line="480" w:lineRule="auto"/>
        <w:outlineLvl w:val="0"/>
        <w:rPr>
          <w:rFonts w:ascii="Arial" w:eastAsia="Arial" w:hAnsi="Arial" w:cs="Arial"/>
          <w:b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b/>
          <w:kern w:val="0"/>
          <w:lang w:val="en" w:eastAsia="en-GB"/>
          <w14:ligatures w14:val="none"/>
        </w:rPr>
        <w:lastRenderedPageBreak/>
        <w:t>A full list of the members of the PASADENA Investigators and Prasinezumab Study Group</w:t>
      </w:r>
    </w:p>
    <w:p w14:paraId="41E39C78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/>
          <w:bCs/>
          <w:i/>
          <w:iCs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b/>
          <w:bCs/>
          <w:i/>
          <w:iCs/>
          <w:kern w:val="0"/>
          <w:lang w:val="en" w:eastAsia="en-GB"/>
          <w14:ligatures w14:val="none"/>
        </w:rPr>
        <w:t>PASADENA Investigators</w:t>
      </w:r>
    </w:p>
    <w:p w14:paraId="53F66F99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Claudia Altendorf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Chareyna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Anandan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Giulia Andrews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Solène Ansquer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Raphaele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Arrouasse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Sana Aslam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Jean-Philippe Azula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Jeanette Baker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Ernest Balaguer Martinez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Shadi Barbu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Kara Bardram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Danny Bega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Helena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Bejr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-Kasem Marco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Isabelle Benatru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Eve Benchetrit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Felix Bernhard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Amit Besharat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Sagari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Bette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Amelie Bichon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Andrew Billnitzer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Sophie Blondeau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Thomas Boraud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Freiderike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Borngräber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James Boyd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Kathrin Brockmann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Matthew Brodsky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Ethan Brown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Christof Bruecke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Fabienne Calvas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Monica Canelo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Federico Carbone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Claire Carroll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Laura Casado Fernandez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Catherine Casse-Parrot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Anna Castrioto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Helene Catala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Justine Chan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Samia Cheriet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Anthony Ciabarra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Joseph Classen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Juliana Coleman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Robert Coleman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Yaroslau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Compta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Jean-Christophe Corvol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Mariana Cosgaya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Nabila Dahodwala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Philippe Damier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Elodie David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Thomas Davis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Marissa Dean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Berengere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Debilly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Janell DeGiorgio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Andres Deik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Laure Delaby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Marie-Helene Delfini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Pascal Derkinderen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Philipp Derost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Maria de Toledo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Lisa Deuel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Ann Marie DiazHernandez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Cameron Dietiker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Karina Dimenshteyn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Julio Dotor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Franck Durif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Jens Ebentheuer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Karla Maria Eggert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Sara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Eichau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Madueño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Claudia Eickoff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Aaron Ellenbogen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Philipp Ellmerer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Ines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Esparragosa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Vazquez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Alexandre Eusebio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Siobhan Ewert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John Fang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Danielle Feigenbaum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Frederique Fluchere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Alexandra Foubert-Samier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Marie Fournier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Anne Fradet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Valerie Fraix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Samuel Frank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Franka Fries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Monique Gailitzky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Anne Gaille Corbille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Marisol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Gallardó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Pérez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Jose Manuel Garcia Morena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Carmen Gasca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Thomas Gasser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Joyce Gibbons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Caroline Giordana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Alicia Gonzalez Martinez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Ira Goodman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Arantza Gorospe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Marie Goubeaud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David Grabli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Mangone Graziella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Stephan Grimaldi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Jeffrey Gross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Raquel Guimaraes-Costa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Andreas Hartmann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Christian Hartmann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Travis Hassell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Robert Hauser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Antonio Hernandez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Jorge Hernandez-Vara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Günter Höglinger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Christian Homedes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Andrea 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lastRenderedPageBreak/>
        <w:t>Horta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Jean-Luc Houeto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Julius Huebl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Jennifer Hui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Stuart Isaacson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Joseph Jankovic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Annette Janzen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Jocelyne Jiao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Maria Jose Marti Domenech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Xavier Joseph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Srinath Kadimi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Pat Kaminski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Silja Kannenberg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R. Jan Kassubek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Maya Katz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Kevin Klos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Shannon Klos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Christopher Kobet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Jennifer Koebert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Patricia Krause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Andrea Kuhn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Jaime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Kulisevsky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Bojarsky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Rajeev Kumar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Martin Kunz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Lille Kurvits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Kimberly Kwei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Simon Laganiere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Brice Laurens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Johannes Levin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Oren Levy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Peter Le Witt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Gurutz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Linazasoro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Cristobal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Irene Litvan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Karlo Lizarraga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Katherine Longardner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Rocio Lopez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Lydia Lopez Manzanares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Sara Lucas del Pozo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Maria Rosario Luquin Puido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Nijee Luthra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Kelly Lyons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Sylvia Maass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Gerrit Machetanz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Yolanda Macias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David Maltete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Jorge Uriel Manez Miro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Louis-Laure Mariani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Juan Marin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Kathrin Marini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Ana Marques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Gloria Marti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Saul Martinez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Wassilios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Meissner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Sara Meoni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Brit Mollenhauer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Dunia Mon Martinez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Johnson Moon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Elena Moro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Peter Morrison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Christoph Muehlberg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Manpreet Multani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Christine Murphy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Anthony Nicholas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Rajesh Pahwa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Antonio Palasis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Heidi Pape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Neepa Patel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Prity Patel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Marina Peball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Elizabeth Peckham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Terry Peery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Jesus Perez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Rafael Perez Alisa Petit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Elmar Pinkhardt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Werner Poewe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Elsa Pomies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Cecile Preterre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Joseph Quinn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Olivier Rascol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Philippe Remy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Emily Reuther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Irene Richard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Benjamin Roeben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Jost-Julian Rumpf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David Russell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Hayet Salhi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Daniela Samaniego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Alexandra Samier-Foubert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bookmarkStart w:id="1" w:name="_Hlk161237505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Alvaro Sanchez-Ferro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43</w:t>
      </w:r>
      <w:bookmarkEnd w:id="1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Emmanuelle Schmitt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Alfons Schnitzler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Oliver Schorr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Julie Schwartzbard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60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Kerstin Schweyer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Klaus Seppi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Victoria Sergo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Holly Shill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Andrew Siderowf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Tanya Simuni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Umberto Spampinato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Ashok Sriram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Natividad Stover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Caroline Tanner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19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Arjun Tarakad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Carolyn Taylor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Claire Thalamus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20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Thomas Toothaker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Nadege Van Blercom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Nora Vanegas-Arrogave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Lydia Vela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Sylvian Vergnet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Tiphaine Vidal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Jonathan Vöglein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48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Ryan Walsh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3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Cheryl Waters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54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Mirko Wegschneider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Endy Weidinger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Caroline Weill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Gregor Wenzel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Tatiana Witjas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6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Isabel Wurster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Brenton Wright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55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Milan Zimmermann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17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, Rafael Zuzuarregui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19</w:t>
      </w:r>
    </w:p>
    <w:p w14:paraId="30242FC7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</w:p>
    <w:p w14:paraId="7749AE0C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lastRenderedPageBreak/>
        <w:t xml:space="preserve">1. Berlin Medical University, Neurology Clinic, Campus Charité Mitte, Berlin,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Germany;</w:t>
      </w:r>
      <w:proofErr w:type="gramEnd"/>
    </w:p>
    <w:p w14:paraId="60A6EA82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2. Baylor College of Medicine, Houston, TX,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7E7F69A5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3. Barrow Neurological Institute, Phoenix, AZ,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7904D8C6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4. Poitiers University Hospital, Poitiers,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49FD0B4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5. Henri-Mondor University Hospital,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Créteil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0BA5A90A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6. Marseille University Hospital Timone, Marseille,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6D5291BD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7. University of Vermont, Larner College of Medicine, Burlington, VT,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13ADE6D7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8. General University Hospital of Catalonia, Barcelona,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117D7E3B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9. Quest Research Institute, Farmington Hills, MI,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166052C9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10. Northwestern University, Evanston, IL,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0854A916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11.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Policlinica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Gipuzkoa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Servicio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De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Neurologia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Gipuzkoa,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32E77015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12. Philipps University of Marburg, Neurology Clinic, Marburg,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Germany;</w:t>
      </w:r>
      <w:proofErr w:type="gramEnd"/>
    </w:p>
    <w:p w14:paraId="73C3AD38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13. University of Southern California, Keck Medical Center, Los Angeles, CA,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34D92425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14. Parkinson's Disease and Movement Disorders Center of Boca Raton, Boca Raton, FL,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094C8160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15. Grenoble Alpes University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Michallon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Hospital, La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Tronche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570C02DC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16. Hospital Pellegrin Bordeaux, Bordeaux,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02D69A9A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17. Tubingen University Hospital, Tubingen,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Germany;</w:t>
      </w:r>
      <w:proofErr w:type="gramEnd"/>
    </w:p>
    <w:p w14:paraId="7DF5AFE7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18. Oregon Health &amp; Science University, Portland, OR,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556A2655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19. University of California, San Francisco, CA,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644D6D8F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20. Toulouse University, Clinical Research Center,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Purpan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Hospital, Toulouse,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0970E942" w14:textId="77777777" w:rsidR="00DE7B97" w:rsidRPr="00DE7B97" w:rsidRDefault="00DE7B97" w:rsidP="00DE7B97">
      <w:pPr>
        <w:spacing w:after="0" w:line="480" w:lineRule="auto"/>
        <w:ind w:left="426" w:hanging="426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21.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Goettingen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University Medical Center, Paracelsus Elena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Klinik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Kassel,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Goettingen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Germany;</w:t>
      </w:r>
      <w:proofErr w:type="gramEnd"/>
    </w:p>
    <w:p w14:paraId="4BB1487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22. Medical University of Innsbruck, Neuroradiology Clinic, Innsbruck,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Austria;</w:t>
      </w:r>
      <w:proofErr w:type="gramEnd"/>
    </w:p>
    <w:p w14:paraId="6B34EB1E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23. Compass Research LLC, Orlando, FL,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682CD675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24. De La Princessa University Hospital, Madrid,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1B2C2A63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25. Neurology Center of North Orange County, Fullerton, CA,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0862D05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26. Leipzig University, Neurology Clinic and Polyclinic, Leipzig,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Germany;</w:t>
      </w:r>
      <w:proofErr w:type="gramEnd"/>
    </w:p>
    <w:p w14:paraId="51DE575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lastRenderedPageBreak/>
        <w:t xml:space="preserve">27. Spectrum Health Medical Group,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59C8987D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pl-PL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pl-PL" w:eastAsia="en-GB"/>
          <w14:ligatures w14:val="none"/>
        </w:rPr>
        <w:t>28. Hospital Clinic Barcelona, Barcelona, Spain;</w:t>
      </w:r>
    </w:p>
    <w:p w14:paraId="7F8ED9FC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29. Sorbonne University,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Pitié-Salpêtrière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University Hospital, Paris,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264D8BF0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30. University of Pennsylvania, Philadelphia, PA,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07FE458A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31. Nantes University, North Laennec University Hospital, Saint-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Herblain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40BE8052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32. Nice University, Hospital Pasteur, Nice,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674DA4AD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33. Vanderbilt University Medical Center, Nashville, TN,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28B3675A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34. University of Alabama, UAB Medicine, Birmingham, AL,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0590ADC2" w14:textId="77777777" w:rsidR="00DE7B97" w:rsidRPr="00DE7B97" w:rsidRDefault="00DE7B97" w:rsidP="00DE7B97">
      <w:pPr>
        <w:spacing w:after="0" w:line="480" w:lineRule="auto"/>
        <w:ind w:left="426" w:hanging="426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35. Clermont-Ferrand University Hospital Center, Site Gabriel-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Montpied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Clermont-Ferrand,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1A669896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36. Rocky Mountain Movement Disorders Center, Englewood, CO,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6CF8734E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37. Heinrich Heine University Düsseldorf, University Hospital Düsseldorf,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Germany;</w:t>
      </w:r>
      <w:proofErr w:type="gramEnd"/>
    </w:p>
    <w:p w14:paraId="126C55C0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38. Philips University of Marburg, Marburg,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Germany;</w:t>
      </w:r>
      <w:proofErr w:type="gramEnd"/>
    </w:p>
    <w:p w14:paraId="6122552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39. University of Sevilla, Virgin Macarena University Hospital, Sevilla,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7D28BD88" w14:textId="77777777" w:rsidR="00DE7B97" w:rsidRPr="00DE7B97" w:rsidRDefault="00DE7B97" w:rsidP="00DE7B97">
      <w:pPr>
        <w:spacing w:after="0" w:line="480" w:lineRule="auto"/>
        <w:ind w:left="426" w:hanging="426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40. University of Navarra, Navarra University Hospital, Department of Neurology, Navarre,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1EFC15DA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41. Beth Israel Deaconess Medical Center, Boston, MA,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47DF0105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42. University of Barcelona, The Provincial Clinic Hospital, Barcelona,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5136F8D4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43. University of Madrid, The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Alcorcón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Foundation University Hospital, Madrid,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44F4B8F4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44.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Invicro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, New Haven, CT,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7B683D9B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45. Associated Neurologists of Southern Connecticut, P.C., Milford, CT,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691062C2" w14:textId="77777777" w:rsidR="00DE7B97" w:rsidRPr="00DE7B97" w:rsidRDefault="00DE7B97" w:rsidP="00DE7B97">
      <w:pPr>
        <w:spacing w:after="0" w:line="480" w:lineRule="auto"/>
        <w:ind w:left="426" w:hanging="426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46. University of South Florida, Parkinson’s Disease and Movement Disorders, Tampa, FL,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34A9ABA2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47. Vall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d'Hebron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Barcelona University Hospital, Department of Neurology, Barcelona,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6C2A22B1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48. Technical University of Munich, The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Rechts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der Isar Hospital, Munich,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Germany;</w:t>
      </w:r>
      <w:proofErr w:type="gramEnd"/>
    </w:p>
    <w:p w14:paraId="2781CD06" w14:textId="77777777" w:rsidR="00DE7B97" w:rsidRPr="00DE7B97" w:rsidRDefault="00DE7B97" w:rsidP="00DE7B97">
      <w:pPr>
        <w:spacing w:after="0" w:line="480" w:lineRule="auto"/>
        <w:ind w:left="426" w:hanging="426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49. Neurosciences Clinic Institute of the Barcelona Hospital Clinic, Parkinson Disease and Movement Disorders Unit, Barcelona,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39A3283C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lastRenderedPageBreak/>
        <w:t xml:space="preserve">50. Henry Ford Health System. Clarkston, MI,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434B6375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51. University of Ulm, Ulm University Hospital, Clinic for Neurology, Ulm,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Germany;</w:t>
      </w:r>
      <w:proofErr w:type="gramEnd"/>
    </w:p>
    <w:p w14:paraId="3E335B4B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52. The Movement Disorder Clinic of Oklahoma, Tulsa, OK,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53421347" w14:textId="77777777" w:rsidR="00DE7B97" w:rsidRPr="00DE7B97" w:rsidRDefault="00DE7B97" w:rsidP="00DE7B97">
      <w:pPr>
        <w:spacing w:after="0" w:line="480" w:lineRule="auto"/>
        <w:ind w:left="426" w:hanging="426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53. Autonomous University of Barcelona, Hospital de la Santa Creu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i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Sant Pau, Autoimmune Neurology Unit – Neurology Service, Barcelona,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Spain;</w:t>
      </w:r>
      <w:proofErr w:type="gramEnd"/>
    </w:p>
    <w:p w14:paraId="28EA6C20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54. Columbia University, New York, CU,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4442DF97" w14:textId="77777777" w:rsidR="00DE7B97" w:rsidRPr="00DE7B97" w:rsidRDefault="00DE7B97" w:rsidP="00DE7B97">
      <w:pPr>
        <w:spacing w:after="0" w:line="480" w:lineRule="auto"/>
        <w:ind w:left="426" w:hanging="426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55. University of California San Diego Altman Clinical and Translational Research Institute, La Jolla, CA,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54888722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56. University of Rochester Medical Center, Rochester, NY,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14B5170B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57. University of Kansas Medical Center, Kansas City, KS,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0241C5DC" w14:textId="77777777" w:rsidR="00DE7B97" w:rsidRPr="00DE7B97" w:rsidRDefault="00DE7B97" w:rsidP="00DE7B97">
      <w:pPr>
        <w:spacing w:after="0" w:line="480" w:lineRule="auto"/>
        <w:ind w:left="426" w:hanging="426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58. University of Rouen Normandy Hospital, Charles Nicolle Parkinson’s Disease Center, Rouen,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France;</w:t>
      </w:r>
      <w:proofErr w:type="gramEnd"/>
    </w:p>
    <w:p w14:paraId="305039A0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59. Central Texas Neurology Consultants, Round Rock, TX,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10BF8B84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60. Aventura Neurologic Associates, Aventura, FL, </w:t>
      </w:r>
      <w:proofErr w:type="gram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USA;</w:t>
      </w:r>
      <w:proofErr w:type="gramEnd"/>
    </w:p>
    <w:p w14:paraId="1F581003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</w:p>
    <w:p w14:paraId="106AFA64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b/>
          <w:bCs/>
          <w:i/>
          <w:iCs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b/>
          <w:bCs/>
          <w:i/>
          <w:iCs/>
          <w:kern w:val="0"/>
          <w:lang w:val="en" w:eastAsia="en-GB"/>
          <w14:ligatures w14:val="none"/>
        </w:rPr>
        <w:t>Prasinezumab Study Group</w:t>
      </w:r>
    </w:p>
    <w:p w14:paraId="731483C0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Markus Abt,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Atieh Bamdadian,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Teresa Barata,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Nicholas Barbet,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Sara Belli,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Frank Boess,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Azad Bonni,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Edilio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Borroni,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Anne Boulay,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Markus Britschgi,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Valerie Cosson,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Christian Czech,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Evan Davies,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Dennis Deptula,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Cheikh Diack,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Rachelle Doody,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 xml:space="preserve">1 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Juergen Dukart,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Giulia D’Urso,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Sebastian Dziadek,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Chris Edgar,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Laurent Essioux,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Morgan Farell,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Rebecca Finch,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Paulo Fontoura,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Waltraud Gruenbauer,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Andrea Hahn,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Stefan Holiga,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Michael Honer,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Shirin Jadidi,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Timothy Kilchenmann,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Thomas Kremer,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Thomas Kustermann,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Claire Landsdall,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Michael Lindemann,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Florian Lipsmeier,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Cecile Luzy,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Marianne Manchester,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Maddalena Marchesi,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Ferenc Martenyi,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 xml:space="preserve">2 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Meret Martin-Facklam,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Katerina Mironova,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Emma Moore,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Annabelle Monnet,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Markus Niggli,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Tania Nikolcheva,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 xml:space="preserve">2 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Susanne Ostrowitzki,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Gennaro Pagano,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Benedicte Passemard,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Agnes Poirier,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Anke Post,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Megana Prasad,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Nathalie Pross,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Benedicte Ricci,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Ellen Rose,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2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Daria Rukina,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Christoph Sarry,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Marzia A. Scelsi,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Christine Schubert,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Jeff Sevigny,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Kaycee Sink,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Nima 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lastRenderedPageBreak/>
        <w:t>Shariati,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Alexander Strasak,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Hannah Staunton,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Hanno Svoboda,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Kirsten I. Taylor,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Dylan Trundell,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Daniel Umbricht,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Lynne Verselis,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Annamarie Vogt,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Ekaterina Volkova-Volkmar,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Cornelia Weber,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Silke Weber,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Stefano Zanigni</w:t>
      </w:r>
      <w:r w:rsidRPr="00DE7B97">
        <w:rPr>
          <w:rFonts w:ascii="Arial" w:eastAsia="Arial" w:hAnsi="Arial" w:cs="Arial"/>
          <w:kern w:val="0"/>
          <w:vertAlign w:val="superscript"/>
          <w:lang w:val="en" w:eastAsia="en-GB"/>
          <w14:ligatures w14:val="none"/>
        </w:rPr>
        <w:t>1</w:t>
      </w:r>
    </w:p>
    <w:p w14:paraId="750F4A24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</w:p>
    <w:p w14:paraId="669C4EC5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de-CH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1.</w:t>
      </w:r>
      <w:r w:rsidRPr="00DE7B97">
        <w:rPr>
          <w:rFonts w:ascii="Arial" w:eastAsia="Arial" w:hAnsi="Arial" w:cs="Arial"/>
          <w:kern w:val="0"/>
          <w:lang w:val="de-CH" w:eastAsia="en-GB"/>
          <w14:ligatures w14:val="none"/>
        </w:rPr>
        <w:t xml:space="preserve"> F. Hoffmann-La Roche Ltd, Basel, </w:t>
      </w:r>
      <w:proofErr w:type="gramStart"/>
      <w:r w:rsidRPr="00DE7B97">
        <w:rPr>
          <w:rFonts w:ascii="Arial" w:eastAsia="Arial" w:hAnsi="Arial" w:cs="Arial"/>
          <w:kern w:val="0"/>
          <w:lang w:val="de-CH" w:eastAsia="en-GB"/>
          <w14:ligatures w14:val="none"/>
        </w:rPr>
        <w:t>Switzerland;</w:t>
      </w:r>
      <w:proofErr w:type="gramEnd"/>
    </w:p>
    <w:p w14:paraId="1586D9F9" w14:textId="77777777" w:rsidR="00DE7B97" w:rsidRPr="00DE7B97" w:rsidRDefault="00DE7B97" w:rsidP="00DE7B97">
      <w:pPr>
        <w:spacing w:after="0" w:line="480" w:lineRule="auto"/>
        <w:rPr>
          <w:rFonts w:ascii="Arial" w:eastAsia="Arial" w:hAnsi="Arial" w:cs="Arial"/>
          <w:kern w:val="0"/>
          <w:lang w:val="en" w:eastAsia="en-GB"/>
          <w14:ligatures w14:val="none"/>
        </w:rPr>
      </w:pPr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2. </w:t>
      </w:r>
      <w:proofErr w:type="spellStart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>Prothena</w:t>
      </w:r>
      <w:proofErr w:type="spellEnd"/>
      <w:r w:rsidRPr="00DE7B97">
        <w:rPr>
          <w:rFonts w:ascii="Arial" w:eastAsia="Arial" w:hAnsi="Arial" w:cs="Arial"/>
          <w:kern w:val="0"/>
          <w:lang w:val="en" w:eastAsia="en-GB"/>
          <w14:ligatures w14:val="none"/>
        </w:rPr>
        <w:t xml:space="preserve"> Corporation plc, Dublin, Ireland</w:t>
      </w:r>
    </w:p>
    <w:p w14:paraId="6A318263" w14:textId="77777777" w:rsidR="00990B00" w:rsidRDefault="00990B00"/>
    <w:sectPr w:rsidR="00990B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B97"/>
    <w:rsid w:val="00985DF5"/>
    <w:rsid w:val="00990B00"/>
    <w:rsid w:val="00B65C08"/>
    <w:rsid w:val="00D4226E"/>
    <w:rsid w:val="00DD03F9"/>
    <w:rsid w:val="00DE7B97"/>
    <w:rsid w:val="00E85E2F"/>
    <w:rsid w:val="00EC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A7449"/>
  <w15:chartTrackingRefBased/>
  <w15:docId w15:val="{0C3F8476-467A-4848-AB60-D51B3FA4B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7B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B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B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B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B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B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B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B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B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qFormat/>
    <w:rsid w:val="00EC0831"/>
    <w:pPr>
      <w:widowControl w:val="0"/>
      <w:spacing w:after="0" w:line="360" w:lineRule="auto"/>
    </w:pPr>
    <w:rPr>
      <w:rFonts w:ascii="Arial" w:eastAsia="Yu Mincho" w:hAnsi="Arial" w:cs="Calibri"/>
      <w:noProof/>
      <w:sz w:val="20"/>
      <w:szCs w:val="20"/>
      <w:u w:val="single"/>
      <w:lang w:val="en-US" w:eastAsia="ja-JP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EC0831"/>
    <w:rPr>
      <w:rFonts w:ascii="Arial" w:eastAsia="Yu Mincho" w:hAnsi="Arial" w:cs="Calibri"/>
      <w:noProof/>
      <w:sz w:val="20"/>
      <w:szCs w:val="20"/>
      <w:u w:val="single"/>
      <w:lang w:val="en-US" w:eastAsia="ja-JP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DE7B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B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B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B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B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B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B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B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B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B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7B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B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7B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B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B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B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B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B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B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B97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DE7B97"/>
    <w:pPr>
      <w:spacing w:line="240" w:lineRule="auto"/>
    </w:pPr>
    <w:rPr>
      <w:rFonts w:ascii="Calibri" w:eastAsia="Calibri" w:hAnsi="Calibri" w:cs="Calibri"/>
      <w:kern w:val="0"/>
      <w:sz w:val="20"/>
      <w:szCs w:val="20"/>
      <w:lang w:val="en-US" w:eastAsia="en-GB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E7B97"/>
    <w:rPr>
      <w:rFonts w:ascii="Calibri" w:eastAsia="Calibri" w:hAnsi="Calibri" w:cs="Calibri"/>
      <w:kern w:val="0"/>
      <w:sz w:val="20"/>
      <w:szCs w:val="20"/>
      <w:lang w:val="en-US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E7B97"/>
    <w:rPr>
      <w:sz w:val="16"/>
      <w:szCs w:val="16"/>
    </w:rPr>
  </w:style>
  <w:style w:type="table" w:customStyle="1" w:styleId="1">
    <w:name w:val="1"/>
    <w:basedOn w:val="TableNormal"/>
    <w:rsid w:val="00DE7B97"/>
    <w:pPr>
      <w:spacing w:after="0" w:line="240" w:lineRule="auto"/>
    </w:pPr>
    <w:rPr>
      <w:rFonts w:ascii="Calibri" w:eastAsia="Calibri" w:hAnsi="Calibri" w:cs="Calibri"/>
      <w:kern w:val="0"/>
      <w:lang w:val="en-US" w:eastAsia="en-GB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FFFFF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2899</Words>
  <Characters>16527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2</cp:revision>
  <dcterms:created xsi:type="dcterms:W3CDTF">2024-04-05T14:39:00Z</dcterms:created>
  <dcterms:modified xsi:type="dcterms:W3CDTF">2024-04-05T14:39:00Z</dcterms:modified>
</cp:coreProperties>
</file>