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252" w:rsidRDefault="00E62252" w:rsidP="00E62252">
      <w:pPr>
        <w:jc w:val="left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Table 1. Schedule of this study.</w:t>
      </w:r>
    </w:p>
    <w:tbl>
      <w:tblPr>
        <w:tblW w:w="12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0"/>
        <w:gridCol w:w="1279"/>
        <w:gridCol w:w="1277"/>
        <w:gridCol w:w="1277"/>
        <w:gridCol w:w="1279"/>
        <w:gridCol w:w="1277"/>
        <w:gridCol w:w="1277"/>
        <w:gridCol w:w="1290"/>
        <w:gridCol w:w="1290"/>
        <w:gridCol w:w="204"/>
      </w:tblGrid>
      <w:tr w:rsidR="00E62252" w:rsidTr="00E62252">
        <w:trPr>
          <w:gridAfter w:val="1"/>
          <w:wAfter w:w="36" w:type="dxa"/>
          <w:trHeight w:val="492"/>
        </w:trPr>
        <w:tc>
          <w:tcPr>
            <w:tcW w:w="2092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Period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Outpatient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5~1 day prior to admission date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4 to 1 day before planned treatment date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Treatment date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The day after treatment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b/>
                <w:bCs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Postoperative bleeding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Postoperative day 28</w:t>
            </w:r>
          </w:p>
        </w:tc>
      </w:tr>
      <w:tr w:rsidR="00E62252" w:rsidTr="00E62252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" w:type="dxa"/>
            <w:noWrap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/>
        </w:tc>
      </w:tr>
      <w:tr w:rsidR="00E62252" w:rsidTr="00E62252">
        <w:trPr>
          <w:trHeight w:val="336"/>
        </w:trPr>
        <w:tc>
          <w:tcPr>
            <w:tcW w:w="2092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Patient visit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Visit 1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Admission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Admission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Admission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 xml:space="preserve">Admission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 xml:space="preserve">Admission </w:t>
            </w:r>
            <w:r>
              <w:rPr>
                <w:rFonts w:ascii="Calibri" w:eastAsia="Yu Gothic" w:hAnsi="Calibri" w:cs="Calibri"/>
                <w:color w:val="000000"/>
                <w:kern w:val="0"/>
                <w:sz w:val="16"/>
                <w:szCs w:val="16"/>
                <w:lang w:val="en-GB"/>
              </w:rPr>
              <w:t>→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Emergency visit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Visit 2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Discharge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324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Obtain consent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372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Patient background check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528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Subjective symptoms/ Objective findings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276"/>
        </w:trPr>
        <w:tc>
          <w:tcPr>
            <w:tcW w:w="2092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Examination (Physical findings/ Observe adverse events)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36" w:type="dxa"/>
            <w:noWrap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E62252" w:rsidTr="00E62252">
        <w:trPr>
          <w:trHeight w:val="528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Antiplatelet drug administration check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516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 xml:space="preserve">Adverse event and </w:t>
            </w: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br/>
              <w:t>side effect check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540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Presence or absence of bloody stool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576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Warfarin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 xml:space="preserve">Discontinue in heparin bridge group Continue in warfarin continued group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312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Heparin bridge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rPr>
                <w:rFonts w:ascii="Times New Roman" w:eastAsia="Yu Gothic" w:hAnsi="Times New Roman" w:cs="Times New Roman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-1584960</wp:posOffset>
                      </wp:positionH>
                      <wp:positionV relativeFrom="paragraph">
                        <wp:posOffset>86995</wp:posOffset>
                      </wp:positionV>
                      <wp:extent cx="1935480" cy="9525"/>
                      <wp:effectExtent l="38100" t="76200" r="102870" b="85725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548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1EC3C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-124.8pt;margin-top:6.85pt;width:152.4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312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Endoscopy exam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324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Lesion observation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300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Hematology</w:t>
            </w:r>
            <w:proofErr w:type="spellEnd"/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 xml:space="preserve"> test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348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Biochemistry test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360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PT</w:t>
            </w:r>
            <w:r>
              <w:rPr>
                <w:rFonts w:ascii="Arial" w:eastAsia="Yu Gothic" w:hAnsi="Arial" w:cs="Arial" w:hint="eastAsia"/>
                <w:b/>
                <w:bCs/>
                <w:kern w:val="0"/>
                <w:sz w:val="16"/>
                <w:szCs w:val="16"/>
                <w:lang w:val="en-GB"/>
              </w:rPr>
              <w:t>－</w:t>
            </w: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INR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336"/>
        </w:trPr>
        <w:tc>
          <w:tcPr>
            <w:tcW w:w="2092" w:type="dxa"/>
            <w:tcBorders>
              <w:top w:val="nil"/>
              <w:left w:val="single" w:sz="8" w:space="0" w:color="FFFFFF"/>
              <w:bottom w:val="single" w:sz="4" w:space="0" w:color="auto"/>
              <w:right w:val="single" w:sz="4" w:space="0" w:color="auto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kern w:val="0"/>
                <w:sz w:val="16"/>
                <w:szCs w:val="16"/>
                <w:lang w:val="en-GB"/>
              </w:rPr>
              <w:t>APTT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●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  <w:sz w:val="16"/>
                <w:szCs w:val="16"/>
                <w:lang w:val="en-GB"/>
              </w:rPr>
              <w:t xml:space="preserve">　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E62252" w:rsidTr="00E62252">
        <w:trPr>
          <w:trHeight w:val="360"/>
        </w:trPr>
        <w:tc>
          <w:tcPr>
            <w:tcW w:w="1246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t>○ indicates items that must be implemented; ● indicates items that will be implemented as necessary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br/>
              <w:t xml:space="preserve">Note) Consent can be obtained in the outpatient setting as well. In addition, a patient can be treated if the PT-INR becomes 3 or less after hospitalization.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  <w:br/>
              <w:t xml:space="preserve">Note) If a blood test cannot be done on postoperative day 28, it can be done up to postoperative day 35. </w:t>
            </w:r>
          </w:p>
        </w:tc>
        <w:tc>
          <w:tcPr>
            <w:tcW w:w="36" w:type="dxa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E62252" w:rsidRDefault="00E62252">
            <w:pPr>
              <w:rPr>
                <w:rFonts w:ascii="Times New Roman" w:eastAsia="Yu Gothic" w:hAnsi="Times New Roman" w:cs="Times New Roman"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</w:tbl>
    <w:p w:rsidR="001555E4" w:rsidRDefault="001555E4">
      <w:bookmarkStart w:id="0" w:name="_GoBack"/>
      <w:bookmarkEnd w:id="0"/>
    </w:p>
    <w:sectPr w:rsidR="00155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52"/>
    <w:rsid w:val="001555E4"/>
    <w:rsid w:val="00E6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3707D0-576D-49D4-ADB3-28720E41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25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4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SPRINGERNATURE\btr8097</dc:creator>
  <cp:keywords/>
  <dc:description/>
  <cp:lastModifiedBy>SPRINGERNATURE\btr8097</cp:lastModifiedBy>
  <cp:revision>1</cp:revision>
  <dcterms:created xsi:type="dcterms:W3CDTF">2020-10-27T02:46:00Z</dcterms:created>
  <dcterms:modified xsi:type="dcterms:W3CDTF">2020-10-27T02:46:00Z</dcterms:modified>
</cp:coreProperties>
</file>