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r>
        <w:rPr>
          <w:rFonts w:cs="Calibri"/>
        </w:rPr>
        <w:t>Table 1. Clinical characteristics of the patients</w:t>
      </w:r>
    </w:p>
    <w:tbl>
      <w:tblPr>
        <w:tblStyle w:val="3"/>
        <w:tblpPr w:leftFromText="180" w:rightFromText="180" w:horzAnchor="margin" w:tblpXSpec="center" w:tblpY="450"/>
        <w:tblW w:w="9670" w:type="dxa"/>
        <w:tblInd w:w="1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324"/>
        <w:gridCol w:w="1340"/>
        <w:gridCol w:w="567"/>
        <w:gridCol w:w="742"/>
        <w:gridCol w:w="1330"/>
        <w:gridCol w:w="1258"/>
        <w:gridCol w:w="659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Characteristic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</w:tcPr>
          <w:p>
            <w:pPr>
              <w:rPr>
                <w:rFonts w:hint="default" w:eastAsia="等线" w:cs="Calibri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LVI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-postive</w:t>
            </w:r>
          </w:p>
          <w:p>
            <w:pP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15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</w:tcPr>
          <w:p>
            <w:pPr>
              <w:rPr>
                <w:rFonts w:hint="default" w:eastAsia="等线" w:cs="Calibri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LVI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-negative</w:t>
            </w:r>
          </w:p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34</w:t>
            </w: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)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  <w:vertAlign w:val="superscript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t/z/χ</w:t>
            </w:r>
            <w:r>
              <w:rPr>
                <w:rFonts w:eastAsia="等线" w:cs="Calibri"/>
                <w:color w:val="00000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PNI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-postive</w:t>
            </w:r>
          </w:p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 xml:space="preserve"> 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21</w:t>
            </w: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)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PNI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-negative</w:t>
            </w:r>
          </w:p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28</w:t>
            </w: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)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t/z/χ</w:t>
            </w:r>
            <w:r>
              <w:rPr>
                <w:rFonts w:eastAsia="等线" w:cs="Calibri"/>
                <w:color w:val="00000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single" w:color="000000" w:sz="4" w:space="0"/>
              <w:left w:val="nil"/>
              <w:bottom w:val="nil"/>
              <w:right w:val="nil"/>
              <w:tl2br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Age</w:t>
            </w:r>
          </w:p>
        </w:tc>
        <w:tc>
          <w:tcPr>
            <w:tcW w:w="132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65.27±11.31</w:t>
            </w:r>
          </w:p>
        </w:tc>
        <w:tc>
          <w:tcPr>
            <w:tcW w:w="13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61.82±12.13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0.934</w:t>
            </w:r>
          </w:p>
        </w:tc>
        <w:tc>
          <w:tcPr>
            <w:tcW w:w="74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0.355</w:t>
            </w:r>
          </w:p>
        </w:tc>
        <w:tc>
          <w:tcPr>
            <w:tcW w:w="133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58.52±9.62</w:t>
            </w: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66.14±12.5</w:t>
            </w:r>
          </w:p>
        </w:tc>
        <w:tc>
          <w:tcPr>
            <w:tcW w:w="65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-2.322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Sex（%）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0.025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0.981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1.154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 Female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53.33（8/15）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52.94（18/34）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61.90（13/21）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46.43（13/28）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 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46.67（7/15）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47.06（16/34）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38.10（8/21）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53.57（15/28）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CEA (ng/mL) 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15.18±32.86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8.08±20.75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0.542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0.588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17.91(1.56,9.31)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2.85(1.61,5.28)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-1.303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CA125 (U/mL) 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16.87±7.35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11.74±7.30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2.929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  <w:t>0.003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15.53±7.94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11.72±7.11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1.719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CA72-4 (U/mL)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4.52(1.75,33.60)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3.06（1.5,7.20）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1.079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0.280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2.83(1.50,21.45)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3.14(1.58,7.32)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-0.035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CA19-9 (U/mL)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12.90(6.15,74.00)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10.18(6.00,16.98)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1.107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0.268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17.7(8.61,101.00)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9.03(6.00,13.13)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3.809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  <w:t>&lt;0.001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Tumor location (%)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2.217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0.330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2.046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ind w:firstLine="150" w:firstLineChars="100"/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Colon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20.00（3/15）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41.17（14/34）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28.57（6/21）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39.29（11/28）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Rectum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46.67（7/15）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38.24（13/34）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52.38（11/21）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32.14（9/28）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Straight B junction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33.33（5/15）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20.59（7/34）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19.05（4/21）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28.57（8/28）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PFI (%)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2.605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0.107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2.642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 Yes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80.00（12/15）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55.88（19/34）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76.19（16/21）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53.57（15/28）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 No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20.00（3/15）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44.12（15/34）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23.81（5/21）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46.43（13/28）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Increased blood vessels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0.980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0.246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0.620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 Yes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53.33（8/15）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55.88（18/34）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57.14（12/21）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50.00（14/28）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 xml:space="preserve">   No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46.67（7/15）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44.12（16/34）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42.86（9/21）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50.00（14/28）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eastAsia="宋体" w:cs="Calibri"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Tdia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4.16±1.31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2.91±0.91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3.885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  <w:t>&lt;0.001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4.00±1.15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2.76±0.85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4.356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  <w:t>&lt;0.001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eastAsia="宋体" w:cs="Calibri"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Tare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5.99±2.63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4.58±1.82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2.190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  <w:t>0.033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5.73±2.33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4.30±1.98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2.311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color w:val="000000"/>
                <w:sz w:val="15"/>
                <w:szCs w:val="15"/>
              </w:rPr>
              <w:t>0.025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</w:tr>
    </w:tbl>
    <w:p>
      <w:pPr>
        <w:rPr>
          <w:rFonts w:cs="Calibri"/>
        </w:rPr>
      </w:pPr>
      <w:r>
        <w:rPr>
          <w:rFonts w:cs="Calibri"/>
        </w:rPr>
        <w:t>Table 1. Clinical characteristics of the patients</w:t>
      </w:r>
    </w:p>
    <w:p>
      <w:pPr>
        <w:rPr>
          <w:rFonts w:cs="Calibri"/>
          <w:sz w:val="18"/>
          <w:szCs w:val="18"/>
          <w:shd w:val="clear" w:color="auto" w:fill="FFFFFF"/>
        </w:rPr>
      </w:pPr>
      <w:r>
        <w:rPr>
          <w:rFonts w:cs="Calibri"/>
          <w:sz w:val="18"/>
          <w:szCs w:val="18"/>
        </w:rPr>
        <w:t xml:space="preserve">LVI: lymphovascular invasion; PNI: perineural invasion; CEA: carcinoembryonic antigen; CA125: </w:t>
      </w:r>
      <w:r>
        <w:rPr>
          <w:rFonts w:eastAsia="Segoe UI" w:cs="Calibri"/>
          <w:color w:val="212121"/>
          <w:sz w:val="18"/>
          <w:szCs w:val="18"/>
          <w:shd w:val="clear" w:color="auto" w:fill="FFFFFF"/>
        </w:rPr>
        <w:t>carbohydrate antigen 125</w:t>
      </w:r>
      <w:r>
        <w:rPr>
          <w:rFonts w:cs="Calibri"/>
          <w:color w:val="212121"/>
          <w:sz w:val="18"/>
          <w:szCs w:val="18"/>
          <w:shd w:val="clear" w:color="auto" w:fill="FFFFFF"/>
          <w:lang w:val="en-IN"/>
        </w:rPr>
        <w:t xml:space="preserve">; </w:t>
      </w:r>
      <w:r>
        <w:rPr>
          <w:rFonts w:cs="Calibri"/>
          <w:color w:val="212121"/>
          <w:sz w:val="18"/>
          <w:szCs w:val="18"/>
          <w:shd w:val="clear" w:color="auto" w:fill="FFFFFF"/>
        </w:rPr>
        <w:t xml:space="preserve">CA72-4: </w:t>
      </w:r>
      <w:r>
        <w:rPr>
          <w:rFonts w:eastAsia="Segoe UI" w:cs="Calibri"/>
          <w:color w:val="212121"/>
          <w:sz w:val="18"/>
          <w:szCs w:val="18"/>
          <w:shd w:val="clear" w:color="auto" w:fill="FFFFFF"/>
        </w:rPr>
        <w:t>cancer antigen</w:t>
      </w:r>
      <w:r>
        <w:rPr>
          <w:rFonts w:cs="Calibri"/>
          <w:color w:val="212121"/>
          <w:sz w:val="18"/>
          <w:szCs w:val="18"/>
          <w:shd w:val="clear" w:color="auto" w:fill="FFFFFF"/>
        </w:rPr>
        <w:t xml:space="preserve"> 72-4; CA19-9: </w:t>
      </w:r>
      <w:r>
        <w:rPr>
          <w:rFonts w:eastAsia="Segoe UI" w:cs="Calibri"/>
          <w:color w:val="212121"/>
          <w:sz w:val="18"/>
          <w:szCs w:val="18"/>
          <w:shd w:val="clear" w:color="auto" w:fill="FFFFFF"/>
        </w:rPr>
        <w:t>cancer antigen 19-9</w:t>
      </w:r>
      <w:r>
        <w:rPr>
          <w:rFonts w:cs="Calibri"/>
          <w:color w:val="212121"/>
          <w:sz w:val="18"/>
          <w:szCs w:val="18"/>
          <w:shd w:val="clear" w:color="auto" w:fill="FFFFFF"/>
        </w:rPr>
        <w:t xml:space="preserve">; PFI: </w:t>
      </w:r>
      <w:r>
        <w:rPr>
          <w:rFonts w:cs="Calibri"/>
          <w:sz w:val="18"/>
          <w:szCs w:val="18"/>
        </w:rPr>
        <w:t xml:space="preserve">peri-colerectal fat invasion; </w:t>
      </w:r>
      <w:r>
        <w:rPr>
          <w:rFonts w:hint="eastAsia" w:cs="Calibri"/>
          <w:sz w:val="18"/>
          <w:szCs w:val="18"/>
          <w:lang w:val="en-US" w:eastAsia="zh-CN"/>
        </w:rPr>
        <w:t>Tdia</w:t>
      </w:r>
      <w:r>
        <w:rPr>
          <w:rFonts w:cs="Calibri"/>
          <w:sz w:val="18"/>
          <w:szCs w:val="18"/>
        </w:rPr>
        <w:t xml:space="preserve">: tumor maximum diameter; </w:t>
      </w:r>
      <w:r>
        <w:rPr>
          <w:rFonts w:hint="eastAsia" w:cs="Calibri"/>
          <w:sz w:val="18"/>
          <w:szCs w:val="18"/>
          <w:lang w:val="en-US" w:eastAsia="zh-CN"/>
        </w:rPr>
        <w:t>Tare</w:t>
      </w:r>
      <w:r>
        <w:rPr>
          <w:rFonts w:cs="Calibri"/>
          <w:sz w:val="18"/>
          <w:szCs w:val="18"/>
        </w:rPr>
        <w:t xml:space="preserve">: </w:t>
      </w:r>
      <w:r>
        <w:rPr>
          <w:rFonts w:cs="Calibri"/>
          <w:sz w:val="18"/>
          <w:szCs w:val="18"/>
          <w:shd w:val="clear" w:color="auto" w:fill="FFFFFF"/>
        </w:rPr>
        <w:t>tumor maximum cross-sectional area.</w:t>
      </w:r>
    </w:p>
    <w:p>
      <w:pPr>
        <w:rPr>
          <w:rFonts w:cs="Calibri"/>
          <w:sz w:val="18"/>
          <w:szCs w:val="18"/>
          <w:shd w:val="clear" w:color="auto" w:fill="FFFFFF"/>
        </w:rPr>
      </w:pPr>
      <w:r>
        <w:rPr>
          <w:rFonts w:cs="Calibri"/>
          <w:sz w:val="18"/>
          <w:szCs w:val="18"/>
          <w:shd w:val="clear" w:color="auto" w:fill="FFFFFF"/>
        </w:rPr>
        <w:t xml:space="preserve">Quantitative data showing a normal distribution were presented as mean ± standard deviation, and intergroup comparisons of these data were performed by Student’s t-test. Quantitative data without a normal distribution were presented as median (interquartile range), and intergroup comparisons of these data were performed using Mann–Whitney U test. Count data were expressed as cases and percentages, and intergroup comparisons of these data were performed using either the chi-square test or Fisher’s exact test. </w:t>
      </w:r>
      <w:bookmarkStart w:id="1" w:name="_GoBack"/>
      <w:bookmarkEnd w:id="1"/>
    </w:p>
    <w:p>
      <w:pPr>
        <w:rPr>
          <w:rFonts w:cs="Calibri"/>
          <w:sz w:val="18"/>
          <w:szCs w:val="18"/>
          <w:shd w:val="clear" w:color="auto" w:fill="FFFFFF"/>
        </w:rPr>
      </w:pPr>
    </w:p>
    <w:p>
      <w:pPr>
        <w:rPr>
          <w:rFonts w:cs="Calibri"/>
          <w:sz w:val="18"/>
          <w:szCs w:val="18"/>
          <w:shd w:val="clear" w:color="auto" w:fill="FFFFFF"/>
        </w:rPr>
      </w:pPr>
    </w:p>
    <w:p>
      <w:pPr>
        <w:rPr>
          <w:rFonts w:cs="Calibri"/>
          <w:sz w:val="18"/>
          <w:szCs w:val="18"/>
          <w:shd w:val="clear" w:color="auto" w:fill="FFFFFF"/>
        </w:rPr>
      </w:pPr>
    </w:p>
    <w:p>
      <w:pPr>
        <w:rPr>
          <w:rFonts w:cs="Calibri"/>
          <w:sz w:val="18"/>
          <w:szCs w:val="18"/>
          <w:shd w:val="clear" w:color="auto" w:fill="FFFFFF"/>
        </w:rPr>
      </w:pPr>
    </w:p>
    <w:p>
      <w:pPr>
        <w:rPr>
          <w:rFonts w:cs="Calibri"/>
          <w:sz w:val="18"/>
          <w:szCs w:val="18"/>
          <w:shd w:val="clear" w:color="auto" w:fill="FFFFFF"/>
        </w:rPr>
      </w:pPr>
    </w:p>
    <w:p>
      <w:pPr>
        <w:widowControl/>
        <w:jc w:val="left"/>
        <w:rPr>
          <w:rFonts w:cs="Calibri"/>
          <w:sz w:val="18"/>
          <w:szCs w:val="18"/>
          <w:shd w:val="clear" w:color="auto" w:fill="FFFFFF"/>
        </w:rPr>
      </w:pPr>
      <w:r>
        <w:rPr>
          <w:rFonts w:cs="Calibri"/>
          <w:sz w:val="18"/>
          <w:szCs w:val="18"/>
          <w:shd w:val="clear" w:color="auto" w:fill="FFFFFF"/>
        </w:rPr>
        <w:br w:type="page"/>
      </w:r>
    </w:p>
    <w:p>
      <w:pPr>
        <w:rPr>
          <w:rFonts w:cs="Calibri"/>
          <w:sz w:val="18"/>
          <w:szCs w:val="18"/>
          <w:shd w:val="clear" w:color="auto" w:fill="FFFFFF"/>
        </w:rPr>
      </w:pPr>
    </w:p>
    <w:p>
      <w:pPr>
        <w:rPr>
          <w:rFonts w:cs="Calibri"/>
          <w:sz w:val="18"/>
          <w:szCs w:val="18"/>
        </w:rPr>
      </w:pPr>
      <w:r>
        <w:rPr>
          <w:rFonts w:cs="Calibri"/>
        </w:rPr>
        <w:t>Table 2. Pathological characteristics of the patients</w:t>
      </w:r>
    </w:p>
    <w:p>
      <w:pPr>
        <w:rPr>
          <w:rFonts w:cs="Calibri"/>
          <w:sz w:val="18"/>
          <w:szCs w:val="18"/>
          <w:shd w:val="clear" w:color="auto" w:fill="FFFFFF"/>
        </w:rPr>
      </w:pPr>
    </w:p>
    <w:tbl>
      <w:tblPr>
        <w:tblStyle w:val="3"/>
        <w:tblW w:w="9257" w:type="dxa"/>
        <w:tblInd w:w="-795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250"/>
        <w:gridCol w:w="1214"/>
        <w:gridCol w:w="644"/>
        <w:gridCol w:w="701"/>
        <w:gridCol w:w="1248"/>
        <w:gridCol w:w="1185"/>
        <w:gridCol w:w="619"/>
        <w:gridCol w:w="701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Characteristic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LVI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-postive</w:t>
            </w:r>
          </w:p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15</w:t>
            </w: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)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LVI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-negative</w:t>
            </w:r>
          </w:p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34</w:t>
            </w: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)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5"/>
                <w:szCs w:val="15"/>
                <w:vertAlign w:val="superscript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t/z/χ</w:t>
            </w:r>
            <w:r>
              <w:rPr>
                <w:rFonts w:eastAsia="等线" w:cs="Calibri"/>
                <w:color w:val="00000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PNI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-postive</w:t>
            </w:r>
          </w:p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 xml:space="preserve"> 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21</w:t>
            </w: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)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color w:val="000000"/>
                <w:sz w:val="15"/>
                <w:szCs w:val="15"/>
                <w:lang w:val="en-IN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PNI</w:t>
            </w:r>
            <w:r>
              <w:rPr>
                <w:rFonts w:hint="eastAsia" w:eastAsia="等线" w:cs="Calibri"/>
                <w:color w:val="000000"/>
                <w:sz w:val="15"/>
                <w:szCs w:val="15"/>
                <w:lang w:val="en-US" w:eastAsia="zh-CN"/>
              </w:rPr>
              <w:t>-negative</w:t>
            </w:r>
          </w:p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(</w:t>
            </w:r>
            <w:r>
              <w:rPr>
                <w:rFonts w:eastAsia="等线" w:cs="Calibri"/>
                <w:color w:val="000000"/>
                <w:sz w:val="15"/>
                <w:szCs w:val="15"/>
              </w:rPr>
              <w:t>n = 28</w:t>
            </w:r>
            <w:r>
              <w:rPr>
                <w:rFonts w:eastAsia="等线" w:cs="Calibri"/>
                <w:color w:val="000000"/>
                <w:sz w:val="15"/>
                <w:szCs w:val="15"/>
                <w:lang w:val="en-IN"/>
              </w:rPr>
              <w:t>)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t/z/χ</w:t>
            </w:r>
            <w:r>
              <w:rPr>
                <w:rFonts w:eastAsia="等线" w:cs="Calibri"/>
                <w:color w:val="00000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color w:val="000000"/>
                <w:sz w:val="15"/>
                <w:szCs w:val="15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Tumor grade (%)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0.920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0.631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6.682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b/>
                <w:bCs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sz w:val="15"/>
                <w:szCs w:val="15"/>
              </w:rPr>
              <w:t>0.035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Good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0.00（0/15）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5.88（2/34）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0.00（0/21）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7.14（2/28）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Moderate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46.67（7/15）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44.12（15/34）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28.57（6/21）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57.14（16/28）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Poor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53.33（8/15）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50.00（17/34）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71.43（15/21）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35.71（10/28）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T(%)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6.818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sz w:val="15"/>
                <w:szCs w:val="15"/>
              </w:rPr>
              <w:t>0.033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4.646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 xml:space="preserve">  I or II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20.00（3/15）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35.30（12/34）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14.28（3/21）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42.86（12/28）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III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40.00（6/15）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55.88（19/34）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61.90（13/21）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42.86（12/28）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IV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40.00（6/15）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8.82（3/34）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23.82（5/21）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14.28（4/28）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N (%)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12.784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sz w:val="15"/>
                <w:szCs w:val="15"/>
              </w:rPr>
              <w:t>0.002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4.348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  <w:vertAlign w:val="superscript"/>
              </w:rPr>
            </w:pPr>
            <w:r>
              <w:rPr>
                <w:rFonts w:eastAsia="等线" w:cs="Calibri"/>
                <w:sz w:val="15"/>
                <w:szCs w:val="15"/>
              </w:rPr>
              <w:t>0.114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6.67（1/15）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61.76（21/34）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28.57（6/21）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57.14（16/28）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73.33（11/15）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29.41（10/34）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52.38（11/21）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35.71（10/28）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20.00（3/15）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8.82（3/34）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19.05（4/21）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7.14（2/28）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0.00（0/15）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0.00（0/34）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0.00（0/21）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0.00（0/28）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M (%)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0.576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0.448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2.722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0.099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80.00（12/15）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88.24（30/34）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76.19（16/21）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92.56（26/28）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20.00（3/15）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11.76（4/34）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23.81（5/21）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7.14（2/28）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Pathological type (%)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2.605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0.107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6.025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sz w:val="15"/>
                <w:szCs w:val="15"/>
              </w:rPr>
              <w:t>0.014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Ulcerative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80.00（12/15）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55.88（19/34）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80.95（17/21）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50.00（14/28）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Bulge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20.00（3/15）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44.12（15/34）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19.05（4/21）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50.00（14/28）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eastAsia="等线" w:cs="Calibri"/>
                <w:sz w:val="15"/>
                <w:szCs w:val="15"/>
              </w:rPr>
              <w:t>LNM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9.802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b/>
                <w:bCs/>
                <w:sz w:val="15"/>
                <w:szCs w:val="15"/>
              </w:rPr>
              <w:t>0.002</w:t>
            </w:r>
            <w:r>
              <w:rPr>
                <w:rFonts w:eastAsia="等线" w:cs="Calibri"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2.731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Yes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86.67（13/15）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38.24（13/34）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66.67（14/21）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42.86（12/28）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firstLine="150" w:firstLineChars="100"/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No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13.33（2/15）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61.76（21/34）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33.33（7/21）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57.14（16/28）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Ki-67（%）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74.50±15.36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72.58±17.51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0.310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0.758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76.11±15.78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70.65±17.60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1.031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5"/>
                <w:szCs w:val="15"/>
              </w:rPr>
            </w:pPr>
            <w:r>
              <w:rPr>
                <w:rFonts w:eastAsia="等线" w:cs="Calibri"/>
                <w:sz w:val="15"/>
                <w:szCs w:val="15"/>
              </w:rPr>
              <w:t>0.309</w:t>
            </w:r>
          </w:p>
        </w:tc>
      </w:tr>
    </w:tbl>
    <w:p>
      <w:pPr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LVI: lymphovascular invasion; PNI, perineural invasion; LNM: lymph node metastasis.</w:t>
      </w:r>
    </w:p>
    <w:p>
      <w:pPr>
        <w:rPr>
          <w:rFonts w:cs="Calibri"/>
          <w:sz w:val="18"/>
          <w:szCs w:val="18"/>
        </w:rPr>
      </w:pPr>
    </w:p>
    <w:p>
      <w:pPr>
        <w:rPr>
          <w:rFonts w:cs="Calibri"/>
          <w:sz w:val="18"/>
          <w:szCs w:val="18"/>
        </w:rPr>
      </w:pPr>
    </w:p>
    <w:p>
      <w:pPr>
        <w:rPr>
          <w:rFonts w:cs="Calibri"/>
          <w:sz w:val="18"/>
          <w:szCs w:val="18"/>
        </w:rPr>
      </w:pPr>
    </w:p>
    <w:p>
      <w:pPr>
        <w:rPr>
          <w:rFonts w:cs="Calibri"/>
          <w:sz w:val="18"/>
          <w:szCs w:val="18"/>
        </w:rPr>
      </w:pPr>
    </w:p>
    <w:p>
      <w:pPr>
        <w:rPr>
          <w:rFonts w:cs="Calibri"/>
          <w:sz w:val="18"/>
          <w:szCs w:val="18"/>
        </w:rPr>
      </w:pPr>
    </w:p>
    <w:p>
      <w:pPr>
        <w:rPr>
          <w:rFonts w:cs="Calibri"/>
          <w:sz w:val="18"/>
          <w:szCs w:val="18"/>
        </w:rPr>
      </w:pPr>
    </w:p>
    <w:p>
      <w:pPr>
        <w:widowControl/>
        <w:jc w:val="left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br w:type="page"/>
      </w:r>
    </w:p>
    <w:p>
      <w:pPr>
        <w:rPr>
          <w:rFonts w:cs="Calibri"/>
        </w:rPr>
      </w:pPr>
      <w:r>
        <w:rPr>
          <w:rFonts w:cs="Calibri"/>
        </w:rPr>
        <w:t xml:space="preserve">Table 3. Comparison of dual-layer detector </w:t>
      </w:r>
      <w:r>
        <w:rPr>
          <w:rFonts w:hint="eastAsia" w:cs="Calibri"/>
          <w:lang w:val="en-US" w:eastAsia="zh-CN"/>
        </w:rPr>
        <w:t xml:space="preserve">spectral </w:t>
      </w:r>
      <w:r>
        <w:rPr>
          <w:rFonts w:cs="Calibri"/>
        </w:rPr>
        <w:t>parameters between the lymphovascular invasion-positive and lymphovascular invasion-negative groups</w:t>
      </w:r>
    </w:p>
    <w:p>
      <w:pPr>
        <w:rPr>
          <w:rFonts w:cs="Calibri"/>
        </w:rPr>
      </w:pPr>
    </w:p>
    <w:tbl>
      <w:tblPr>
        <w:tblStyle w:val="3"/>
        <w:tblW w:w="8054" w:type="dxa"/>
        <w:tblInd w:w="163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1985"/>
        <w:gridCol w:w="1843"/>
        <w:gridCol w:w="1135"/>
        <w:gridCol w:w="992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Variable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spacing w:beforeAutospacing="1" w:afterAutospacing="1"/>
              <w:rPr>
                <w:rFonts w:hint="eastAsia" w:eastAsia="等线" w:cs="Calibri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 Light" w:cs="Calibri"/>
                <w:sz w:val="18"/>
                <w:szCs w:val="18"/>
              </w:rPr>
              <w:t>LVI</w:t>
            </w:r>
            <w:r>
              <w:rPr>
                <w:rFonts w:hint="eastAsia" w:eastAsia="等线" w:cs="Calibri"/>
                <w:color w:val="000000"/>
                <w:sz w:val="18"/>
                <w:szCs w:val="18"/>
                <w:lang w:val="en-US" w:eastAsia="zh-CN"/>
              </w:rPr>
              <w:t>-postive</w:t>
            </w:r>
          </w:p>
          <w:p>
            <w:pPr>
              <w:spacing w:beforeAutospacing="1" w:afterAutospacing="1"/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(n = 15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LVI</w:t>
            </w:r>
            <w:r>
              <w:rPr>
                <w:rFonts w:hint="eastAsia" w:eastAsia="等线" w:cs="Calibri"/>
                <w:color w:val="000000"/>
                <w:sz w:val="18"/>
                <w:szCs w:val="18"/>
                <w:lang w:val="en-US" w:eastAsia="zh-CN"/>
              </w:rPr>
              <w:t>-negative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  <w:lang w:val="en-IN"/>
              </w:rPr>
              <w:t>(</w:t>
            </w:r>
            <w:r>
              <w:rPr>
                <w:rFonts w:eastAsia="等线 Light" w:cs="Calibri"/>
                <w:sz w:val="18"/>
                <w:szCs w:val="18"/>
              </w:rPr>
              <w:t>n = 34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t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BEBEBE" w:themeFill="background1" w:themeFillShade="BF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P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 xml:space="preserve">AP </w:t>
            </w:r>
            <w:r>
              <w:rPr>
                <w:rFonts w:eastAsia="等线 Light" w:cs="Calibri"/>
                <w:sz w:val="18"/>
                <w:szCs w:val="18"/>
              </w:rPr>
              <w:t>(mg/mL)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NID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AP</w:t>
            </w:r>
            <w:r>
              <w:rPr>
                <w:rFonts w:eastAsia="等线 Light" w:cs="Calibri"/>
                <w:sz w:val="18"/>
                <w:szCs w:val="18"/>
              </w:rPr>
              <w:t xml:space="preserve">                             </w:t>
            </w:r>
          </w:p>
          <w:p>
            <w:pPr>
              <w:rPr>
                <w:rFonts w:eastAsia="等线 Light" w:cs="Calibri"/>
                <w:sz w:val="18"/>
                <w:szCs w:val="18"/>
                <w:vertAlign w:val="subscript"/>
              </w:rPr>
            </w:pPr>
            <w:r>
              <w:rPr>
                <w:rFonts w:eastAsia="等线 Light" w:cs="Calibri"/>
                <w:sz w:val="18"/>
                <w:szCs w:val="18"/>
              </w:rPr>
              <w:t>Eff-Z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AP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40keV-AP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eastAsia="等线 Light" w:cs="Calibri"/>
                <w:sz w:val="18"/>
                <w:szCs w:val="18"/>
                <w:vertAlign w:val="subscript"/>
              </w:rPr>
            </w:pPr>
            <w:r>
              <w:rPr>
                <w:rFonts w:eastAsia="等线 Light" w:cs="Calibri"/>
                <w:sz w:val="18"/>
                <w:szCs w:val="18"/>
              </w:rPr>
              <w:t>λHU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AP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>CI-AP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cs="Calibri"/>
                <w:sz w:val="18"/>
                <w:szCs w:val="18"/>
                <w:vertAlign w:val="subscript"/>
                <w:lang w:val="en-IN"/>
              </w:rPr>
            </w:pPr>
            <w:r>
              <w:rPr>
                <w:rFonts w:hint="eastAsia" w:eastAsia="等线 Light" w:cs="Calibri"/>
                <w:sz w:val="18"/>
                <w:szCs w:val="18"/>
                <w:lang w:val="en-US" w:eastAsia="zh-CN"/>
              </w:rPr>
              <w:t>H</w:t>
            </w:r>
            <w:r>
              <w:rPr>
                <w:rFonts w:eastAsia="等线 Light" w:cs="Calibri"/>
                <w:sz w:val="18"/>
                <w:szCs w:val="18"/>
              </w:rPr>
              <w:t>U</w:t>
            </w:r>
            <w:r>
              <w:rPr>
                <w:rFonts w:cs="Calibri"/>
                <w:sz w:val="18"/>
                <w:szCs w:val="18"/>
                <w:vertAlign w:val="subscript"/>
              </w:rPr>
              <w:t>VNC-AP</w:t>
            </w:r>
            <w:r>
              <w:rPr>
                <w:rFonts w:cs="Calibri"/>
                <w:sz w:val="18"/>
                <w:szCs w:val="18"/>
                <w:lang w:val="en-IN"/>
              </w:rPr>
              <w:t xml:space="preserve"> 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1.90±0.46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0.20±0.03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8.33±0.21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197.86±39.41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-3.79±0.93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84.78±15.88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36.63±6.86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1.51±0.43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0.16±0.04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8.15±0.20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164.72±38.26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-3.02±0.86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75.42±12.88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35.57±7.45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2.818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3.151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2.791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2.782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-2.833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2.149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0.481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0.007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0.003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0.008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0.008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0.007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0.037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0.633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 xml:space="preserve">VP </w:t>
            </w:r>
            <w:r>
              <w:rPr>
                <w:rFonts w:eastAsia="等线 Light" w:cs="Calibri"/>
                <w:sz w:val="18"/>
                <w:szCs w:val="18"/>
              </w:rPr>
              <w:t>(mg/mL)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NID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VP</w:t>
            </w:r>
            <w:r>
              <w:rPr>
                <w:rFonts w:eastAsia="等线 Light" w:cs="Calibri"/>
                <w:sz w:val="18"/>
                <w:szCs w:val="18"/>
              </w:rPr>
              <w:t xml:space="preserve">                              </w:t>
            </w:r>
          </w:p>
          <w:p>
            <w:pPr>
              <w:rPr>
                <w:rFonts w:eastAsia="等线 Light" w:cs="Calibri"/>
                <w:sz w:val="18"/>
                <w:szCs w:val="18"/>
                <w:vertAlign w:val="subscript"/>
              </w:rPr>
            </w:pPr>
            <w:r>
              <w:rPr>
                <w:rFonts w:eastAsia="等线 Light" w:cs="Calibri"/>
                <w:sz w:val="18"/>
                <w:szCs w:val="18"/>
              </w:rPr>
              <w:t>Eff-Z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VP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40keV-VP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eastAsia="等线 Light" w:cs="Calibri"/>
                <w:sz w:val="18"/>
                <w:szCs w:val="18"/>
                <w:vertAlign w:val="subscript"/>
              </w:rPr>
            </w:pPr>
            <w:r>
              <w:rPr>
                <w:rFonts w:eastAsia="等线 Light" w:cs="Calibri"/>
                <w:sz w:val="18"/>
                <w:szCs w:val="18"/>
              </w:rPr>
              <w:t>λHU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VP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>CI-VP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>VNC-VP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2.46±0.34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0.43±0.07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8.58±0.15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247.52±30.51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-4.89±0.67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98.78±11.91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37.19±5.37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2.14±0.38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0.38±0.07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8.44±0.17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220.56±31.77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-4.27±0.75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93.13±10.32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38.20±5.74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2.877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2.517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2.877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2.782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-2.745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1.657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-0.567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0.006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0.015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0.006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b/>
                <w:bCs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0.008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b/>
                <w:bCs/>
                <w:sz w:val="18"/>
                <w:szCs w:val="18"/>
              </w:rPr>
              <w:t>0.008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0.104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0.573</w:t>
            </w:r>
          </w:p>
        </w:tc>
      </w:tr>
    </w:tbl>
    <w:p>
      <w:pPr>
        <w:widowControl/>
        <w:jc w:val="left"/>
        <w:rPr>
          <w:rFonts w:cs="Calibri"/>
          <w:color w:val="000000"/>
          <w:kern w:val="0"/>
          <w:sz w:val="18"/>
          <w:szCs w:val="18"/>
        </w:rPr>
      </w:pPr>
      <w:bookmarkStart w:id="0" w:name="_Hlk162794336"/>
      <w:r>
        <w:rPr>
          <w:rFonts w:eastAsia="CharisSIL" w:cs="Calibri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Values are expressed as mean </w:t>
      </w:r>
      <w:r>
        <w:rPr>
          <w:rFonts w:eastAsia="TeX_CM_Maths_Symbols" w:cs="Calibri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± </w:t>
      </w:r>
      <w:r>
        <w:rPr>
          <w:rFonts w:eastAsia="CharisSIL" w:cs="Calibri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standard deviation. *</w:t>
      </w:r>
      <w:r>
        <w:rPr>
          <w:rFonts w:eastAsia="CharisSIL" w:cs="Calibri"/>
          <w:color w:val="000000"/>
          <w:kern w:val="0"/>
          <w:sz w:val="18"/>
          <w:szCs w:val="18"/>
        </w:rPr>
        <w:t xml:space="preserve">Significant differences, p-values are bold. LVI: lymphovascular invasion; ID: iodine density; NID: </w:t>
      </w:r>
      <w:r>
        <w:rPr>
          <w:rFonts w:hint="default" w:ascii="Calibri" w:hAnsi="Calibri" w:cs="Calibri"/>
          <w:sz w:val="18"/>
          <w:szCs w:val="18"/>
        </w:rPr>
        <w:t>normalized iodine density</w:t>
      </w:r>
      <w:r>
        <w:rPr>
          <w:rFonts w:cs="Calibri"/>
          <w:sz w:val="18"/>
          <w:szCs w:val="18"/>
        </w:rPr>
        <w:t xml:space="preserve">; </w:t>
      </w:r>
      <w:r>
        <w:rPr>
          <w:rFonts w:eastAsia="等线 Light" w:cs="Calibri"/>
          <w:sz w:val="18"/>
          <w:szCs w:val="18"/>
        </w:rPr>
        <w:t xml:space="preserve">Eff-Z: </w:t>
      </w:r>
      <w:r>
        <w:rPr>
          <w:rFonts w:cs="Calibri"/>
          <w:sz w:val="18"/>
          <w:szCs w:val="18"/>
        </w:rPr>
        <w:t xml:space="preserve">effective atomic number; </w:t>
      </w:r>
      <w:r>
        <w:rPr>
          <w:rFonts w:eastAsia="等线 Light" w:cs="Calibri"/>
          <w:sz w:val="18"/>
          <w:szCs w:val="18"/>
        </w:rPr>
        <w:t xml:space="preserve">40keV: 40-keV </w:t>
      </w:r>
      <w:r>
        <w:rPr>
          <w:rFonts w:eastAsia="CharisSIL" w:cs="Calibri"/>
          <w:color w:val="000000"/>
          <w:kern w:val="0"/>
          <w:sz w:val="18"/>
          <w:szCs w:val="18"/>
        </w:rPr>
        <w:t xml:space="preserve">virtual monoenergetic image; </w:t>
      </w:r>
      <w:r>
        <w:rPr>
          <w:rFonts w:eastAsia="等线 Light" w:cs="Calibri"/>
          <w:sz w:val="18"/>
          <w:szCs w:val="18"/>
        </w:rPr>
        <w:t xml:space="preserve">λHU: </w:t>
      </w:r>
      <w:r>
        <w:rPr>
          <w:rFonts w:cs="Calibri"/>
          <w:sz w:val="18"/>
          <w:szCs w:val="18"/>
        </w:rPr>
        <w:t xml:space="preserve">slope of the spectral curve; CI: conventional image; VNC: virtual non-contrast image; AP: </w:t>
      </w:r>
      <w:r>
        <w:rPr>
          <w:rFonts w:eastAsia="CharisSIL" w:cs="Calibri"/>
          <w:color w:val="000000"/>
          <w:kern w:val="0"/>
          <w:sz w:val="18"/>
          <w:szCs w:val="18"/>
        </w:rPr>
        <w:t>arterial phase; VP: venous phase.</w:t>
      </w:r>
    </w:p>
    <w:bookmarkEnd w:id="0"/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widowControl/>
        <w:jc w:val="left"/>
        <w:rPr>
          <w:rFonts w:cs="Calibri"/>
        </w:rPr>
      </w:pPr>
      <w:r>
        <w:rPr>
          <w:rFonts w:cs="Calibri"/>
        </w:rPr>
        <w:br w:type="page"/>
      </w:r>
    </w:p>
    <w:p>
      <w:pPr>
        <w:rPr>
          <w:rFonts w:cs="Calibri"/>
        </w:rPr>
      </w:pPr>
      <w:r>
        <w:rPr>
          <w:rFonts w:cs="Calibri"/>
        </w:rPr>
        <w:t xml:space="preserve">Table 4. Comparison of dual-layer detector </w:t>
      </w:r>
      <w:r>
        <w:rPr>
          <w:rFonts w:hint="eastAsia" w:cs="Calibri"/>
          <w:lang w:val="en-US" w:eastAsia="zh-CN"/>
        </w:rPr>
        <w:t xml:space="preserve">spectral </w:t>
      </w:r>
      <w:r>
        <w:rPr>
          <w:rFonts w:cs="Calibri"/>
        </w:rPr>
        <w:t>parameters between the perineural invasion-positive and perineural invasion-negative groups</w:t>
      </w:r>
    </w:p>
    <w:p>
      <w:pPr>
        <w:rPr>
          <w:rFonts w:cs="Calibri"/>
        </w:rPr>
      </w:pPr>
    </w:p>
    <w:tbl>
      <w:tblPr>
        <w:tblStyle w:val="3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1985"/>
        <w:gridCol w:w="1843"/>
        <w:gridCol w:w="1135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Variables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spacing w:beforeAutospacing="1" w:afterAutospacing="1"/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</w:rPr>
              <w:t>PNI</w:t>
            </w:r>
            <w:r>
              <w:rPr>
                <w:rFonts w:hint="eastAsia" w:eastAsia="等线" w:cs="Calibri"/>
                <w:color w:val="000000"/>
                <w:sz w:val="18"/>
                <w:szCs w:val="18"/>
                <w:lang w:val="en-US" w:eastAsia="zh-CN"/>
              </w:rPr>
              <w:t>-postive</w:t>
            </w:r>
          </w:p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  <w:lang w:val="en-IN"/>
              </w:rPr>
              <w:t>(</w:t>
            </w:r>
            <w:r>
              <w:rPr>
                <w:rFonts w:eastAsia="等线" w:cs="Calibri"/>
                <w:sz w:val="18"/>
                <w:szCs w:val="18"/>
              </w:rPr>
              <w:t>n = 21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</w:rPr>
              <w:t>PNI</w:t>
            </w:r>
            <w:r>
              <w:rPr>
                <w:rFonts w:hint="eastAsia" w:eastAsia="等线" w:cs="Calibri"/>
                <w:color w:val="000000"/>
                <w:sz w:val="18"/>
                <w:szCs w:val="18"/>
                <w:lang w:val="en-US" w:eastAsia="zh-CN"/>
              </w:rPr>
              <w:t>-negative</w:t>
            </w:r>
          </w:p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</w:p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  <w:lang w:val="en-IN"/>
              </w:rPr>
              <w:t>(</w:t>
            </w:r>
            <w:r>
              <w:rPr>
                <w:rFonts w:eastAsia="等线" w:cs="Calibri"/>
                <w:sz w:val="18"/>
                <w:szCs w:val="18"/>
              </w:rPr>
              <w:t>n = 28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t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BEBEBE" w:themeFill="background1" w:themeFillShade="BF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P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 xml:space="preserve">AP </w:t>
            </w:r>
            <w:r>
              <w:rPr>
                <w:rFonts w:eastAsia="等线 Light" w:cs="Calibri"/>
                <w:sz w:val="18"/>
                <w:szCs w:val="18"/>
              </w:rPr>
              <w:t>(mg/mL)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NID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AP</w:t>
            </w:r>
            <w:r>
              <w:rPr>
                <w:rFonts w:eastAsia="等线 Light" w:cs="Calibri"/>
                <w:sz w:val="18"/>
                <w:szCs w:val="18"/>
              </w:rPr>
              <w:t xml:space="preserve">                             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Eff-Z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AP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40keV-AP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λHU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AP</w:t>
            </w:r>
          </w:p>
          <w:p>
            <w:pPr>
              <w:rPr>
                <w:rFonts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 xml:space="preserve">CI-AP </w:t>
            </w:r>
          </w:p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 xml:space="preserve">VNC-AP 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1.78±0.55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0.18±0.04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8.28±0.25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187.60±49.78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-3.57±1.10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82.03±15.41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35.56±4.98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1.52±0.38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0.17±0.05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8.15±0.19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165.48±32.79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-3.04±0.76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75.82±12.99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36.38±8.07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1.960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0.861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2.0006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1.878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-1.999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1.529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-0.412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0.056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0.394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0.051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0.067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0.051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0.133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0.682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 xml:space="preserve">VP </w:t>
            </w:r>
            <w:r>
              <w:rPr>
                <w:rFonts w:eastAsia="等线 Light" w:cs="Calibri"/>
                <w:sz w:val="18"/>
                <w:szCs w:val="18"/>
              </w:rPr>
              <w:t>(mg/mL)</w:t>
            </w:r>
          </w:p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sz w:val="18"/>
                <w:szCs w:val="18"/>
              </w:rPr>
              <w:t>NID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VP</w:t>
            </w:r>
            <w:r>
              <w:rPr>
                <w:rFonts w:eastAsia="等线 Light" w:cs="Calibri"/>
                <w:sz w:val="18"/>
                <w:szCs w:val="18"/>
              </w:rPr>
              <w:t xml:space="preserve">                              </w:t>
            </w:r>
          </w:p>
          <w:p>
            <w:pPr>
              <w:rPr>
                <w:rFonts w:eastAsia="等线 Light" w:cs="Calibri"/>
                <w:sz w:val="18"/>
                <w:szCs w:val="18"/>
                <w:vertAlign w:val="subscript"/>
              </w:rPr>
            </w:pPr>
            <w:r>
              <w:rPr>
                <w:rFonts w:eastAsia="等线 Light" w:cs="Calibri"/>
                <w:sz w:val="18"/>
                <w:szCs w:val="18"/>
              </w:rPr>
              <w:t>Eff-Z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VP</w:t>
            </w:r>
          </w:p>
          <w:p>
            <w:pPr>
              <w:rPr>
                <w:rFonts w:eastAsia="等线 Light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40keV-VP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eastAsia="等线 Light" w:cs="Calibri"/>
                <w:sz w:val="18"/>
                <w:szCs w:val="18"/>
                <w:vertAlign w:val="subscript"/>
              </w:rPr>
            </w:pPr>
            <w:r>
              <w:rPr>
                <w:rFonts w:eastAsia="等线 Light" w:cs="Calibri"/>
                <w:sz w:val="18"/>
                <w:szCs w:val="18"/>
              </w:rPr>
              <w:t>λHU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VP</w:t>
            </w:r>
          </w:p>
          <w:p>
            <w:pPr>
              <w:rPr>
                <w:rFonts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>CI-VP</w:t>
            </w:r>
            <w:r>
              <w:rPr>
                <w:rFonts w:eastAsia="等线 Light" w:cs="Calibri"/>
                <w:sz w:val="18"/>
                <w:szCs w:val="18"/>
                <w:lang w:val="en-IN"/>
              </w:rPr>
              <w:t xml:space="preserve"> </w:t>
            </w:r>
          </w:p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 Light" w:cs="Calibri"/>
                <w:sz w:val="18"/>
                <w:szCs w:val="18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>VNC-VP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2.40±0.34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0.43±0.07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8.55±0.15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241.81±30.09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-4.78±0.68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98.55±11.29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37.05±4.27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2.12±0.40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0.37±0.07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8.43±0.18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219.31±33.64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-4.23±0.79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92.79±10.78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38.62±6.41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2.632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2.744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2.647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1.811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-2.537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1.814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-0.972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b/>
                <w:bCs/>
                <w:sz w:val="18"/>
                <w:szCs w:val="18"/>
              </w:rPr>
            </w:pPr>
            <w:r>
              <w:rPr>
                <w:rFonts w:eastAsia="等线" w:cs="Calibri"/>
                <w:b/>
                <w:bCs/>
                <w:sz w:val="18"/>
                <w:szCs w:val="18"/>
              </w:rPr>
              <w:t>0.011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" w:cs="Calibri"/>
                <w:b/>
                <w:bCs/>
                <w:sz w:val="18"/>
                <w:szCs w:val="18"/>
              </w:rPr>
            </w:pPr>
            <w:r>
              <w:rPr>
                <w:rFonts w:eastAsia="等线" w:cs="Calibri"/>
                <w:b/>
                <w:bCs/>
                <w:sz w:val="18"/>
                <w:szCs w:val="18"/>
              </w:rPr>
              <w:t>0.009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b/>
                <w:bCs/>
                <w:sz w:val="18"/>
                <w:szCs w:val="18"/>
              </w:rPr>
              <w:t>0.011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0.077</w:t>
            </w:r>
          </w:p>
          <w:p>
            <w:pPr>
              <w:rPr>
                <w:rFonts w:eastAsia="等线" w:cs="Calibri"/>
                <w:b/>
                <w:bCs/>
                <w:sz w:val="18"/>
                <w:szCs w:val="18"/>
              </w:rPr>
            </w:pPr>
            <w:r>
              <w:rPr>
                <w:rFonts w:eastAsia="等线" w:cs="Calibri"/>
                <w:b/>
                <w:bCs/>
                <w:sz w:val="18"/>
                <w:szCs w:val="18"/>
              </w:rPr>
              <w:t>0.015</w:t>
            </w:r>
            <w:r>
              <w:rPr>
                <w:rFonts w:eastAsia="等线" w:cs="Calibr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＊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0.076</w:t>
            </w:r>
          </w:p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0.336</w:t>
            </w:r>
          </w:p>
        </w:tc>
      </w:tr>
    </w:tbl>
    <w:p>
      <w:pPr>
        <w:widowControl/>
        <w:jc w:val="left"/>
        <w:rPr>
          <w:rFonts w:cs="Calibri"/>
          <w:color w:val="000000"/>
          <w:kern w:val="0"/>
          <w:sz w:val="18"/>
          <w:szCs w:val="18"/>
        </w:rPr>
      </w:pPr>
      <w:r>
        <w:rPr>
          <w:rFonts w:eastAsia="CharisSIL" w:cs="Calibri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Values are expressed as mean </w:t>
      </w:r>
      <w:r>
        <w:rPr>
          <w:rFonts w:eastAsia="TeX_CM_Maths_Symbols" w:cs="Calibri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± </w:t>
      </w:r>
      <w:r>
        <w:rPr>
          <w:rFonts w:eastAsia="CharisSIL" w:cs="Calibri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standard deviation. *</w:t>
      </w:r>
      <w:r>
        <w:rPr>
          <w:rFonts w:eastAsia="CharisSIL" w:cs="Calibri"/>
          <w:color w:val="000000"/>
          <w:kern w:val="0"/>
          <w:sz w:val="18"/>
          <w:szCs w:val="18"/>
        </w:rPr>
        <w:t xml:space="preserve">Significant differences, p-values are bold. LVI: lymphovascular invasion; ID: iodine density; NID: </w:t>
      </w:r>
      <w:r>
        <w:rPr>
          <w:rFonts w:hint="default" w:ascii="Calibri" w:hAnsi="Calibri" w:cs="Calibri"/>
          <w:sz w:val="18"/>
          <w:szCs w:val="18"/>
        </w:rPr>
        <w:t>normalized iodine density</w:t>
      </w:r>
      <w:r>
        <w:rPr>
          <w:rFonts w:cs="Calibri"/>
          <w:sz w:val="18"/>
          <w:szCs w:val="18"/>
        </w:rPr>
        <w:t xml:space="preserve">; </w:t>
      </w:r>
      <w:r>
        <w:rPr>
          <w:rFonts w:eastAsia="等线 Light" w:cs="Calibri"/>
          <w:sz w:val="18"/>
          <w:szCs w:val="18"/>
        </w:rPr>
        <w:t xml:space="preserve">Eff-Z: </w:t>
      </w:r>
      <w:r>
        <w:rPr>
          <w:rFonts w:cs="Calibri"/>
          <w:sz w:val="18"/>
          <w:szCs w:val="18"/>
        </w:rPr>
        <w:t xml:space="preserve">effective atomic number; </w:t>
      </w:r>
      <w:r>
        <w:rPr>
          <w:rFonts w:eastAsia="等线 Light" w:cs="Calibri"/>
          <w:sz w:val="18"/>
          <w:szCs w:val="18"/>
        </w:rPr>
        <w:t xml:space="preserve">40keV: 40-keV </w:t>
      </w:r>
      <w:r>
        <w:rPr>
          <w:rFonts w:eastAsia="CharisSIL" w:cs="Calibri"/>
          <w:color w:val="000000"/>
          <w:kern w:val="0"/>
          <w:sz w:val="18"/>
          <w:szCs w:val="18"/>
        </w:rPr>
        <w:t xml:space="preserve">virtual monoenergetic image; </w:t>
      </w:r>
      <w:r>
        <w:rPr>
          <w:rFonts w:eastAsia="等线 Light" w:cs="Calibri"/>
          <w:sz w:val="18"/>
          <w:szCs w:val="18"/>
        </w:rPr>
        <w:t xml:space="preserve">λHU: </w:t>
      </w:r>
      <w:r>
        <w:rPr>
          <w:rFonts w:cs="Calibri"/>
          <w:sz w:val="18"/>
          <w:szCs w:val="18"/>
        </w:rPr>
        <w:t xml:space="preserve">slope of the spectral curve; CI: conventional image; VNC: virtual non-contrast image; AP: </w:t>
      </w:r>
      <w:r>
        <w:rPr>
          <w:rFonts w:eastAsia="CharisSIL" w:cs="Calibri"/>
          <w:color w:val="000000"/>
          <w:kern w:val="0"/>
          <w:sz w:val="18"/>
          <w:szCs w:val="18"/>
        </w:rPr>
        <w:t>arterial phase; VP: venous phase.</w:t>
      </w: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widowControl/>
        <w:jc w:val="left"/>
        <w:rPr>
          <w:rFonts w:cs="Calibri"/>
        </w:rPr>
      </w:pPr>
      <w:r>
        <w:rPr>
          <w:rFonts w:cs="Calibri"/>
        </w:rPr>
        <w:br w:type="page"/>
      </w:r>
    </w:p>
    <w:p>
      <w:pPr>
        <w:rPr>
          <w:rFonts w:cs="Calibri"/>
        </w:rPr>
      </w:pPr>
      <w:r>
        <w:rPr>
          <w:rFonts w:cs="Calibri"/>
        </w:rPr>
        <w:t>Table 5. Univariate and multivariate logistic regression analysis of factors related to lymphovascular invasion of colorectal cancer</w:t>
      </w:r>
    </w:p>
    <w:p>
      <w:pPr>
        <w:rPr>
          <w:rFonts w:cs="Calibri"/>
        </w:rPr>
      </w:pPr>
    </w:p>
    <w:tbl>
      <w:tblPr>
        <w:tblStyle w:val="3"/>
        <w:tblW w:w="8618" w:type="dxa"/>
        <w:tblInd w:w="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240"/>
        <w:gridCol w:w="531"/>
        <w:gridCol w:w="2072"/>
        <w:gridCol w:w="700"/>
        <w:gridCol w:w="721"/>
        <w:gridCol w:w="240"/>
        <w:gridCol w:w="417"/>
        <w:gridCol w:w="1972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Factors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</w:p>
        </w:tc>
        <w:tc>
          <w:tcPr>
            <w:tcW w:w="26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23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color w:val="000000"/>
                <w:sz w:val="18"/>
                <w:szCs w:val="18"/>
              </w:rPr>
              <w:t>Multivariate analysis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Β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</w:rPr>
              <w:t>OR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 xml:space="preserve"> (</w:t>
            </w:r>
            <w:r>
              <w:rPr>
                <w:rFonts w:eastAsia="等线" w:cs="Calibri"/>
                <w:sz w:val="18"/>
                <w:szCs w:val="18"/>
              </w:rPr>
              <w:t>95% CI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P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β</w:t>
            </w:r>
          </w:p>
        </w:tc>
        <w:tc>
          <w:tcPr>
            <w:tcW w:w="19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</w:rPr>
              <w:t>OR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 xml:space="preserve"> (</w:t>
            </w:r>
            <w:r>
              <w:rPr>
                <w:rFonts w:eastAsia="等线" w:cs="Calibri"/>
                <w:sz w:val="18"/>
                <w:szCs w:val="18"/>
              </w:rPr>
              <w:t>95% CI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CA125</w:t>
            </w:r>
          </w:p>
        </w:tc>
        <w:tc>
          <w:tcPr>
            <w:tcW w:w="77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0.089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1.093（1.003-1.191）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0.044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hint="default" w:eastAsia="等线" w:cs="Calibri"/>
                <w:strike/>
                <w:color w:val="4472C4"/>
                <w:sz w:val="18"/>
                <w:szCs w:val="18"/>
                <w:lang w:val="en-US" w:eastAsia="zh-CN"/>
              </w:rPr>
            </w:pPr>
            <w:r>
              <w:rPr>
                <w:rFonts w:hint="eastAsia" w:eastAsia="等线" w:cs="Calibri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Tdia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1.199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3.317（1.437-7.655）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0.005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1.516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3.552（1.002-20.275）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  <w:vertAlign w:val="subscript"/>
              </w:rPr>
            </w:pPr>
            <w:r>
              <w:rPr>
                <w:rFonts w:eastAsia="等线" w:cs="Calibri"/>
                <w:sz w:val="18"/>
                <w:szCs w:val="18"/>
              </w:rPr>
              <w:t>ID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AP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1.921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6.829（1.360-34.297）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NID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AP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0.423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1.226（1.071-2.176）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0.009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0.868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1.459（1.103-2.122）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Eff-Z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AP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4.226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68.464（1.978-236.892）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hint="eastAsia" w:eastAsia="等线 Light" w:cs="Calibri"/>
                <w:sz w:val="18"/>
                <w:szCs w:val="18"/>
                <w:lang w:val="en-US" w:eastAsia="zh-CN"/>
              </w:rPr>
              <w:t>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40keV-AP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0.022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1.022（1.003-1.042）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hint="eastAsia" w:eastAsia="等线 Light" w:cs="Calibri"/>
                <w:sz w:val="18"/>
                <w:szCs w:val="18"/>
                <w:lang w:val="en-US" w:eastAsia="zh-CN"/>
              </w:rPr>
              <w:t>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CI-AP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0.045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1.046（0.996-1.099）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0.070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λHU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AP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-0.968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0.380（0.169-0.854）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ID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VP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2.426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11.316（1.741-73.548）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Eff-Z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VP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1.635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0.050（1.000-26.333）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hint="eastAsia" w:eastAsia="等线 Light" w:cs="Calibri"/>
                <w:sz w:val="18"/>
                <w:szCs w:val="18"/>
                <w:lang w:val="en-US" w:eastAsia="zh-CN"/>
              </w:rPr>
              <w:t>HU</w:t>
            </w:r>
            <w:r>
              <w:rPr>
                <w:rFonts w:eastAsia="等线 Light" w:cs="Calibri"/>
                <w:sz w:val="18"/>
                <w:szCs w:val="18"/>
                <w:vertAlign w:val="subscript"/>
              </w:rPr>
              <w:t>40keV-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VP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0.027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1.027（1.006-1.050）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λHU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 xml:space="preserve"> VP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-1.155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0.315（0.125-0.792）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</w:tbl>
    <w:p>
      <w:pPr>
        <w:rPr>
          <w:rFonts w:cs="Calibri"/>
        </w:rPr>
      </w:pPr>
      <w:r>
        <w:rPr>
          <w:rFonts w:cs="Calibri"/>
        </w:rPr>
        <w:t>OR, odds ratio; CI, confidence interval;</w:t>
      </w:r>
      <w:r>
        <w:rPr>
          <w:rFonts w:cs="Calibri"/>
          <w:sz w:val="18"/>
          <w:szCs w:val="18"/>
        </w:rPr>
        <w:t xml:space="preserve"> </w:t>
      </w:r>
      <w:r>
        <w:rPr>
          <w:rFonts w:cs="Calibri"/>
        </w:rPr>
        <w:t>CA125: carbohydrate antigen 125</w:t>
      </w:r>
      <w:r>
        <w:rPr>
          <w:rFonts w:cs="Calibri"/>
          <w:lang w:val="en-IN"/>
        </w:rPr>
        <w:t xml:space="preserve">; </w:t>
      </w:r>
      <w:r>
        <w:rPr>
          <w:rFonts w:hint="eastAsia" w:cs="Calibri"/>
          <w:lang w:val="en-US" w:eastAsia="zh-CN"/>
        </w:rPr>
        <w:t>Tdia</w:t>
      </w:r>
      <w:r>
        <w:rPr>
          <w:rFonts w:cs="Calibri"/>
        </w:rPr>
        <w:t xml:space="preserve">: tumor maximum diameter; ID: iodine density; NID: </w:t>
      </w:r>
      <w:r>
        <w:rPr>
          <w:rFonts w:hint="default" w:ascii="Calibri" w:hAnsi="Calibri" w:cs="Calibri"/>
          <w:sz w:val="21"/>
          <w:szCs w:val="21"/>
        </w:rPr>
        <w:t>normalized iodine density</w:t>
      </w:r>
      <w:r>
        <w:rPr>
          <w:rFonts w:cs="Calibri"/>
        </w:rPr>
        <w:t>; Eff-Z: effective atomic number; 40keV: 40-keV virtual monoenergetic image; CI: conventional image; AP: arterial phase; VP: venous phase.</w:t>
      </w:r>
    </w:p>
    <w:p>
      <w:pPr>
        <w:rPr>
          <w:rFonts w:cs="Calibri"/>
        </w:rPr>
      </w:pPr>
      <w:r>
        <w:rPr>
          <w:rFonts w:cs="Calibri"/>
        </w:rPr>
        <w:t xml:space="preserve"> </w:t>
      </w: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widowControl/>
        <w:jc w:val="left"/>
        <w:rPr>
          <w:rFonts w:cs="Calibri"/>
        </w:rPr>
      </w:pPr>
      <w:r>
        <w:rPr>
          <w:rFonts w:cs="Calibri"/>
        </w:rPr>
        <w:br w:type="page"/>
      </w:r>
    </w:p>
    <w:p>
      <w:pPr>
        <w:rPr>
          <w:rFonts w:cs="Calibri"/>
        </w:rPr>
      </w:pPr>
      <w:r>
        <w:rPr>
          <w:rFonts w:cs="Calibri"/>
        </w:rPr>
        <w:t>Table 6. Univariate and multivariate logistic regression analysis of factors related to perineural invasion of colorectal cancer.</w:t>
      </w:r>
    </w:p>
    <w:p>
      <w:pPr>
        <w:rPr>
          <w:rFonts w:cs="Calibri"/>
        </w:rPr>
      </w:pPr>
    </w:p>
    <w:tbl>
      <w:tblPr>
        <w:tblStyle w:val="3"/>
        <w:tblW w:w="8546" w:type="dxa"/>
        <w:tblInd w:w="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240"/>
        <w:gridCol w:w="564"/>
        <w:gridCol w:w="2096"/>
        <w:gridCol w:w="727"/>
        <w:gridCol w:w="711"/>
        <w:gridCol w:w="240"/>
        <w:gridCol w:w="459"/>
        <w:gridCol w:w="1915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Factors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2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sz w:val="18"/>
                <w:szCs w:val="18"/>
              </w:rPr>
            </w:pPr>
            <w:r>
              <w:rPr>
                <w:rFonts w:eastAsia="等线 Light" w:cs="Calibri"/>
                <w:color w:val="000000"/>
                <w:sz w:val="18"/>
                <w:szCs w:val="18"/>
              </w:rPr>
              <w:t>Multivariate analysis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single" w:color="auto" w:sz="2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8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β</w:t>
            </w:r>
          </w:p>
        </w:tc>
        <w:tc>
          <w:tcPr>
            <w:tcW w:w="21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</w:rPr>
              <w:t>OR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 xml:space="preserve"> (</w:t>
            </w:r>
            <w:r>
              <w:rPr>
                <w:rFonts w:eastAsia="等线" w:cs="Calibri"/>
                <w:sz w:val="18"/>
                <w:szCs w:val="18"/>
              </w:rPr>
              <w:t>95% CI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P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β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  <w:lang w:val="en-IN"/>
              </w:rPr>
            </w:pPr>
            <w:r>
              <w:rPr>
                <w:rFonts w:eastAsia="等线" w:cs="Calibri"/>
                <w:sz w:val="18"/>
                <w:szCs w:val="18"/>
              </w:rPr>
              <w:t>OR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 xml:space="preserve"> (</w:t>
            </w:r>
            <w:r>
              <w:rPr>
                <w:rFonts w:eastAsia="等线" w:cs="Calibri"/>
                <w:sz w:val="18"/>
                <w:szCs w:val="18"/>
              </w:rPr>
              <w:t>95% CI</w:t>
            </w:r>
            <w:r>
              <w:rPr>
                <w:rFonts w:eastAsia="等线" w:cs="Calibri"/>
                <w:sz w:val="18"/>
                <w:szCs w:val="18"/>
                <w:lang w:val="en-IN"/>
              </w:rPr>
              <w:t>)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Age</w:t>
            </w:r>
          </w:p>
        </w:tc>
        <w:tc>
          <w:tcPr>
            <w:tcW w:w="80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-0.060</w:t>
            </w:r>
          </w:p>
        </w:tc>
        <w:tc>
          <w:tcPr>
            <w:tcW w:w="21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0.033（0.891-0.995）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0.033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CA19-9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0.145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1.156（1.024-1.305）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0.009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0.213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1.237（1.008-1.518）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hint="default" w:eastAsia="等线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eastAsia="等线" w:cs="Calibri"/>
                <w:sz w:val="18"/>
                <w:szCs w:val="18"/>
                <w:lang w:val="en-US" w:eastAsia="zh-CN"/>
              </w:rPr>
              <w:t>Tdia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1.390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4.016（1.522-10.600）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0.005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1.459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4.300（1.016-18.196）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hint="default" w:eastAsia="等线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eastAsia="等线" w:cs="Calibri"/>
                <w:sz w:val="18"/>
                <w:szCs w:val="18"/>
                <w:lang w:val="en-US" w:eastAsia="zh-CN"/>
              </w:rPr>
              <w:t>Tare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0.318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1.375（1.034-1.845）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0.034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  <w:vertAlign w:val="subscript"/>
              </w:rPr>
            </w:pPr>
            <w:r>
              <w:rPr>
                <w:rFonts w:eastAsia="等线" w:cs="Calibri"/>
                <w:sz w:val="18"/>
                <w:szCs w:val="18"/>
              </w:rPr>
              <w:t>ID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vp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2.039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7.680（1.439-40.992）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NID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vp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2.104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8.198（2.215-30.337）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0.002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2.394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10.953（1.274-94.177）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  <w:vertAlign w:val="subscript"/>
              </w:rPr>
            </w:pPr>
            <w:r>
              <w:rPr>
                <w:rFonts w:eastAsia="等线" w:cs="Calibri"/>
                <w:sz w:val="18"/>
                <w:szCs w:val="18"/>
              </w:rPr>
              <w:t>Eff-Z</w:t>
            </w:r>
            <w:r>
              <w:rPr>
                <w:rFonts w:eastAsia="等线" w:cs="Calibri"/>
                <w:sz w:val="18"/>
                <w:szCs w:val="18"/>
                <w:vertAlign w:val="subscript"/>
              </w:rPr>
              <w:t>VP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4.597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8.812（2.310-42.514）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0.017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  <w:lang w:val="en-US" w:eastAsia="zh-CN"/>
              </w:rPr>
              <w:t>HU</w:t>
            </w:r>
            <w:r>
              <w:rPr>
                <w:rFonts w:cs="Calibri"/>
                <w:sz w:val="18"/>
                <w:szCs w:val="18"/>
                <w:vertAlign w:val="subscript"/>
              </w:rPr>
              <w:t>40keV-VP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0.022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1.022（1.003-1.042）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λHU</w:t>
            </w:r>
            <w:r>
              <w:rPr>
                <w:rFonts w:cs="Calibri"/>
                <w:sz w:val="18"/>
                <w:szCs w:val="18"/>
                <w:vertAlign w:val="subscript"/>
              </w:rPr>
              <w:t>VP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-0.987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0.373（0.162-0.859）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  <w:r>
              <w:rPr>
                <w:rFonts w:eastAsia="等线" w:cs="Calibri"/>
                <w:sz w:val="18"/>
                <w:szCs w:val="18"/>
              </w:rPr>
              <w:t>0.020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 w:cs="Calibri"/>
                <w:sz w:val="18"/>
                <w:szCs w:val="18"/>
              </w:rPr>
            </w:pPr>
          </w:p>
        </w:tc>
      </w:tr>
    </w:tbl>
    <w:p>
      <w:pPr>
        <w:rPr>
          <w:rFonts w:cs="Calibri"/>
          <w:color w:val="000000"/>
          <w:kern w:val="0"/>
          <w:sz w:val="18"/>
          <w:szCs w:val="18"/>
        </w:rPr>
      </w:pPr>
      <w:r>
        <w:rPr>
          <w:rFonts w:cs="Calibri"/>
          <w:sz w:val="18"/>
          <w:szCs w:val="18"/>
        </w:rPr>
        <w:t xml:space="preserve">OR: odds ratio; CI, confidence interval; </w:t>
      </w:r>
      <w:r>
        <w:rPr>
          <w:rFonts w:cs="Calibri"/>
          <w:color w:val="212121"/>
          <w:sz w:val="18"/>
          <w:szCs w:val="18"/>
          <w:shd w:val="clear" w:color="auto" w:fill="FFFFFF"/>
        </w:rPr>
        <w:t xml:space="preserve">CA19-9: </w:t>
      </w:r>
      <w:r>
        <w:rPr>
          <w:rFonts w:eastAsia="Segoe UI" w:cs="Calibri"/>
          <w:color w:val="212121"/>
          <w:sz w:val="18"/>
          <w:szCs w:val="18"/>
          <w:shd w:val="clear" w:color="auto" w:fill="FFFFFF"/>
        </w:rPr>
        <w:t>cancer antigen 19-9</w:t>
      </w:r>
      <w:r>
        <w:rPr>
          <w:rFonts w:cs="Calibri"/>
          <w:color w:val="212121"/>
          <w:sz w:val="18"/>
          <w:szCs w:val="18"/>
          <w:shd w:val="clear" w:color="auto" w:fill="FFFFFF"/>
        </w:rPr>
        <w:t xml:space="preserve">; </w:t>
      </w:r>
      <w:r>
        <w:rPr>
          <w:rFonts w:hint="eastAsia" w:eastAsia="等线" w:cs="Calibri"/>
          <w:sz w:val="18"/>
          <w:szCs w:val="18"/>
          <w:lang w:val="en-US" w:eastAsia="zh-CN"/>
        </w:rPr>
        <w:t>Tdia</w:t>
      </w:r>
      <w:r>
        <w:rPr>
          <w:rFonts w:cs="Calibri"/>
          <w:sz w:val="18"/>
          <w:szCs w:val="18"/>
        </w:rPr>
        <w:t xml:space="preserve">: tumor maximum diameter; </w:t>
      </w:r>
      <w:r>
        <w:rPr>
          <w:rFonts w:hint="eastAsia" w:eastAsia="等线" w:cs="Calibri"/>
          <w:sz w:val="18"/>
          <w:szCs w:val="18"/>
          <w:lang w:val="en-US" w:eastAsia="zh-CN"/>
        </w:rPr>
        <w:t>Tare</w:t>
      </w:r>
      <w:r>
        <w:rPr>
          <w:rFonts w:cs="Calibri"/>
          <w:sz w:val="18"/>
          <w:szCs w:val="18"/>
        </w:rPr>
        <w:t xml:space="preserve">: </w:t>
      </w:r>
      <w:r>
        <w:rPr>
          <w:rFonts w:cs="Calibri"/>
          <w:sz w:val="18"/>
          <w:szCs w:val="18"/>
          <w:shd w:val="clear" w:color="auto" w:fill="FFFFFF"/>
        </w:rPr>
        <w:t xml:space="preserve">tumor maximum cross-sectional area; </w:t>
      </w:r>
      <w:r>
        <w:rPr>
          <w:rFonts w:eastAsia="CharisSIL" w:cs="Calibri"/>
          <w:color w:val="000000"/>
          <w:kern w:val="0"/>
          <w:sz w:val="18"/>
          <w:szCs w:val="18"/>
        </w:rPr>
        <w:t xml:space="preserve">ID: iodine density; NID: </w:t>
      </w:r>
      <w:r>
        <w:rPr>
          <w:rFonts w:hint="default" w:ascii="Calibri" w:hAnsi="Calibri" w:cs="Calibri"/>
          <w:sz w:val="18"/>
          <w:szCs w:val="18"/>
        </w:rPr>
        <w:t>normalized iodine density</w:t>
      </w:r>
      <w:r>
        <w:rPr>
          <w:rFonts w:cs="Calibri"/>
          <w:sz w:val="18"/>
          <w:szCs w:val="18"/>
        </w:rPr>
        <w:t xml:space="preserve">; </w:t>
      </w:r>
      <w:r>
        <w:rPr>
          <w:rFonts w:eastAsia="等线 Light" w:cs="Calibri"/>
          <w:sz w:val="18"/>
          <w:szCs w:val="18"/>
        </w:rPr>
        <w:t xml:space="preserve">Eff-Z: </w:t>
      </w:r>
      <w:r>
        <w:rPr>
          <w:rFonts w:cs="Calibri"/>
          <w:sz w:val="18"/>
          <w:szCs w:val="18"/>
        </w:rPr>
        <w:t xml:space="preserve">effective atomic number; </w:t>
      </w:r>
      <w:r>
        <w:rPr>
          <w:rFonts w:eastAsia="等线 Light" w:cs="Calibri"/>
          <w:sz w:val="18"/>
          <w:szCs w:val="18"/>
        </w:rPr>
        <w:t xml:space="preserve">40keV: 40-keV </w:t>
      </w:r>
      <w:r>
        <w:rPr>
          <w:rFonts w:eastAsia="CharisSIL" w:cs="Calibri"/>
          <w:color w:val="000000"/>
          <w:kern w:val="0"/>
          <w:sz w:val="18"/>
          <w:szCs w:val="18"/>
        </w:rPr>
        <w:t xml:space="preserve">virtual monoenergetic image; </w:t>
      </w:r>
      <w:r>
        <w:rPr>
          <w:rFonts w:eastAsia="等线 Light" w:cs="Calibri"/>
          <w:sz w:val="18"/>
          <w:szCs w:val="18"/>
        </w:rPr>
        <w:t xml:space="preserve">λHU: </w:t>
      </w:r>
      <w:r>
        <w:rPr>
          <w:rFonts w:cs="Calibri"/>
          <w:sz w:val="18"/>
          <w:szCs w:val="18"/>
        </w:rPr>
        <w:t xml:space="preserve">slope of the spectral curve; VNC: virtual non-contrast image; </w:t>
      </w:r>
      <w:r>
        <w:rPr>
          <w:rFonts w:eastAsia="CharisSIL" w:cs="Calibri"/>
          <w:color w:val="000000"/>
          <w:kern w:val="0"/>
          <w:sz w:val="18"/>
          <w:szCs w:val="18"/>
        </w:rPr>
        <w:t>VP: venous phase.</w:t>
      </w: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widowControl/>
        <w:jc w:val="left"/>
        <w:rPr>
          <w:rFonts w:cs="Calibri"/>
        </w:rPr>
      </w:pPr>
      <w:r>
        <w:rPr>
          <w:rFonts w:cs="Calibri"/>
        </w:rPr>
        <w:br w:type="page"/>
      </w:r>
    </w:p>
    <w:p>
      <w:pPr>
        <w:rPr>
          <w:rFonts w:cs="Calibri"/>
        </w:rPr>
      </w:pPr>
      <w:r>
        <w:rPr>
          <w:rFonts w:cs="Calibri"/>
        </w:rPr>
        <w:t xml:space="preserve">Table 7. Receiver operating characteristic analysis of several models for predicting </w:t>
      </w:r>
      <w:r>
        <w:rPr>
          <w:rFonts w:hint="eastAsia" w:cs="Calibri"/>
          <w:lang w:val="en-US" w:eastAsia="zh-CN"/>
        </w:rPr>
        <w:t>LVI</w:t>
      </w:r>
      <w:r>
        <w:rPr>
          <w:rFonts w:cs="Calibri"/>
        </w:rPr>
        <w:t xml:space="preserve"> status in patients with colorectal cancer</w:t>
      </w:r>
    </w:p>
    <w:p>
      <w:pPr>
        <w:rPr>
          <w:rFonts w:cs="Calibri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Performance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hint="default" w:eastAsia="等线 Light" w:cs="Calibri"/>
                <w:lang w:val="en-US" w:eastAsia="zh-CN"/>
              </w:rPr>
            </w:pPr>
            <w:r>
              <w:rPr>
                <w:rFonts w:hint="eastAsia" w:eastAsia="等线 Light" w:cs="Calibri"/>
                <w:lang w:val="en-US" w:eastAsia="zh-CN"/>
              </w:rPr>
              <w:t>Tdia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NID</w:t>
            </w:r>
            <w:r>
              <w:rPr>
                <w:rFonts w:eastAsia="等线 Light" w:cs="Calibri"/>
                <w:vertAlign w:val="subscript"/>
              </w:rPr>
              <w:t>AP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Combined model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AUC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0.795（0.657-0.896）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0.776（0.636-0.882）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0.899（0.781，0.966）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Cut-off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3.82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0.191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  <w:color w:val="000000"/>
              </w:rPr>
              <w:t>Sensitivity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66.7%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73.3%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93.3%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  <w:color w:val="000000"/>
              </w:rPr>
              <w:t>Specificity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91.4%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82.9%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82.9%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color w:val="000000"/>
              </w:rPr>
            </w:pPr>
            <w:r>
              <w:rPr>
                <w:rFonts w:eastAsia="等线 Light" w:cs="Calibri"/>
                <w:color w:val="000000"/>
              </w:rPr>
              <w:t>Accuracy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76%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68%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80%</w:t>
            </w:r>
          </w:p>
        </w:tc>
      </w:tr>
    </w:tbl>
    <w:p>
      <w:pPr>
        <w:rPr>
          <w:rFonts w:cs="Calibri"/>
        </w:rPr>
      </w:pPr>
      <w:r>
        <w:rPr>
          <w:rFonts w:hint="eastAsia" w:cs="Calibri"/>
          <w:lang w:val="en-US" w:eastAsia="zh-CN"/>
        </w:rPr>
        <w:t xml:space="preserve">LVI: </w:t>
      </w:r>
      <w:r>
        <w:rPr>
          <w:rFonts w:cs="Calibri"/>
        </w:rPr>
        <w:t>lymphovascular invasion</w:t>
      </w:r>
      <w:r>
        <w:rPr>
          <w:rFonts w:hint="eastAsia" w:cs="Calibri"/>
          <w:lang w:val="en-US" w:eastAsia="zh-CN"/>
        </w:rPr>
        <w:t>; Tdia</w:t>
      </w:r>
      <w:r>
        <w:rPr>
          <w:rFonts w:cs="Calibri"/>
        </w:rPr>
        <w:t xml:space="preserve">: tumor maximum diameter; NID: </w:t>
      </w:r>
      <w:r>
        <w:rPr>
          <w:rFonts w:hint="default" w:ascii="Calibri" w:hAnsi="Calibri" w:cs="Calibri"/>
        </w:rPr>
        <w:t>normalized iodine density</w:t>
      </w:r>
      <w:r>
        <w:rPr>
          <w:rFonts w:cs="Calibri"/>
        </w:rPr>
        <w:t>; AP: arterial phase; AUC: area under the curve.</w:t>
      </w:r>
    </w:p>
    <w:p>
      <w:pPr>
        <w:widowControl/>
        <w:jc w:val="left"/>
        <w:rPr>
          <w:rFonts w:cs="Calibri"/>
        </w:rPr>
      </w:pPr>
      <w:r>
        <w:rPr>
          <w:rFonts w:cs="Calibri"/>
        </w:rPr>
        <w:br w:type="page"/>
      </w:r>
    </w:p>
    <w:p>
      <w:pPr>
        <w:rPr>
          <w:rFonts w:cs="Calibri"/>
        </w:rPr>
      </w:pPr>
      <w:r>
        <w:rPr>
          <w:rFonts w:cs="Calibri"/>
        </w:rPr>
        <w:t xml:space="preserve">Table 8. Receiver operating characteristic analysis of several models for predicting </w:t>
      </w:r>
      <w:r>
        <w:rPr>
          <w:rFonts w:hint="eastAsia" w:cs="Calibri"/>
          <w:lang w:val="en-US" w:eastAsia="zh-CN"/>
        </w:rPr>
        <w:t>PNI</w:t>
      </w:r>
      <w:r>
        <w:rPr>
          <w:rFonts w:cs="Calibri"/>
        </w:rPr>
        <w:t xml:space="preserve"> status in patients with colorectal cancer.</w:t>
      </w:r>
    </w:p>
    <w:p>
      <w:pPr>
        <w:rPr>
          <w:rFonts w:cs="Calibri"/>
        </w:rPr>
      </w:pPr>
    </w:p>
    <w:tbl>
      <w:tblPr>
        <w:tblStyle w:val="3"/>
        <w:tblW w:w="9224" w:type="dxa"/>
        <w:jc w:val="center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946"/>
        <w:gridCol w:w="1955"/>
        <w:gridCol w:w="1981"/>
        <w:gridCol w:w="1942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Performance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hint="default" w:eastAsia="等线 Light" w:cs="Calibri"/>
                <w:lang w:val="en-US" w:eastAsia="zh-CN"/>
              </w:rPr>
            </w:pPr>
            <w:r>
              <w:rPr>
                <w:rFonts w:hint="eastAsia" w:eastAsia="等线 Light" w:cs="Calibri"/>
                <w:lang w:val="en-US" w:eastAsia="zh-CN"/>
              </w:rPr>
              <w:t>Tdia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CA19-9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NID</w:t>
            </w:r>
            <w:r>
              <w:rPr>
                <w:rFonts w:eastAsia="等线 Light" w:cs="Calibri"/>
                <w:vertAlign w:val="subscript"/>
              </w:rPr>
              <w:t>AP</w:t>
            </w:r>
          </w:p>
        </w:tc>
        <w:tc>
          <w:tcPr>
            <w:tcW w:w="19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Combined model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AUC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lang w:val="en-IN"/>
              </w:rPr>
            </w:pPr>
            <w:r>
              <w:rPr>
                <w:rFonts w:eastAsia="等线 Light" w:cs="Calibri"/>
              </w:rPr>
              <w:t>0.804</w:t>
            </w:r>
            <w:r>
              <w:rPr>
                <w:rFonts w:eastAsia="等线 Light" w:cs="Calibri"/>
                <w:lang w:val="en-IN"/>
              </w:rPr>
              <w:t xml:space="preserve"> (</w:t>
            </w:r>
            <w:r>
              <w:rPr>
                <w:rFonts w:eastAsia="等线 Light" w:cs="Calibri"/>
              </w:rPr>
              <w:t>0.666-0.904</w:t>
            </w:r>
            <w:r>
              <w:rPr>
                <w:rFonts w:eastAsia="等线 Light" w:cs="Calibri"/>
                <w:lang w:val="en-IN"/>
              </w:rPr>
              <w:t>)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lang w:val="en-IN"/>
              </w:rPr>
            </w:pPr>
            <w:r>
              <w:rPr>
                <w:rFonts w:eastAsia="等线 Light" w:cs="Calibri"/>
              </w:rPr>
              <w:t>0.701</w:t>
            </w:r>
            <w:r>
              <w:rPr>
                <w:rFonts w:eastAsia="等线 Light" w:cs="Calibri"/>
                <w:lang w:val="en-IN"/>
              </w:rPr>
              <w:t xml:space="preserve"> (</w:t>
            </w:r>
            <w:r>
              <w:rPr>
                <w:rFonts w:eastAsia="等线 Light" w:cs="Calibri"/>
              </w:rPr>
              <w:t>0.553-0.823</w:t>
            </w:r>
            <w:r>
              <w:rPr>
                <w:rFonts w:eastAsia="等线 Light" w:cs="Calibri"/>
                <w:lang w:val="en-IN"/>
              </w:rPr>
              <w:t>)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lang w:val="en-IN"/>
              </w:rPr>
            </w:pPr>
            <w:r>
              <w:rPr>
                <w:rFonts w:eastAsia="等线 Light" w:cs="Calibri"/>
              </w:rPr>
              <w:t>0.735</w:t>
            </w:r>
            <w:r>
              <w:rPr>
                <w:rFonts w:eastAsia="等线 Light" w:cs="Calibri"/>
                <w:lang w:val="en-IN"/>
              </w:rPr>
              <w:t xml:space="preserve"> (</w:t>
            </w:r>
            <w:r>
              <w:rPr>
                <w:rFonts w:eastAsia="等线 Light" w:cs="Calibri"/>
              </w:rPr>
              <w:t>0.589-0.851</w:t>
            </w:r>
            <w:r>
              <w:rPr>
                <w:rFonts w:eastAsia="等线 Light" w:cs="Calibri"/>
                <w:lang w:val="en-IN"/>
              </w:rPr>
              <w:t>)</w:t>
            </w:r>
          </w:p>
        </w:tc>
        <w:tc>
          <w:tcPr>
            <w:tcW w:w="19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lang w:val="en-IN"/>
              </w:rPr>
            </w:pPr>
            <w:r>
              <w:rPr>
                <w:rFonts w:eastAsia="等线 Light" w:cs="Calibri"/>
              </w:rPr>
              <w:t>0.871</w:t>
            </w:r>
            <w:r>
              <w:rPr>
                <w:rFonts w:eastAsia="等线 Light" w:cs="Calibri"/>
                <w:lang w:val="en-IN"/>
              </w:rPr>
              <w:t xml:space="preserve"> (</w:t>
            </w:r>
            <w:r>
              <w:rPr>
                <w:rFonts w:eastAsia="等线 Light" w:cs="Calibri"/>
              </w:rPr>
              <w:t>0.771-0.971</w:t>
            </w:r>
            <w:r>
              <w:rPr>
                <w:rFonts w:eastAsia="等线 Light" w:cs="Calibri"/>
                <w:lang w:val="en-IN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Cut-off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3.685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17.45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" w:cs="Calibri"/>
              </w:rPr>
              <w:t>0.355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</w:tblPrEx>
        <w:trPr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  <w:color w:val="000000"/>
              </w:rPr>
              <w:t>Sensitivity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62.9%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52.4%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94.7%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66.7%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  <w:color w:val="000000"/>
              </w:rPr>
              <w:t>Specificity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92.9%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89.3%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48.3%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92.9%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  <w:color w:val="000000"/>
              </w:rPr>
            </w:pPr>
            <w:r>
              <w:rPr>
                <w:rFonts w:eastAsia="等线 Light" w:cs="Calibri"/>
                <w:color w:val="000000"/>
              </w:rPr>
              <w:t>Accuracy</w:t>
            </w:r>
          </w:p>
        </w:tc>
        <w:tc>
          <w:tcPr>
            <w:tcW w:w="19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75.5%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71.4%</w:t>
            </w:r>
          </w:p>
        </w:tc>
        <w:tc>
          <w:tcPr>
            <w:tcW w:w="1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61.2%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 Light" w:cs="Calibri"/>
              </w:rPr>
            </w:pPr>
            <w:r>
              <w:rPr>
                <w:rFonts w:eastAsia="等线 Light" w:cs="Calibri"/>
              </w:rPr>
              <w:t>77.6%</w:t>
            </w:r>
          </w:p>
        </w:tc>
      </w:tr>
    </w:tbl>
    <w:p>
      <w:pPr>
        <w:rPr>
          <w:rFonts w:cs="Calibri"/>
        </w:rPr>
      </w:pPr>
      <w:r>
        <w:rPr>
          <w:rFonts w:hint="eastAsia" w:cs="Calibri"/>
          <w:lang w:val="en-US" w:eastAsia="zh-CN"/>
        </w:rPr>
        <w:t>PNI:</w:t>
      </w:r>
      <w:r>
        <w:rPr>
          <w:rFonts w:cs="Calibri"/>
        </w:rPr>
        <w:t>perineural invasion</w:t>
      </w:r>
      <w:r>
        <w:rPr>
          <w:rFonts w:hint="eastAsia" w:cs="Calibri"/>
          <w:lang w:val="en-US" w:eastAsia="zh-CN"/>
        </w:rPr>
        <w:t xml:space="preserve">; </w:t>
      </w:r>
      <w:r>
        <w:rPr>
          <w:rFonts w:cs="Calibri"/>
        </w:rPr>
        <w:t xml:space="preserve">MTD: maximum tumor diameter; CA19-9: cancer antigen 19-9; NID: </w:t>
      </w:r>
      <w:r>
        <w:rPr>
          <w:rFonts w:hint="default" w:ascii="Calibri" w:hAnsi="Calibri" w:cs="Calibri"/>
        </w:rPr>
        <w:t>normalized iodine density</w:t>
      </w:r>
      <w:r>
        <w:rPr>
          <w:rFonts w:cs="Calibri"/>
        </w:rPr>
        <w:t>; AP: arterial phase; AUC: area under the curve.</w:t>
      </w:r>
    </w:p>
    <w:p>
      <w:pPr>
        <w:rPr>
          <w:rFonts w:cs="Calibri"/>
        </w:rPr>
      </w:pPr>
    </w:p>
    <w:p>
      <w:pPr>
        <w:rPr>
          <w:rFonts w:cs="Calibri"/>
        </w:rPr>
      </w:pPr>
    </w:p>
    <w:p>
      <w:pPr>
        <w:widowControl/>
        <w:jc w:val="left"/>
        <w:rPr>
          <w:rFonts w:cs="Calibri"/>
        </w:rPr>
      </w:pPr>
      <w:r>
        <w:rPr>
          <w:rFonts w:cs="Calibri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harisSI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eX_CM_Maths_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YzYzNTg4YTg5ZGJmOWZhNjZlMmUxY2YzNjFmZGMifQ=="/>
  </w:docVars>
  <w:rsids>
    <w:rsidRoot w:val="463A4E3E"/>
    <w:rsid w:val="463A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cs="Times New Roman" w:eastAsiaTheme="minorEastAsia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2024-04-06T12:21:00Z</dcterms:created>
  <dc:creator>未己</dc:creator>
  <cp:lastModifiedBy>未己</cp:lastModifiedBy>
  <dcterms:modified xsi:type="dcterms:W3CDTF">2024-04-06T12:24:02Z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454FDDFA61D849DD90FA10B2013A9D35_11</vt:lpwstr>
  </property>
</Properties>
</file>