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751A2A" w14:textId="77777777" w:rsidR="000A6915" w:rsidRPr="000A6915" w:rsidRDefault="000A6915" w:rsidP="000A6915">
      <w:r w:rsidRPr="000A6915">
        <w:t>Appendix C:  Explanations and support for pathways in linear model of the problem</w:t>
      </w:r>
      <w:r w:rsidR="00660AAE">
        <w:t xml:space="preserve"> drawn from literature and interviews/focus groups.</w:t>
      </w:r>
    </w:p>
    <w:p w14:paraId="2B799BAB" w14:textId="77777777" w:rsidR="000A6915" w:rsidRPr="000A6915" w:rsidRDefault="000A6915" w:rsidP="000A6915"/>
    <w:p w14:paraId="00000002" w14:textId="66CC4F73" w:rsidR="00175CD4" w:rsidRPr="001E5258" w:rsidRDefault="00000000" w:rsidP="001E5258">
      <w:pPr>
        <w:numPr>
          <w:ilvl w:val="0"/>
          <w:numId w:val="1"/>
        </w:numPr>
        <w:ind w:left="0"/>
      </w:pPr>
      <w:r w:rsidRPr="001E5258">
        <w:rPr>
          <w:color w:val="0E101A"/>
        </w:rPr>
        <w:t>Lack of sustainable funding often results in constraints on medical resources for providers to utilize in their patient interactions. Often the quality of patient care is compromised due to financial constraints</w:t>
      </w:r>
      <w:r w:rsidR="00473734">
        <w:rPr>
          <w:color w:val="0E101A"/>
        </w:rPr>
        <w:t>.</w:t>
      </w:r>
      <w:r w:rsidR="00473734">
        <w:rPr>
          <w:color w:val="0E101A"/>
          <w:vertAlign w:val="superscript"/>
        </w:rPr>
        <w:t>1</w:t>
      </w:r>
    </w:p>
    <w:p w14:paraId="00000003" w14:textId="2FC49DD4" w:rsidR="00175CD4" w:rsidRPr="001E5258" w:rsidRDefault="00000000" w:rsidP="001E5258">
      <w:pPr>
        <w:numPr>
          <w:ilvl w:val="0"/>
          <w:numId w:val="1"/>
        </w:numPr>
        <w:ind w:left="0"/>
      </w:pPr>
      <w:r w:rsidRPr="001E5258">
        <w:rPr>
          <w:color w:val="0E101A"/>
        </w:rPr>
        <w:t xml:space="preserve">Institutions experiencing high provider turnover </w:t>
      </w:r>
      <w:r w:rsidR="001E5258">
        <w:rPr>
          <w:color w:val="0E101A"/>
        </w:rPr>
        <w:t xml:space="preserve">often end up with </w:t>
      </w:r>
      <w:r w:rsidRPr="001E5258">
        <w:rPr>
          <w:color w:val="0E101A"/>
        </w:rPr>
        <w:t>high caseloads for remaining providers. This results in more strain on providers</w:t>
      </w:r>
      <w:r w:rsidR="00473734">
        <w:rPr>
          <w:color w:val="0E101A"/>
          <w:vertAlign w:val="superscript"/>
        </w:rPr>
        <w:t>2</w:t>
      </w:r>
      <w:r w:rsidRPr="001E5258">
        <w:rPr>
          <w:color w:val="0E101A"/>
        </w:rPr>
        <w:t xml:space="preserve"> </w:t>
      </w:r>
      <w:r w:rsidR="001E5258">
        <w:rPr>
          <w:color w:val="0E101A"/>
        </w:rPr>
        <w:t>and can lead to lower quality care for clients</w:t>
      </w:r>
      <w:r w:rsidRPr="001E5258">
        <w:rPr>
          <w:color w:val="0E101A"/>
        </w:rPr>
        <w:t>.</w:t>
      </w:r>
    </w:p>
    <w:p w14:paraId="00000004" w14:textId="5C6C7736" w:rsidR="00175CD4" w:rsidRPr="001E5258" w:rsidRDefault="00000000" w:rsidP="001E5258">
      <w:pPr>
        <w:numPr>
          <w:ilvl w:val="0"/>
          <w:numId w:val="1"/>
        </w:numPr>
        <w:ind w:left="0"/>
      </w:pPr>
      <w:r w:rsidRPr="001E5258">
        <w:t xml:space="preserve">Lack of sustainable funding results in </w:t>
      </w:r>
      <w:r w:rsidR="001E5258">
        <w:t xml:space="preserve">impaired </w:t>
      </w:r>
      <w:r w:rsidR="00E7202F" w:rsidRPr="001E5258">
        <w:t xml:space="preserve">financial </w:t>
      </w:r>
      <w:r w:rsidR="00E7202F" w:rsidRPr="001E5258">
        <w:rPr>
          <w:rFonts w:eastAsia="Times New Roman"/>
        </w:rPr>
        <w:t>capabilit</w:t>
      </w:r>
      <w:r w:rsidR="001E5258">
        <w:rPr>
          <w:rFonts w:eastAsia="Times New Roman"/>
        </w:rPr>
        <w:t>ies</w:t>
      </w:r>
      <w:r w:rsidRPr="001E5258">
        <w:t xml:space="preserve"> </w:t>
      </w:r>
      <w:r w:rsidR="001E5258">
        <w:t xml:space="preserve">of clinics </w:t>
      </w:r>
      <w:r w:rsidRPr="001E5258">
        <w:t xml:space="preserve">to support providers, </w:t>
      </w:r>
      <w:r w:rsidR="001E5258">
        <w:t xml:space="preserve">which can lead to </w:t>
      </w:r>
      <w:r w:rsidRPr="001E5258">
        <w:t>professionals leav</w:t>
      </w:r>
      <w:r w:rsidR="001E5258">
        <w:t>ing</w:t>
      </w:r>
      <w:r w:rsidRPr="001E5258">
        <w:t xml:space="preserve"> their jobs. </w:t>
      </w:r>
    </w:p>
    <w:p w14:paraId="00000005" w14:textId="6F484961" w:rsidR="00175CD4" w:rsidRPr="001E5258" w:rsidRDefault="00000000" w:rsidP="001E5258">
      <w:pPr>
        <w:numPr>
          <w:ilvl w:val="0"/>
          <w:numId w:val="1"/>
        </w:numPr>
        <w:ind w:left="0"/>
      </w:pPr>
      <w:r w:rsidRPr="001E5258">
        <w:rPr>
          <w:color w:val="0E101A"/>
        </w:rPr>
        <w:t>The lack of robust training programs often leads to insufficient skill development in community health workers (CHWs)</w:t>
      </w:r>
      <w:r w:rsidR="001E5258">
        <w:rPr>
          <w:color w:val="0E101A"/>
        </w:rPr>
        <w:t>, particularly around self-</w:t>
      </w:r>
      <w:r w:rsidRPr="001E5258">
        <w:rPr>
          <w:color w:val="0E101A"/>
        </w:rPr>
        <w:t>confiden</w:t>
      </w:r>
      <w:r w:rsidR="001E5258">
        <w:rPr>
          <w:color w:val="0E101A"/>
        </w:rPr>
        <w:t>ce</w:t>
      </w:r>
      <w:r w:rsidRPr="001E5258">
        <w:rPr>
          <w:color w:val="0E101A"/>
        </w:rPr>
        <w:t xml:space="preserve"> in client interactions</w:t>
      </w:r>
      <w:r w:rsidR="00473734">
        <w:rPr>
          <w:color w:val="0E101A"/>
        </w:rPr>
        <w:t>.</w:t>
      </w:r>
      <w:r w:rsidR="00473734">
        <w:rPr>
          <w:color w:val="0E101A"/>
          <w:vertAlign w:val="superscript"/>
        </w:rPr>
        <w:t>3</w:t>
      </w:r>
    </w:p>
    <w:p w14:paraId="00000006" w14:textId="3DA8078E" w:rsidR="00175CD4" w:rsidRPr="001E5258" w:rsidRDefault="00000000" w:rsidP="001E5258">
      <w:pPr>
        <w:numPr>
          <w:ilvl w:val="0"/>
          <w:numId w:val="1"/>
        </w:numPr>
        <w:ind w:left="0"/>
      </w:pPr>
      <w:r w:rsidRPr="001E5258">
        <w:rPr>
          <w:color w:val="0E101A"/>
        </w:rPr>
        <w:t xml:space="preserve">Lack of robust training programs </w:t>
      </w:r>
      <w:r w:rsidR="001E5258">
        <w:rPr>
          <w:color w:val="0E101A"/>
        </w:rPr>
        <w:t xml:space="preserve">can also </w:t>
      </w:r>
      <w:r w:rsidRPr="001E5258">
        <w:rPr>
          <w:color w:val="0E101A"/>
        </w:rPr>
        <w:t xml:space="preserve">lead to a lack of HIV knowledge and practical skill set that is </w:t>
      </w:r>
      <w:r w:rsidR="001E5258">
        <w:rPr>
          <w:color w:val="0E101A"/>
        </w:rPr>
        <w:t xml:space="preserve">needed </w:t>
      </w:r>
      <w:r w:rsidRPr="001E5258">
        <w:rPr>
          <w:color w:val="0E101A"/>
        </w:rPr>
        <w:t>for client interactions. Some of these areas include biological mechanisms of HIV/AIDS, reading and interpreting patient charts, data recording, interviewing techniques, knowledge of available treatment options, and new research on HIV</w:t>
      </w:r>
      <w:r w:rsidR="00473734">
        <w:rPr>
          <w:color w:val="0E101A"/>
        </w:rPr>
        <w:t>.</w:t>
      </w:r>
      <w:r w:rsidR="00473734">
        <w:rPr>
          <w:color w:val="0E101A"/>
          <w:vertAlign w:val="superscript"/>
        </w:rPr>
        <w:t>3</w:t>
      </w:r>
    </w:p>
    <w:p w14:paraId="00000007" w14:textId="76234BC7" w:rsidR="00175CD4" w:rsidRPr="001E5258" w:rsidRDefault="00000000" w:rsidP="001E5258">
      <w:pPr>
        <w:numPr>
          <w:ilvl w:val="0"/>
          <w:numId w:val="1"/>
        </w:numPr>
        <w:ind w:left="0"/>
      </w:pPr>
      <w:r w:rsidRPr="001E5258">
        <w:rPr>
          <w:color w:val="0E101A"/>
        </w:rPr>
        <w:t xml:space="preserve">Without robust training programs, providers </w:t>
      </w:r>
      <w:r w:rsidR="001E5258">
        <w:rPr>
          <w:color w:val="0E101A"/>
        </w:rPr>
        <w:t xml:space="preserve">may not </w:t>
      </w:r>
      <w:r w:rsidRPr="001E5258">
        <w:rPr>
          <w:color w:val="0E101A"/>
        </w:rPr>
        <w:t xml:space="preserve">receive </w:t>
      </w:r>
      <w:r w:rsidR="001E5258">
        <w:rPr>
          <w:color w:val="0E101A"/>
        </w:rPr>
        <w:t xml:space="preserve">sufficient </w:t>
      </w:r>
      <w:r w:rsidRPr="001E5258">
        <w:rPr>
          <w:color w:val="0E101A"/>
        </w:rPr>
        <w:t xml:space="preserve">preparation </w:t>
      </w:r>
      <w:r w:rsidR="001E5258">
        <w:rPr>
          <w:color w:val="0E101A"/>
        </w:rPr>
        <w:t xml:space="preserve">for handling </w:t>
      </w:r>
      <w:r w:rsidRPr="001E5258">
        <w:rPr>
          <w:color w:val="0E101A"/>
        </w:rPr>
        <w:t>complex situations with patients.</w:t>
      </w:r>
    </w:p>
    <w:p w14:paraId="00000008" w14:textId="456340A5" w:rsidR="00175CD4" w:rsidRPr="001E5258" w:rsidRDefault="00000000" w:rsidP="001E5258">
      <w:pPr>
        <w:numPr>
          <w:ilvl w:val="0"/>
          <w:numId w:val="1"/>
        </w:numPr>
        <w:ind w:left="0"/>
      </w:pPr>
      <w:r w:rsidRPr="001E5258">
        <w:rPr>
          <w:color w:val="0E101A"/>
        </w:rPr>
        <w:t>Insufficient pay and benefits can often put stress on providers to work effectively and can lead to unfavorable outcomes for patients.</w:t>
      </w:r>
    </w:p>
    <w:p w14:paraId="00000009" w14:textId="77777777" w:rsidR="00175CD4" w:rsidRPr="001E5258" w:rsidRDefault="00000000" w:rsidP="001E5258">
      <w:pPr>
        <w:ind w:hanging="360"/>
      </w:pPr>
      <w:r w:rsidRPr="001E5258">
        <w:t>8 -10. Lack of funding restricts the institutional capabilities to provide proper benefits and pay for their staff, the establishment of training programs for staff, and treatment plans for patients.</w:t>
      </w:r>
    </w:p>
    <w:p w14:paraId="0000000A" w14:textId="2016448C" w:rsidR="00175CD4" w:rsidRPr="001E5258" w:rsidRDefault="00000000" w:rsidP="001E5258">
      <w:pPr>
        <w:ind w:hanging="360"/>
      </w:pPr>
      <w:r w:rsidRPr="001E5258">
        <w:t xml:space="preserve">11. Hierarchical systems of communication lead to </w:t>
      </w:r>
      <w:r w:rsidR="001E5258">
        <w:t xml:space="preserve">less </w:t>
      </w:r>
      <w:r w:rsidRPr="001E5258">
        <w:t>integration of CHWs in</w:t>
      </w:r>
      <w:r w:rsidR="001E5258">
        <w:t xml:space="preserve">to </w:t>
      </w:r>
      <w:r w:rsidRPr="001E5258">
        <w:t>care model</w:t>
      </w:r>
      <w:r w:rsidR="001E5258">
        <w:t>s</w:t>
      </w:r>
      <w:r w:rsidRPr="001E5258">
        <w:t>.</w:t>
      </w:r>
      <w:r w:rsidR="001432B6">
        <w:rPr>
          <w:vertAlign w:val="superscript"/>
        </w:rPr>
        <w:t>4</w:t>
      </w:r>
      <w:r w:rsidRPr="001E5258">
        <w:t xml:space="preserve"> CHWs </w:t>
      </w:r>
      <w:r w:rsidR="001E5258">
        <w:t xml:space="preserve">can </w:t>
      </w:r>
      <w:r w:rsidRPr="001E5258">
        <w:t>feel excluded and unappreciated for their work.</w:t>
      </w:r>
    </w:p>
    <w:p w14:paraId="0000000B" w14:textId="54C23E69" w:rsidR="00175CD4" w:rsidRPr="001E5258" w:rsidRDefault="00000000" w:rsidP="001E5258">
      <w:pPr>
        <w:ind w:hanging="360"/>
      </w:pPr>
      <w:r w:rsidRPr="001E5258">
        <w:t>12. The lack of integration of CHWs into the healthcare team leads to vague</w:t>
      </w:r>
      <w:r w:rsidR="001E5258">
        <w:t xml:space="preserve">, poorly defined </w:t>
      </w:r>
      <w:r w:rsidRPr="001E5258">
        <w:t xml:space="preserve">roles and responsibilities </w:t>
      </w:r>
      <w:r w:rsidR="001E5258">
        <w:t xml:space="preserve">for </w:t>
      </w:r>
      <w:r w:rsidRPr="001E5258">
        <w:t xml:space="preserve">CHWs. </w:t>
      </w:r>
      <w:r w:rsidR="001E5258">
        <w:t>In addition</w:t>
      </w:r>
      <w:r w:rsidRPr="001E5258">
        <w:t xml:space="preserve">, </w:t>
      </w:r>
      <w:r w:rsidR="001E5258">
        <w:t xml:space="preserve">an </w:t>
      </w:r>
      <w:r w:rsidRPr="001E5258">
        <w:t xml:space="preserve">undefined CHW </w:t>
      </w:r>
      <w:r w:rsidR="001E5258">
        <w:t xml:space="preserve">role can also </w:t>
      </w:r>
      <w:r w:rsidRPr="001E5258">
        <w:t>limit acceptability by other healthcare professionals</w:t>
      </w:r>
      <w:r w:rsidR="001432B6">
        <w:t>.</w:t>
      </w:r>
      <w:r w:rsidR="001432B6">
        <w:rPr>
          <w:vertAlign w:val="superscript"/>
        </w:rPr>
        <w:t xml:space="preserve">4 </w:t>
      </w:r>
      <w:r w:rsidRPr="001E5258">
        <w:t>CHWs often feel they are not achieving their fullest potential in serving their clients.</w:t>
      </w:r>
    </w:p>
    <w:p w14:paraId="0000000C" w14:textId="0EAD5312" w:rsidR="00175CD4" w:rsidRPr="001E5258" w:rsidRDefault="00000000" w:rsidP="001E5258">
      <w:pPr>
        <w:ind w:hanging="360"/>
      </w:pPr>
      <w:r w:rsidRPr="001E5258">
        <w:t xml:space="preserve">13. CHWs' interactions and experiences with PLWH help inform, shape, and innovate treatment plans for HIV care. </w:t>
      </w:r>
      <w:r w:rsidR="001E5258">
        <w:t xml:space="preserve">Insufficient training can limit the opportunities </w:t>
      </w:r>
      <w:r w:rsidRPr="001E5258">
        <w:t>for CHWs to gather information and form a plan best suited to the client’s needs.</w:t>
      </w:r>
    </w:p>
    <w:p w14:paraId="0000000D" w14:textId="5E72BF0F" w:rsidR="00175CD4" w:rsidRPr="001E5258" w:rsidRDefault="00000000" w:rsidP="001E5258">
      <w:pPr>
        <w:ind w:hanging="360"/>
      </w:pPr>
      <w:r w:rsidRPr="001E5258">
        <w:t xml:space="preserve">14. Providers’ input is vital to building training programs that help </w:t>
      </w:r>
      <w:r w:rsidR="001E5258">
        <w:t xml:space="preserve">address </w:t>
      </w:r>
      <w:r w:rsidRPr="001E5258">
        <w:t xml:space="preserve">deficiencies in the workforce skillset. </w:t>
      </w:r>
    </w:p>
    <w:p w14:paraId="0000000E" w14:textId="1D6F10A1" w:rsidR="00175CD4" w:rsidRPr="001E5258" w:rsidRDefault="00000000" w:rsidP="001E5258">
      <w:pPr>
        <w:ind w:hanging="360"/>
      </w:pPr>
      <w:r w:rsidRPr="001E5258">
        <w:t xml:space="preserve">15. Lack of stable funding and sustainable forms of local incentives for CHWs limit their continuous involvement in the community. The long-term investment of CHWs to integrate themselves into the </w:t>
      </w:r>
      <w:proofErr w:type="gramStart"/>
      <w:r w:rsidR="001432B6" w:rsidRPr="001E5258">
        <w:t>communities</w:t>
      </w:r>
      <w:proofErr w:type="gramEnd"/>
      <w:r w:rsidRPr="001E5258">
        <w:t xml:space="preserve"> help build trust and better serve their needs</w:t>
      </w:r>
      <w:r w:rsidR="001432B6">
        <w:t>.</w:t>
      </w:r>
      <w:r w:rsidR="001432B6">
        <w:rPr>
          <w:sz w:val="24"/>
          <w:szCs w:val="24"/>
          <w:vertAlign w:val="superscript"/>
        </w:rPr>
        <w:t>5</w:t>
      </w:r>
      <w:r w:rsidRPr="001E5258">
        <w:t xml:space="preserve"> </w:t>
      </w:r>
    </w:p>
    <w:p w14:paraId="0000000F" w14:textId="12A97178" w:rsidR="00175CD4" w:rsidRPr="001E5258" w:rsidRDefault="00000000" w:rsidP="001E5258">
      <w:pPr>
        <w:ind w:hanging="360"/>
      </w:pPr>
      <w:r w:rsidRPr="001E5258">
        <w:t>16.</w:t>
      </w:r>
      <w:r w:rsidR="00E7202F" w:rsidRPr="001E5258">
        <w:t xml:space="preserve"> </w:t>
      </w:r>
      <w:r w:rsidR="00E7202F" w:rsidRPr="001E5258">
        <w:rPr>
          <w:rFonts w:eastAsia="Times New Roman"/>
        </w:rPr>
        <w:t>&amp; 35.</w:t>
      </w:r>
      <w:r w:rsidRPr="001E5258">
        <w:rPr>
          <w:rFonts w:eastAsia="Times New Roman"/>
        </w:rPr>
        <w:t xml:space="preserve"> </w:t>
      </w:r>
      <w:r w:rsidRPr="001E5258">
        <w:t>In</w:t>
      </w:r>
      <w:r w:rsidR="001E5258">
        <w:t xml:space="preserve">sufficient time and </w:t>
      </w:r>
      <w:r w:rsidRPr="001E5258">
        <w:t xml:space="preserve">attention to patients’ needs </w:t>
      </w:r>
      <w:r w:rsidR="001E5258">
        <w:t xml:space="preserve">can </w:t>
      </w:r>
      <w:r w:rsidRPr="001E5258">
        <w:t>prevent critical information from being gathered and implemented in making treatment plans.</w:t>
      </w:r>
      <w:r w:rsidR="00601ED0" w:rsidRPr="001E5258">
        <w:rPr>
          <w:rFonts w:eastAsia="Times New Roman"/>
        </w:rPr>
        <w:t xml:space="preserve"> </w:t>
      </w:r>
      <w:r w:rsidR="00E7202F" w:rsidRPr="001E5258">
        <w:rPr>
          <w:rFonts w:eastAsia="Times New Roman"/>
        </w:rPr>
        <w:t xml:space="preserve">Limitations in treatment plans can hamper holistic care including </w:t>
      </w:r>
      <w:r w:rsidR="001E5258">
        <w:rPr>
          <w:rFonts w:eastAsia="Times New Roman"/>
        </w:rPr>
        <w:t xml:space="preserve">inadequate attention to </w:t>
      </w:r>
      <w:r w:rsidR="00E7202F" w:rsidRPr="001E5258">
        <w:rPr>
          <w:rFonts w:eastAsia="Times New Roman"/>
        </w:rPr>
        <w:t>comorbidities.</w:t>
      </w:r>
      <w:r w:rsidR="00E7202F" w:rsidRPr="001E5258">
        <w:t xml:space="preserve"> </w:t>
      </w:r>
    </w:p>
    <w:p w14:paraId="00000010" w14:textId="6A8DDF95" w:rsidR="00175CD4" w:rsidRPr="001432B6" w:rsidRDefault="00000000" w:rsidP="001E5258">
      <w:pPr>
        <w:ind w:hanging="360"/>
        <w:rPr>
          <w:vertAlign w:val="superscript"/>
        </w:rPr>
      </w:pPr>
      <w:r w:rsidRPr="001E5258">
        <w:t>17. &amp; 18. Providers' personal beliefs and attitudes drive actions that leave PLWH feeling stigmatized. Often HIV clients felt judged, labeled, and stereotyped for their HIV status, which led to poorer relationships with providers such as treatment refusal and diagnosis denial.</w:t>
      </w:r>
      <w:r w:rsidR="001432B6">
        <w:rPr>
          <w:vertAlign w:val="superscript"/>
        </w:rPr>
        <w:t>6</w:t>
      </w:r>
    </w:p>
    <w:p w14:paraId="00000011" w14:textId="53C00B78" w:rsidR="00175CD4" w:rsidRPr="001432B6" w:rsidRDefault="00000000" w:rsidP="001E5258">
      <w:pPr>
        <w:ind w:hanging="360"/>
        <w:rPr>
          <w:vertAlign w:val="superscript"/>
        </w:rPr>
      </w:pPr>
      <w:r w:rsidRPr="001E5258">
        <w:lastRenderedPageBreak/>
        <w:t>19. &amp; 21. CHWs are often excluded from attaining knowledge and skills compared to other medical professions. This leads to restrictions in their roles and responsibilities such as home care visits to help address communities’ social needs</w:t>
      </w:r>
      <w:r w:rsidR="001432B6">
        <w:t>.</w:t>
      </w:r>
      <w:r w:rsidR="001432B6">
        <w:rPr>
          <w:vertAlign w:val="superscript"/>
        </w:rPr>
        <w:t>7</w:t>
      </w:r>
    </w:p>
    <w:p w14:paraId="00000012" w14:textId="77777777" w:rsidR="00175CD4" w:rsidRPr="001E5258" w:rsidRDefault="00000000" w:rsidP="001E5258">
      <w:pPr>
        <w:ind w:hanging="360"/>
      </w:pPr>
      <w:r w:rsidRPr="001E5258">
        <w:t xml:space="preserve">20. The lack of integration of CHW in the care model hinders the proper distribution of cases among the healthcare team, especially through a lack of case information sharing.  </w:t>
      </w:r>
    </w:p>
    <w:p w14:paraId="00000013" w14:textId="569BEB1C" w:rsidR="00175CD4" w:rsidRPr="002F76F5" w:rsidRDefault="00000000" w:rsidP="001E5258">
      <w:pPr>
        <w:ind w:hanging="360"/>
        <w:rPr>
          <w:vertAlign w:val="superscript"/>
        </w:rPr>
      </w:pPr>
      <w:r w:rsidRPr="001E5258">
        <w:t>22 &amp; 32. The inattention of patients’ needs from providers leads to more work needed from CHWs to address those needs. CHWs often feel overwhelmed by managing high caseloads which makes it difficult to evaluate and support clients in their care plan.</w:t>
      </w:r>
      <w:r w:rsidR="002F76F5">
        <w:rPr>
          <w:vertAlign w:val="superscript"/>
        </w:rPr>
        <w:t>8</w:t>
      </w:r>
    </w:p>
    <w:p w14:paraId="00000014" w14:textId="7D930D22" w:rsidR="00175CD4" w:rsidRPr="001E5258" w:rsidRDefault="00000000" w:rsidP="001E5258">
      <w:pPr>
        <w:ind w:hanging="360"/>
      </w:pPr>
      <w:r w:rsidRPr="001E5258">
        <w:t>23, 31, &amp; 33. The limited scope of CHWs’ roles leads to a lack of confidence in what they wish to achieve and serve in their communities. Without the support and training, CHWs cannot gain the confidence to effectively address the social needs and barriers of their communities.</w:t>
      </w:r>
    </w:p>
    <w:p w14:paraId="00000015" w14:textId="60F58A1E" w:rsidR="00175CD4" w:rsidRPr="001432B6" w:rsidRDefault="00000000" w:rsidP="001E5258">
      <w:pPr>
        <w:ind w:hanging="360"/>
        <w:rPr>
          <w:vertAlign w:val="superscript"/>
        </w:rPr>
      </w:pPr>
      <w:r w:rsidRPr="001E5258">
        <w:t>24.  Clarification of CHWs' role and support from the institutions such as from CHW supervisors can help manage workloads properly and relieve workload burden for providers and CHWs.</w:t>
      </w:r>
      <w:r w:rsidR="001432B6">
        <w:rPr>
          <w:vertAlign w:val="superscript"/>
        </w:rPr>
        <w:t>7</w:t>
      </w:r>
    </w:p>
    <w:p w14:paraId="00000016" w14:textId="77777777" w:rsidR="00175CD4" w:rsidRPr="001E5258" w:rsidRDefault="00000000" w:rsidP="001E5258">
      <w:pPr>
        <w:ind w:hanging="360"/>
      </w:pPr>
      <w:r w:rsidRPr="001E5258">
        <w:t>25, 28 &amp; 29. Lack of confidence from CHWs can lead to insufficient social engagement with clients and understanding of their needs. When social needs are not addressed properly, it can result in outcomes like diagnosis denial and stigma.</w:t>
      </w:r>
    </w:p>
    <w:p w14:paraId="00000017" w14:textId="77777777" w:rsidR="00175CD4" w:rsidRPr="001E5258" w:rsidRDefault="00000000" w:rsidP="001E5258">
      <w:pPr>
        <w:ind w:hanging="360"/>
      </w:pPr>
      <w:r w:rsidRPr="001E5258">
        <w:t>26 &amp; 27. Lack of knowledge of treatment paths hinders CHWs to navigate suitable treatment options for clients. Also, inadequate client engagement leads to imbalanced decision-making for clients when choosing the right treatment plan.</w:t>
      </w:r>
    </w:p>
    <w:p w14:paraId="00000018" w14:textId="77777777" w:rsidR="00175CD4" w:rsidRPr="001E5258" w:rsidRDefault="00000000" w:rsidP="001E5258">
      <w:pPr>
        <w:ind w:hanging="360"/>
      </w:pPr>
      <w:r w:rsidRPr="001E5258">
        <w:t xml:space="preserve">30. CHWs are seen as the bridge between the community and the healthcare system. The lack of integration of CHWs in community spaces results in a lack of trust and an ineffective ability to provide social support. </w:t>
      </w:r>
    </w:p>
    <w:p w14:paraId="4E308BCE" w14:textId="082BE861" w:rsidR="00601ED0" w:rsidRDefault="00601ED0">
      <w:pPr>
        <w:ind w:hanging="360"/>
        <w:rPr>
          <w:rFonts w:eastAsia="Times New Roman"/>
        </w:rPr>
      </w:pPr>
      <w:r w:rsidRPr="001E5258">
        <w:rPr>
          <w:rFonts w:eastAsia="Times New Roman"/>
        </w:rPr>
        <w:t>34. Inattention to patients’ needs from the provider can lead to lack of support to comorbidities such as diabetes</w:t>
      </w:r>
      <w:r w:rsidR="00E7202F" w:rsidRPr="001E5258">
        <w:rPr>
          <w:rFonts w:eastAsia="Times New Roman"/>
        </w:rPr>
        <w:t xml:space="preserve"> and cardiovascular disease</w:t>
      </w:r>
      <w:r w:rsidRPr="001E5258">
        <w:rPr>
          <w:rFonts w:eastAsia="Times New Roman"/>
        </w:rPr>
        <w:t xml:space="preserve"> with clients living with HIV/AIDS.</w:t>
      </w:r>
    </w:p>
    <w:p w14:paraId="7E62E880" w14:textId="77777777" w:rsidR="00473734" w:rsidRDefault="00473734">
      <w:pPr>
        <w:ind w:hanging="360"/>
        <w:rPr>
          <w:rFonts w:eastAsia="Times New Roman"/>
        </w:rPr>
      </w:pPr>
    </w:p>
    <w:p w14:paraId="14E1D19F" w14:textId="77777777" w:rsidR="00473734" w:rsidRDefault="00473734">
      <w:pPr>
        <w:ind w:hanging="360"/>
        <w:rPr>
          <w:rFonts w:eastAsia="Times New Roman"/>
        </w:rPr>
      </w:pPr>
    </w:p>
    <w:p w14:paraId="7D1CEB91" w14:textId="77777777" w:rsidR="002F76F5" w:rsidRDefault="002F76F5" w:rsidP="00473734">
      <w:pPr>
        <w:ind w:hanging="360"/>
        <w:rPr>
          <w:rFonts w:eastAsia="Times New Roman"/>
        </w:rPr>
      </w:pPr>
    </w:p>
    <w:p w14:paraId="053D4549" w14:textId="77777777" w:rsidR="002F76F5" w:rsidRDefault="002F76F5" w:rsidP="00473734">
      <w:pPr>
        <w:ind w:hanging="360"/>
        <w:rPr>
          <w:rFonts w:eastAsia="Times New Roman"/>
        </w:rPr>
      </w:pPr>
    </w:p>
    <w:p w14:paraId="4B4EF20E" w14:textId="77777777" w:rsidR="002F76F5" w:rsidRDefault="002F76F5" w:rsidP="00473734">
      <w:pPr>
        <w:ind w:hanging="360"/>
        <w:rPr>
          <w:rFonts w:eastAsia="Times New Roman"/>
        </w:rPr>
      </w:pPr>
    </w:p>
    <w:p w14:paraId="203B95BF" w14:textId="77777777" w:rsidR="002F76F5" w:rsidRDefault="002F76F5" w:rsidP="00473734">
      <w:pPr>
        <w:ind w:hanging="360"/>
        <w:rPr>
          <w:rFonts w:eastAsia="Times New Roman"/>
        </w:rPr>
      </w:pPr>
    </w:p>
    <w:p w14:paraId="1222D717" w14:textId="77777777" w:rsidR="002F76F5" w:rsidRDefault="002F76F5" w:rsidP="00473734">
      <w:pPr>
        <w:ind w:hanging="360"/>
        <w:rPr>
          <w:rFonts w:eastAsia="Times New Roman"/>
        </w:rPr>
      </w:pPr>
    </w:p>
    <w:p w14:paraId="352AD6B7" w14:textId="77777777" w:rsidR="002F76F5" w:rsidRDefault="002F76F5" w:rsidP="00473734">
      <w:pPr>
        <w:ind w:hanging="360"/>
        <w:rPr>
          <w:rFonts w:eastAsia="Times New Roman"/>
        </w:rPr>
      </w:pPr>
    </w:p>
    <w:p w14:paraId="7A2941B1" w14:textId="77777777" w:rsidR="002F76F5" w:rsidRDefault="002F76F5" w:rsidP="00473734">
      <w:pPr>
        <w:ind w:hanging="360"/>
        <w:rPr>
          <w:rFonts w:eastAsia="Times New Roman"/>
        </w:rPr>
      </w:pPr>
    </w:p>
    <w:p w14:paraId="3587349D" w14:textId="77777777" w:rsidR="002F76F5" w:rsidRDefault="002F76F5" w:rsidP="00473734">
      <w:pPr>
        <w:ind w:hanging="360"/>
        <w:rPr>
          <w:rFonts w:eastAsia="Times New Roman"/>
        </w:rPr>
      </w:pPr>
    </w:p>
    <w:p w14:paraId="7FC1531B" w14:textId="77777777" w:rsidR="002F76F5" w:rsidRDefault="002F76F5" w:rsidP="00473734">
      <w:pPr>
        <w:ind w:hanging="360"/>
        <w:rPr>
          <w:rFonts w:eastAsia="Times New Roman"/>
        </w:rPr>
      </w:pPr>
    </w:p>
    <w:p w14:paraId="6FCF97F9" w14:textId="77777777" w:rsidR="002F76F5" w:rsidRDefault="002F76F5" w:rsidP="00473734">
      <w:pPr>
        <w:ind w:hanging="360"/>
        <w:rPr>
          <w:rFonts w:eastAsia="Times New Roman"/>
        </w:rPr>
      </w:pPr>
    </w:p>
    <w:p w14:paraId="273381D5" w14:textId="77777777" w:rsidR="002F76F5" w:rsidRDefault="002F76F5" w:rsidP="00473734">
      <w:pPr>
        <w:ind w:hanging="360"/>
        <w:rPr>
          <w:rFonts w:eastAsia="Times New Roman"/>
        </w:rPr>
      </w:pPr>
    </w:p>
    <w:p w14:paraId="2BFC3340" w14:textId="77777777" w:rsidR="002F76F5" w:rsidRDefault="002F76F5" w:rsidP="00473734">
      <w:pPr>
        <w:ind w:hanging="360"/>
        <w:rPr>
          <w:rFonts w:eastAsia="Times New Roman"/>
        </w:rPr>
      </w:pPr>
    </w:p>
    <w:p w14:paraId="0CCB3180" w14:textId="77777777" w:rsidR="002F76F5" w:rsidRDefault="002F76F5" w:rsidP="00473734">
      <w:pPr>
        <w:ind w:hanging="360"/>
        <w:rPr>
          <w:rFonts w:eastAsia="Times New Roman"/>
        </w:rPr>
      </w:pPr>
    </w:p>
    <w:p w14:paraId="4DDB0A64" w14:textId="77777777" w:rsidR="002F76F5" w:rsidRDefault="002F76F5" w:rsidP="00473734">
      <w:pPr>
        <w:ind w:hanging="360"/>
        <w:rPr>
          <w:rFonts w:eastAsia="Times New Roman"/>
        </w:rPr>
      </w:pPr>
    </w:p>
    <w:p w14:paraId="629323D4" w14:textId="77777777" w:rsidR="002F76F5" w:rsidRDefault="002F76F5" w:rsidP="00473734">
      <w:pPr>
        <w:ind w:hanging="360"/>
        <w:rPr>
          <w:rFonts w:eastAsia="Times New Roman"/>
        </w:rPr>
      </w:pPr>
    </w:p>
    <w:p w14:paraId="3DA77F0F" w14:textId="77777777" w:rsidR="002F76F5" w:rsidRDefault="002F76F5" w:rsidP="00473734">
      <w:pPr>
        <w:ind w:hanging="360"/>
        <w:rPr>
          <w:rFonts w:eastAsia="Times New Roman"/>
        </w:rPr>
      </w:pPr>
    </w:p>
    <w:p w14:paraId="7DC988FC" w14:textId="77777777" w:rsidR="002F76F5" w:rsidRDefault="002F76F5" w:rsidP="00473734">
      <w:pPr>
        <w:ind w:hanging="360"/>
        <w:rPr>
          <w:rFonts w:eastAsia="Times New Roman"/>
        </w:rPr>
      </w:pPr>
    </w:p>
    <w:p w14:paraId="09F6B916" w14:textId="77777777" w:rsidR="002F76F5" w:rsidRDefault="002F76F5" w:rsidP="00473734">
      <w:pPr>
        <w:ind w:hanging="360"/>
        <w:rPr>
          <w:rFonts w:eastAsia="Times New Roman"/>
        </w:rPr>
      </w:pPr>
    </w:p>
    <w:p w14:paraId="6F51AB39" w14:textId="37992A40" w:rsidR="00473734" w:rsidRPr="002F76F5" w:rsidRDefault="00473734" w:rsidP="00473734">
      <w:pPr>
        <w:ind w:hanging="360"/>
        <w:rPr>
          <w:rFonts w:eastAsia="Times New Roman"/>
        </w:rPr>
      </w:pPr>
      <w:r w:rsidRPr="002F76F5">
        <w:rPr>
          <w:rFonts w:eastAsia="Times New Roman"/>
        </w:rPr>
        <w:lastRenderedPageBreak/>
        <w:t>References</w:t>
      </w:r>
    </w:p>
    <w:p w14:paraId="6FCCDCF1" w14:textId="77777777" w:rsidR="00473734" w:rsidRPr="002F76F5" w:rsidRDefault="00473734" w:rsidP="00473734">
      <w:pPr>
        <w:ind w:hanging="360"/>
        <w:rPr>
          <w:rFonts w:eastAsia="Times New Roman"/>
        </w:rPr>
      </w:pPr>
    </w:p>
    <w:p w14:paraId="496C8514" w14:textId="77777777" w:rsidR="00473734" w:rsidRPr="002F76F5" w:rsidRDefault="00473734" w:rsidP="00473734">
      <w:pPr>
        <w:spacing w:line="480" w:lineRule="auto"/>
        <w:ind w:hanging="480"/>
        <w:rPr>
          <w:rFonts w:eastAsia="Times New Roman"/>
          <w:lang w:val="en-US"/>
        </w:rPr>
      </w:pPr>
      <w:r w:rsidRPr="002F76F5">
        <w:rPr>
          <w:rFonts w:eastAsia="Times New Roman"/>
        </w:rPr>
        <w:t xml:space="preserve">1. </w:t>
      </w:r>
      <w:r w:rsidRPr="002F76F5">
        <w:rPr>
          <w:rFonts w:eastAsia="Times New Roman"/>
          <w:lang w:val="en-US"/>
        </w:rPr>
        <w:t xml:space="preserve">Akinleye, D. D., McNutt, L.-A., </w:t>
      </w:r>
      <w:proofErr w:type="spellStart"/>
      <w:r w:rsidRPr="002F76F5">
        <w:rPr>
          <w:rFonts w:eastAsia="Times New Roman"/>
          <w:lang w:val="en-US"/>
        </w:rPr>
        <w:t>Lazariu</w:t>
      </w:r>
      <w:proofErr w:type="spellEnd"/>
      <w:r w:rsidRPr="002F76F5">
        <w:rPr>
          <w:rFonts w:eastAsia="Times New Roman"/>
          <w:lang w:val="en-US"/>
        </w:rPr>
        <w:t xml:space="preserve">, V., &amp; McLaughlin, C. C. (2019). Correlation between hospital finances and quality and safety of patient care. </w:t>
      </w:r>
      <w:proofErr w:type="spellStart"/>
      <w:r w:rsidRPr="002F76F5">
        <w:rPr>
          <w:rFonts w:eastAsia="Times New Roman"/>
          <w:i/>
          <w:iCs/>
          <w:lang w:val="en-US"/>
        </w:rPr>
        <w:t>PLoS</w:t>
      </w:r>
      <w:proofErr w:type="spellEnd"/>
      <w:r w:rsidRPr="002F76F5">
        <w:rPr>
          <w:rFonts w:eastAsia="Times New Roman"/>
          <w:i/>
          <w:iCs/>
          <w:lang w:val="en-US"/>
        </w:rPr>
        <w:t xml:space="preserve"> ONE</w:t>
      </w:r>
      <w:r w:rsidRPr="002F76F5">
        <w:rPr>
          <w:rFonts w:eastAsia="Times New Roman"/>
          <w:lang w:val="en-US"/>
        </w:rPr>
        <w:t xml:space="preserve">, </w:t>
      </w:r>
      <w:r w:rsidRPr="002F76F5">
        <w:rPr>
          <w:rFonts w:eastAsia="Times New Roman"/>
          <w:i/>
          <w:iCs/>
          <w:lang w:val="en-US"/>
        </w:rPr>
        <w:t>14</w:t>
      </w:r>
      <w:r w:rsidRPr="002F76F5">
        <w:rPr>
          <w:rFonts w:eastAsia="Times New Roman"/>
          <w:lang w:val="en-US"/>
        </w:rPr>
        <w:t xml:space="preserve">(8), e0219124. </w:t>
      </w:r>
      <w:hyperlink r:id="rId5" w:history="1">
        <w:r w:rsidRPr="002F76F5">
          <w:rPr>
            <w:rFonts w:eastAsia="Times New Roman"/>
            <w:color w:val="0000FF"/>
            <w:u w:val="single"/>
            <w:lang w:val="en-US"/>
          </w:rPr>
          <w:t>https://doi.org/10.1371/journal.pone.0219124</w:t>
        </w:r>
      </w:hyperlink>
    </w:p>
    <w:p w14:paraId="10BB518C" w14:textId="101B0C94" w:rsidR="00473734" w:rsidRPr="002F76F5" w:rsidRDefault="00473734" w:rsidP="00473734">
      <w:pPr>
        <w:spacing w:line="480" w:lineRule="auto"/>
        <w:ind w:hanging="480"/>
        <w:rPr>
          <w:rFonts w:eastAsia="Times New Roman"/>
          <w:lang w:val="en-US"/>
        </w:rPr>
      </w:pPr>
      <w:r w:rsidRPr="002F76F5">
        <w:rPr>
          <w:rFonts w:eastAsia="Times New Roman"/>
          <w:lang w:val="en-US"/>
        </w:rPr>
        <w:t>2.</w:t>
      </w:r>
      <w:r w:rsidRPr="002F76F5">
        <w:t xml:space="preserve"> </w:t>
      </w:r>
      <w:proofErr w:type="spellStart"/>
      <w:r w:rsidRPr="002F76F5">
        <w:rPr>
          <w:rFonts w:eastAsia="Times New Roman"/>
          <w:lang w:val="en-US"/>
        </w:rPr>
        <w:t>Ginossar</w:t>
      </w:r>
      <w:proofErr w:type="spellEnd"/>
      <w:r w:rsidRPr="002F76F5">
        <w:rPr>
          <w:rFonts w:eastAsia="Times New Roman"/>
          <w:lang w:val="en-US"/>
        </w:rPr>
        <w:t xml:space="preserve">, T., Oetzel, J., Hill, R., Avila, M., Archiopoli, A., &amp; Wilcox, B. (2014). HIV health-care providers’ burnout: Can organizational culture make a difference? </w:t>
      </w:r>
      <w:r w:rsidRPr="002F76F5">
        <w:rPr>
          <w:rFonts w:eastAsia="Times New Roman"/>
          <w:i/>
          <w:iCs/>
          <w:lang w:val="en-US"/>
        </w:rPr>
        <w:t>AIDS Care</w:t>
      </w:r>
      <w:r w:rsidRPr="002F76F5">
        <w:rPr>
          <w:rFonts w:eastAsia="Times New Roman"/>
          <w:lang w:val="en-US"/>
        </w:rPr>
        <w:t xml:space="preserve">, </w:t>
      </w:r>
      <w:r w:rsidRPr="002F76F5">
        <w:rPr>
          <w:rFonts w:eastAsia="Times New Roman"/>
          <w:i/>
          <w:iCs/>
          <w:lang w:val="en-US"/>
        </w:rPr>
        <w:t>26</w:t>
      </w:r>
      <w:r w:rsidRPr="002F76F5">
        <w:rPr>
          <w:rFonts w:eastAsia="Times New Roman"/>
          <w:lang w:val="en-US"/>
        </w:rPr>
        <w:t xml:space="preserve">(12), 1605–1608. </w:t>
      </w:r>
      <w:hyperlink r:id="rId6" w:history="1">
        <w:r w:rsidRPr="002F76F5">
          <w:rPr>
            <w:rFonts w:eastAsia="Times New Roman"/>
            <w:color w:val="0000FF"/>
            <w:u w:val="single"/>
            <w:lang w:val="en-US"/>
          </w:rPr>
          <w:t>https://doi.org/10.1080/09540121.2014.936819</w:t>
        </w:r>
      </w:hyperlink>
    </w:p>
    <w:p w14:paraId="765A3CF7" w14:textId="0C212AEE" w:rsidR="00473734" w:rsidRPr="002F76F5" w:rsidRDefault="00473734" w:rsidP="00473734">
      <w:pPr>
        <w:spacing w:line="480" w:lineRule="auto"/>
        <w:ind w:hanging="480"/>
        <w:rPr>
          <w:rFonts w:eastAsia="Times New Roman"/>
          <w:lang w:val="en-US"/>
        </w:rPr>
      </w:pPr>
      <w:r w:rsidRPr="002F76F5">
        <w:rPr>
          <w:rFonts w:eastAsia="Times New Roman"/>
          <w:lang w:val="en-US"/>
        </w:rPr>
        <w:t>3.</w:t>
      </w:r>
      <w:r w:rsidRPr="002F76F5">
        <w:t xml:space="preserve"> </w:t>
      </w:r>
      <w:r w:rsidRPr="002F76F5">
        <w:rPr>
          <w:rFonts w:eastAsia="Times New Roman"/>
          <w:lang w:val="en-US"/>
        </w:rPr>
        <w:t xml:space="preserve">Rajabiun, S., Baughman, A., Sullivan, M., Poteet, B., Downes, A., Davich, J. A. W., Phillips, S., Jackson, P., Miles, L., Drainoni, M.-L., Evans, E. M., Bachman, S. S., &amp; Sprague Martinez, L. (2021). A Participatory Curricula for Community Health Workers and Supervisors to Increase HIV Health Outcomes. </w:t>
      </w:r>
      <w:r w:rsidRPr="002F76F5">
        <w:rPr>
          <w:rFonts w:eastAsia="Times New Roman"/>
          <w:i/>
          <w:iCs/>
          <w:lang w:val="en-US"/>
        </w:rPr>
        <w:t>Frontiers in Public Health</w:t>
      </w:r>
      <w:r w:rsidRPr="002F76F5">
        <w:rPr>
          <w:rFonts w:eastAsia="Times New Roman"/>
          <w:lang w:val="en-US"/>
        </w:rPr>
        <w:t xml:space="preserve">, </w:t>
      </w:r>
      <w:r w:rsidRPr="002F76F5">
        <w:rPr>
          <w:rFonts w:eastAsia="Times New Roman"/>
          <w:i/>
          <w:iCs/>
          <w:lang w:val="en-US"/>
        </w:rPr>
        <w:t>9</w:t>
      </w:r>
      <w:r w:rsidRPr="002F76F5">
        <w:rPr>
          <w:rFonts w:eastAsia="Times New Roman"/>
          <w:lang w:val="en-US"/>
        </w:rPr>
        <w:t xml:space="preserve">. </w:t>
      </w:r>
      <w:hyperlink r:id="rId7" w:history="1">
        <w:r w:rsidRPr="002F76F5">
          <w:rPr>
            <w:rFonts w:eastAsia="Times New Roman"/>
            <w:color w:val="0000FF"/>
            <w:u w:val="single"/>
            <w:lang w:val="en-US"/>
          </w:rPr>
          <w:t>https://www.frontiersin.org/articles/10.3389/fpubh.2021.689798</w:t>
        </w:r>
      </w:hyperlink>
    </w:p>
    <w:p w14:paraId="61495362" w14:textId="44FCD584" w:rsidR="001432B6" w:rsidRPr="002F76F5" w:rsidRDefault="001432B6" w:rsidP="001432B6">
      <w:pPr>
        <w:spacing w:line="480" w:lineRule="auto"/>
        <w:ind w:hanging="480"/>
        <w:rPr>
          <w:rFonts w:eastAsia="Times New Roman"/>
          <w:lang w:val="en-US"/>
        </w:rPr>
      </w:pPr>
      <w:r w:rsidRPr="002F76F5">
        <w:rPr>
          <w:rFonts w:eastAsia="Times New Roman"/>
          <w:lang w:val="en-US"/>
        </w:rPr>
        <w:t>4.</w:t>
      </w:r>
      <w:r w:rsidRPr="002F76F5">
        <w:t xml:space="preserve"> </w:t>
      </w:r>
      <w:r w:rsidRPr="002F76F5">
        <w:rPr>
          <w:rFonts w:eastAsia="Times New Roman"/>
          <w:lang w:val="en-US"/>
        </w:rPr>
        <w:t xml:space="preserve">De Neve, J.-W., Boudreaux, C., Gill, R., </w:t>
      </w:r>
      <w:proofErr w:type="spellStart"/>
      <w:r w:rsidRPr="002F76F5">
        <w:rPr>
          <w:rFonts w:eastAsia="Times New Roman"/>
          <w:lang w:val="en-US"/>
        </w:rPr>
        <w:t>Geldsetzer</w:t>
      </w:r>
      <w:proofErr w:type="spellEnd"/>
      <w:r w:rsidRPr="002F76F5">
        <w:rPr>
          <w:rFonts w:eastAsia="Times New Roman"/>
          <w:lang w:val="en-US"/>
        </w:rPr>
        <w:t xml:space="preserve">, P., </w:t>
      </w:r>
      <w:proofErr w:type="spellStart"/>
      <w:r w:rsidRPr="002F76F5">
        <w:rPr>
          <w:rFonts w:eastAsia="Times New Roman"/>
          <w:lang w:val="en-US"/>
        </w:rPr>
        <w:t>Vaikath</w:t>
      </w:r>
      <w:proofErr w:type="spellEnd"/>
      <w:r w:rsidRPr="002F76F5">
        <w:rPr>
          <w:rFonts w:eastAsia="Times New Roman"/>
          <w:lang w:val="en-US"/>
        </w:rPr>
        <w:t xml:space="preserve">, M., </w:t>
      </w:r>
      <w:proofErr w:type="spellStart"/>
      <w:r w:rsidRPr="002F76F5">
        <w:rPr>
          <w:rFonts w:eastAsia="Times New Roman"/>
          <w:lang w:val="en-US"/>
        </w:rPr>
        <w:t>Bärnighausen</w:t>
      </w:r>
      <w:proofErr w:type="spellEnd"/>
      <w:r w:rsidRPr="002F76F5">
        <w:rPr>
          <w:rFonts w:eastAsia="Times New Roman"/>
          <w:lang w:val="en-US"/>
        </w:rPr>
        <w:t xml:space="preserve">, T., &amp; Bossert, T. J. (2017). Harmonizing community-based health worker programs for HIV: A narrative review and analytic framework. </w:t>
      </w:r>
      <w:r w:rsidRPr="002F76F5">
        <w:rPr>
          <w:rFonts w:eastAsia="Times New Roman"/>
          <w:i/>
          <w:iCs/>
          <w:lang w:val="en-US"/>
        </w:rPr>
        <w:t>Human Resources for Health</w:t>
      </w:r>
      <w:r w:rsidRPr="002F76F5">
        <w:rPr>
          <w:rFonts w:eastAsia="Times New Roman"/>
          <w:lang w:val="en-US"/>
        </w:rPr>
        <w:t xml:space="preserve">, </w:t>
      </w:r>
      <w:r w:rsidRPr="002F76F5">
        <w:rPr>
          <w:rFonts w:eastAsia="Times New Roman"/>
          <w:i/>
          <w:iCs/>
          <w:lang w:val="en-US"/>
        </w:rPr>
        <w:t>15</w:t>
      </w:r>
      <w:r w:rsidRPr="002F76F5">
        <w:rPr>
          <w:rFonts w:eastAsia="Times New Roman"/>
          <w:lang w:val="en-US"/>
        </w:rPr>
        <w:t xml:space="preserve">(1), 45. </w:t>
      </w:r>
      <w:hyperlink r:id="rId8" w:history="1">
        <w:r w:rsidRPr="002F76F5">
          <w:rPr>
            <w:rFonts w:eastAsia="Times New Roman"/>
            <w:color w:val="0000FF"/>
            <w:u w:val="single"/>
            <w:lang w:val="en-US"/>
          </w:rPr>
          <w:t>https://doi.org/10.1186/s12960-017-0219-y</w:t>
        </w:r>
      </w:hyperlink>
    </w:p>
    <w:p w14:paraId="742B13E2" w14:textId="53271B78" w:rsidR="001432B6" w:rsidRPr="002F76F5" w:rsidRDefault="001432B6" w:rsidP="001432B6">
      <w:pPr>
        <w:spacing w:line="480" w:lineRule="auto"/>
        <w:ind w:hanging="480"/>
        <w:rPr>
          <w:rFonts w:eastAsia="Times New Roman"/>
          <w:lang w:val="en-US"/>
        </w:rPr>
      </w:pPr>
      <w:r w:rsidRPr="002F76F5">
        <w:rPr>
          <w:rFonts w:eastAsia="Times New Roman"/>
          <w:lang w:val="en-US"/>
        </w:rPr>
        <w:t>5.</w:t>
      </w:r>
      <w:r w:rsidRPr="002F76F5">
        <w:t xml:space="preserve"> </w:t>
      </w:r>
      <w:r w:rsidRPr="002F76F5">
        <w:rPr>
          <w:rFonts w:eastAsia="Times New Roman"/>
          <w:lang w:val="en-US"/>
        </w:rPr>
        <w:t xml:space="preserve">Colvin, C. J., Hodgins, S., &amp; Perry, H. B. (2021). Community health workers at the dawn of a new era: 8. Incentives and remuneration. </w:t>
      </w:r>
      <w:r w:rsidRPr="002F76F5">
        <w:rPr>
          <w:rFonts w:eastAsia="Times New Roman"/>
          <w:i/>
          <w:iCs/>
          <w:lang w:val="en-US"/>
        </w:rPr>
        <w:t>Health Research Policy and Systems</w:t>
      </w:r>
      <w:r w:rsidRPr="002F76F5">
        <w:rPr>
          <w:rFonts w:eastAsia="Times New Roman"/>
          <w:lang w:val="en-US"/>
        </w:rPr>
        <w:t xml:space="preserve">, </w:t>
      </w:r>
      <w:r w:rsidRPr="002F76F5">
        <w:rPr>
          <w:rFonts w:eastAsia="Times New Roman"/>
          <w:i/>
          <w:iCs/>
          <w:lang w:val="en-US"/>
        </w:rPr>
        <w:t>19</w:t>
      </w:r>
      <w:r w:rsidRPr="002F76F5">
        <w:rPr>
          <w:rFonts w:eastAsia="Times New Roman"/>
          <w:lang w:val="en-US"/>
        </w:rPr>
        <w:t xml:space="preserve">(3), 106. </w:t>
      </w:r>
      <w:hyperlink r:id="rId9" w:history="1">
        <w:r w:rsidRPr="002F76F5">
          <w:rPr>
            <w:rFonts w:eastAsia="Times New Roman"/>
            <w:color w:val="0000FF"/>
            <w:u w:val="single"/>
            <w:lang w:val="en-US"/>
          </w:rPr>
          <w:t>https://doi.org/10.1186/s12961-021-00750-w</w:t>
        </w:r>
      </w:hyperlink>
    </w:p>
    <w:p w14:paraId="46562A33" w14:textId="5779E9B6" w:rsidR="001432B6" w:rsidRPr="002F76F5" w:rsidRDefault="001432B6" w:rsidP="001432B6">
      <w:pPr>
        <w:spacing w:line="480" w:lineRule="auto"/>
        <w:ind w:hanging="480"/>
        <w:rPr>
          <w:rFonts w:eastAsia="Times New Roman"/>
          <w:lang w:val="en-US"/>
        </w:rPr>
      </w:pPr>
      <w:r w:rsidRPr="002F76F5">
        <w:rPr>
          <w:rFonts w:eastAsia="Times New Roman"/>
          <w:lang w:val="en-US"/>
        </w:rPr>
        <w:t>6.</w:t>
      </w:r>
      <w:r w:rsidRPr="002F76F5">
        <w:t xml:space="preserve"> </w:t>
      </w:r>
      <w:r w:rsidRPr="002F76F5">
        <w:rPr>
          <w:rFonts w:eastAsia="Times New Roman"/>
          <w:lang w:val="en-US"/>
        </w:rPr>
        <w:t xml:space="preserve">Naughton, J. D., &amp; </w:t>
      </w:r>
      <w:proofErr w:type="spellStart"/>
      <w:r w:rsidRPr="002F76F5">
        <w:rPr>
          <w:rFonts w:eastAsia="Times New Roman"/>
          <w:lang w:val="en-US"/>
        </w:rPr>
        <w:t>Vanable</w:t>
      </w:r>
      <w:proofErr w:type="spellEnd"/>
      <w:r w:rsidRPr="002F76F5">
        <w:rPr>
          <w:rFonts w:eastAsia="Times New Roman"/>
          <w:lang w:val="en-US"/>
        </w:rPr>
        <w:t xml:space="preserve">, P. A. (2013). HIV Stigmatization Among Healthcare Providers: Review of the Evidence and Implications for HIV Care. In P. Liamputtong (Ed.), </w:t>
      </w:r>
      <w:r w:rsidRPr="002F76F5">
        <w:rPr>
          <w:rFonts w:eastAsia="Times New Roman"/>
          <w:i/>
          <w:iCs/>
          <w:lang w:val="en-US"/>
        </w:rPr>
        <w:t>Stigma, Discrimination and Living with HIV/AIDS: A Cross-Cultural Perspective</w:t>
      </w:r>
      <w:r w:rsidRPr="002F76F5">
        <w:rPr>
          <w:rFonts w:eastAsia="Times New Roman"/>
          <w:lang w:val="en-US"/>
        </w:rPr>
        <w:t xml:space="preserve"> (pp. 97–114). Springer Netherlands. </w:t>
      </w:r>
      <w:hyperlink r:id="rId10" w:history="1">
        <w:r w:rsidRPr="002F76F5">
          <w:rPr>
            <w:rFonts w:eastAsia="Times New Roman"/>
            <w:color w:val="0000FF"/>
            <w:u w:val="single"/>
            <w:lang w:val="en-US"/>
          </w:rPr>
          <w:t>https://doi.org/10.1007/978-94-007-6324-1_6</w:t>
        </w:r>
      </w:hyperlink>
    </w:p>
    <w:p w14:paraId="5B531BF5" w14:textId="53992FED" w:rsidR="001432B6" w:rsidRPr="002F76F5" w:rsidRDefault="001432B6" w:rsidP="001432B6">
      <w:pPr>
        <w:spacing w:line="480" w:lineRule="auto"/>
        <w:ind w:hanging="480"/>
        <w:rPr>
          <w:rFonts w:eastAsia="Times New Roman"/>
          <w:lang w:val="en-US"/>
        </w:rPr>
      </w:pPr>
      <w:r w:rsidRPr="002F76F5">
        <w:rPr>
          <w:rFonts w:eastAsia="Times New Roman"/>
          <w:lang w:val="en-US"/>
        </w:rPr>
        <w:lastRenderedPageBreak/>
        <w:t>7.</w:t>
      </w:r>
      <w:r w:rsidRPr="002F76F5">
        <w:t xml:space="preserve"> </w:t>
      </w:r>
      <w:r w:rsidRPr="002F76F5">
        <w:rPr>
          <w:rFonts w:eastAsia="Times New Roman"/>
          <w:lang w:val="en-US"/>
        </w:rPr>
        <w:t xml:space="preserve">Payne, J., Razi, S., Emery, K., Quattrone, W., &amp; Tardif-Douglin, M. (2017). Integrating Community Health Workers (CHWs) into Health Care Organizations. </w:t>
      </w:r>
      <w:r w:rsidRPr="002F76F5">
        <w:rPr>
          <w:rFonts w:eastAsia="Times New Roman"/>
          <w:i/>
          <w:iCs/>
          <w:lang w:val="en-US"/>
        </w:rPr>
        <w:t>Journal of Community Health</w:t>
      </w:r>
      <w:r w:rsidRPr="002F76F5">
        <w:rPr>
          <w:rFonts w:eastAsia="Times New Roman"/>
          <w:lang w:val="en-US"/>
        </w:rPr>
        <w:t xml:space="preserve">, </w:t>
      </w:r>
      <w:r w:rsidRPr="002F76F5">
        <w:rPr>
          <w:rFonts w:eastAsia="Times New Roman"/>
          <w:i/>
          <w:iCs/>
          <w:lang w:val="en-US"/>
        </w:rPr>
        <w:t>42</w:t>
      </w:r>
      <w:r w:rsidRPr="002F76F5">
        <w:rPr>
          <w:rFonts w:eastAsia="Times New Roman"/>
          <w:lang w:val="en-US"/>
        </w:rPr>
        <w:t xml:space="preserve">(5), 983–990. </w:t>
      </w:r>
      <w:hyperlink r:id="rId11" w:history="1">
        <w:r w:rsidRPr="002F76F5">
          <w:rPr>
            <w:rFonts w:eastAsia="Times New Roman"/>
            <w:color w:val="0000FF"/>
            <w:u w:val="single"/>
            <w:lang w:val="en-US"/>
          </w:rPr>
          <w:t>https://doi.org/10.1007/s10900-017-0345-4</w:t>
        </w:r>
      </w:hyperlink>
    </w:p>
    <w:p w14:paraId="4AC924B9" w14:textId="13053EB0" w:rsidR="002F76F5" w:rsidRPr="002F76F5" w:rsidRDefault="002F76F5" w:rsidP="002F76F5">
      <w:pPr>
        <w:spacing w:line="480" w:lineRule="auto"/>
        <w:ind w:hanging="480"/>
        <w:rPr>
          <w:rFonts w:eastAsia="Times New Roman"/>
          <w:lang w:val="en-US"/>
        </w:rPr>
      </w:pPr>
      <w:r w:rsidRPr="002F76F5">
        <w:rPr>
          <w:rFonts w:eastAsia="Times New Roman"/>
          <w:lang w:val="en-US"/>
        </w:rPr>
        <w:t>8.</w:t>
      </w:r>
      <w:r w:rsidRPr="002F76F5">
        <w:t xml:space="preserve"> </w:t>
      </w:r>
      <w:r w:rsidRPr="002F76F5">
        <w:rPr>
          <w:rFonts w:eastAsia="Times New Roman"/>
          <w:lang w:val="en-US"/>
        </w:rPr>
        <w:t xml:space="preserve">Lloyd, J., &amp; Thomas-Henkel, C. (n.d.). </w:t>
      </w:r>
      <w:r w:rsidRPr="002F76F5">
        <w:rPr>
          <w:rFonts w:eastAsia="Times New Roman"/>
          <w:i/>
          <w:iCs/>
          <w:lang w:val="en-US"/>
        </w:rPr>
        <w:t>Integrating Community Health Workers into Complex Care Teams: Key Considerations</w:t>
      </w:r>
      <w:r w:rsidRPr="002F76F5">
        <w:rPr>
          <w:rFonts w:eastAsia="Times New Roman"/>
          <w:lang w:val="en-US"/>
        </w:rPr>
        <w:t>.</w:t>
      </w:r>
    </w:p>
    <w:p w14:paraId="61AD0171" w14:textId="7EE1B781" w:rsidR="00473734" w:rsidRPr="00473734" w:rsidRDefault="00473734" w:rsidP="002F76F5">
      <w:pPr>
        <w:spacing w:line="480" w:lineRule="auto"/>
        <w:rPr>
          <w:rFonts w:ascii="Times New Roman" w:eastAsia="Times New Roman" w:hAnsi="Times New Roman" w:cs="Times New Roman"/>
          <w:sz w:val="24"/>
          <w:szCs w:val="24"/>
          <w:lang w:val="en-US"/>
        </w:rPr>
      </w:pPr>
    </w:p>
    <w:p w14:paraId="59F419DA" w14:textId="7D34187C" w:rsidR="00473734" w:rsidRPr="00473734" w:rsidRDefault="00473734" w:rsidP="00473734">
      <w:pPr>
        <w:spacing w:line="480" w:lineRule="auto"/>
        <w:ind w:hanging="480"/>
        <w:rPr>
          <w:rFonts w:ascii="Times New Roman" w:eastAsia="Times New Roman" w:hAnsi="Times New Roman" w:cs="Times New Roman"/>
          <w:sz w:val="24"/>
          <w:szCs w:val="24"/>
          <w:lang w:val="en-US"/>
        </w:rPr>
      </w:pPr>
    </w:p>
    <w:p w14:paraId="6E0A6016" w14:textId="633A3724" w:rsidR="00473734" w:rsidRPr="00473734" w:rsidRDefault="00473734" w:rsidP="00473734">
      <w:pPr>
        <w:ind w:hanging="360"/>
        <w:rPr>
          <w:rFonts w:eastAsia="Times New Roman"/>
        </w:rPr>
      </w:pPr>
    </w:p>
    <w:p w14:paraId="00000019" w14:textId="77777777" w:rsidR="00175CD4" w:rsidRPr="001E5258" w:rsidRDefault="00175CD4">
      <w:pPr>
        <w:ind w:hanging="360"/>
        <w:rPr>
          <w:rFonts w:eastAsia="Times New Roman"/>
        </w:rPr>
      </w:pPr>
    </w:p>
    <w:p w14:paraId="0000001D" w14:textId="77777777" w:rsidR="00175CD4" w:rsidRDefault="00175CD4" w:rsidP="001E5258">
      <w:pPr>
        <w:rPr>
          <w:rFonts w:ascii="Times New Roman" w:eastAsia="Times New Roman" w:hAnsi="Times New Roman" w:cs="Times New Roman"/>
          <w:sz w:val="24"/>
          <w:szCs w:val="24"/>
        </w:rPr>
      </w:pPr>
    </w:p>
    <w:p w14:paraId="0000001E" w14:textId="77777777" w:rsidR="00175CD4" w:rsidRDefault="00175CD4">
      <w:pPr>
        <w:ind w:left="720"/>
        <w:rPr>
          <w:rFonts w:ascii="Times New Roman" w:eastAsia="Times New Roman" w:hAnsi="Times New Roman" w:cs="Times New Roman"/>
          <w:sz w:val="24"/>
          <w:szCs w:val="24"/>
        </w:rPr>
      </w:pPr>
    </w:p>
    <w:p w14:paraId="0000001F" w14:textId="77777777" w:rsidR="00175CD4" w:rsidRPr="001E5258" w:rsidRDefault="00175CD4" w:rsidP="001E5258">
      <w:pPr>
        <w:ind w:left="720"/>
        <w:rPr>
          <w:rFonts w:ascii="Times New Roman" w:hAnsi="Times New Roman"/>
          <w:sz w:val="24"/>
        </w:rPr>
      </w:pPr>
    </w:p>
    <w:sectPr w:rsidR="00175CD4" w:rsidRPr="001E5258" w:rsidSect="00FB664B">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173CB9"/>
    <w:multiLevelType w:val="multilevel"/>
    <w:tmpl w:val="96E2FD6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2174797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5CD4"/>
    <w:rsid w:val="000A6915"/>
    <w:rsid w:val="001432B6"/>
    <w:rsid w:val="00170FB2"/>
    <w:rsid w:val="00175CD4"/>
    <w:rsid w:val="001E5258"/>
    <w:rsid w:val="00234B9A"/>
    <w:rsid w:val="002F3BEB"/>
    <w:rsid w:val="002F76F5"/>
    <w:rsid w:val="00473734"/>
    <w:rsid w:val="005B6A27"/>
    <w:rsid w:val="00601ED0"/>
    <w:rsid w:val="00660AAE"/>
    <w:rsid w:val="006C5CC9"/>
    <w:rsid w:val="00A53C19"/>
    <w:rsid w:val="00B34F49"/>
    <w:rsid w:val="00B511A1"/>
    <w:rsid w:val="00BE0E36"/>
    <w:rsid w:val="00C274D7"/>
    <w:rsid w:val="00E7202F"/>
    <w:rsid w:val="00F305E0"/>
    <w:rsid w:val="00FB66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21D07F"/>
  <w15:docId w15:val="{66F507FD-C519-4B7F-8B40-C6FCE7BFBD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character" w:styleId="CommentReference">
    <w:name w:val="annotation reference"/>
    <w:basedOn w:val="DefaultParagraphFont"/>
    <w:uiPriority w:val="99"/>
    <w:semiHidden/>
    <w:unhideWhenUsed/>
    <w:rsid w:val="00A53C19"/>
    <w:rPr>
      <w:sz w:val="16"/>
      <w:szCs w:val="16"/>
    </w:rPr>
  </w:style>
  <w:style w:type="paragraph" w:styleId="CommentText">
    <w:name w:val="annotation text"/>
    <w:basedOn w:val="Normal"/>
    <w:link w:val="CommentTextChar"/>
    <w:uiPriority w:val="99"/>
    <w:unhideWhenUsed/>
    <w:rsid w:val="00A53C19"/>
    <w:pPr>
      <w:spacing w:after="160" w:line="240" w:lineRule="auto"/>
    </w:pPr>
    <w:rPr>
      <w:rFonts w:asciiTheme="minorHAnsi" w:eastAsiaTheme="minorHAnsi" w:hAnsiTheme="minorHAnsi" w:cstheme="minorBidi"/>
      <w:kern w:val="2"/>
      <w:sz w:val="20"/>
      <w:szCs w:val="20"/>
      <w:lang w:val="en-US"/>
      <w14:ligatures w14:val="standardContextual"/>
    </w:rPr>
  </w:style>
  <w:style w:type="character" w:customStyle="1" w:styleId="CommentTextChar">
    <w:name w:val="Comment Text Char"/>
    <w:basedOn w:val="DefaultParagraphFont"/>
    <w:link w:val="CommentText"/>
    <w:uiPriority w:val="99"/>
    <w:rsid w:val="00A53C19"/>
    <w:rPr>
      <w:rFonts w:asciiTheme="minorHAnsi" w:eastAsiaTheme="minorHAnsi" w:hAnsiTheme="minorHAnsi" w:cstheme="minorBidi"/>
      <w:kern w:val="2"/>
      <w:sz w:val="20"/>
      <w:szCs w:val="20"/>
      <w:lang w:val="en-US"/>
      <w14:ligatures w14:val="standardContextual"/>
    </w:rPr>
  </w:style>
  <w:style w:type="paragraph" w:styleId="CommentSubject">
    <w:name w:val="annotation subject"/>
    <w:basedOn w:val="CommentText"/>
    <w:next w:val="CommentText"/>
    <w:link w:val="CommentSubjectChar"/>
    <w:uiPriority w:val="99"/>
    <w:semiHidden/>
    <w:unhideWhenUsed/>
    <w:rsid w:val="00A53C19"/>
    <w:rPr>
      <w:b/>
      <w:bCs/>
    </w:rPr>
  </w:style>
  <w:style w:type="character" w:customStyle="1" w:styleId="CommentSubjectChar">
    <w:name w:val="Comment Subject Char"/>
    <w:basedOn w:val="CommentTextChar"/>
    <w:link w:val="CommentSubject"/>
    <w:uiPriority w:val="99"/>
    <w:semiHidden/>
    <w:rsid w:val="00A53C19"/>
    <w:rPr>
      <w:rFonts w:asciiTheme="minorHAnsi" w:eastAsiaTheme="minorHAnsi" w:hAnsiTheme="minorHAnsi" w:cstheme="minorBidi"/>
      <w:b/>
      <w:bCs/>
      <w:kern w:val="2"/>
      <w:sz w:val="20"/>
      <w:szCs w:val="20"/>
      <w:lang w:val="en-US"/>
      <w14:ligatures w14:val="standardContextual"/>
    </w:rPr>
  </w:style>
  <w:style w:type="paragraph" w:styleId="Revision">
    <w:name w:val="Revision"/>
    <w:hidden/>
    <w:uiPriority w:val="99"/>
    <w:semiHidden/>
    <w:rsid w:val="00A53C19"/>
    <w:pPr>
      <w:spacing w:line="240" w:lineRule="auto"/>
    </w:pPr>
  </w:style>
  <w:style w:type="paragraph" w:styleId="ListParagraph">
    <w:name w:val="List Paragraph"/>
    <w:basedOn w:val="Normal"/>
    <w:uiPriority w:val="34"/>
    <w:qFormat/>
    <w:rsid w:val="00473734"/>
    <w:pPr>
      <w:ind w:left="720"/>
      <w:contextualSpacing/>
    </w:pPr>
  </w:style>
  <w:style w:type="character" w:styleId="Hyperlink">
    <w:name w:val="Hyperlink"/>
    <w:basedOn w:val="DefaultParagraphFont"/>
    <w:uiPriority w:val="99"/>
    <w:semiHidden/>
    <w:unhideWhenUsed/>
    <w:rsid w:val="0047373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8276367">
      <w:bodyDiv w:val="1"/>
      <w:marLeft w:val="0"/>
      <w:marRight w:val="0"/>
      <w:marTop w:val="0"/>
      <w:marBottom w:val="0"/>
      <w:divBdr>
        <w:top w:val="none" w:sz="0" w:space="0" w:color="auto"/>
        <w:left w:val="none" w:sz="0" w:space="0" w:color="auto"/>
        <w:bottom w:val="none" w:sz="0" w:space="0" w:color="auto"/>
        <w:right w:val="none" w:sz="0" w:space="0" w:color="auto"/>
      </w:divBdr>
      <w:divsChild>
        <w:div w:id="770465946">
          <w:marLeft w:val="480"/>
          <w:marRight w:val="0"/>
          <w:marTop w:val="0"/>
          <w:marBottom w:val="0"/>
          <w:divBdr>
            <w:top w:val="none" w:sz="0" w:space="0" w:color="auto"/>
            <w:left w:val="none" w:sz="0" w:space="0" w:color="auto"/>
            <w:bottom w:val="none" w:sz="0" w:space="0" w:color="auto"/>
            <w:right w:val="none" w:sz="0" w:space="0" w:color="auto"/>
          </w:divBdr>
          <w:divsChild>
            <w:div w:id="1936743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9561255">
      <w:bodyDiv w:val="1"/>
      <w:marLeft w:val="0"/>
      <w:marRight w:val="0"/>
      <w:marTop w:val="0"/>
      <w:marBottom w:val="0"/>
      <w:divBdr>
        <w:top w:val="none" w:sz="0" w:space="0" w:color="auto"/>
        <w:left w:val="none" w:sz="0" w:space="0" w:color="auto"/>
        <w:bottom w:val="none" w:sz="0" w:space="0" w:color="auto"/>
        <w:right w:val="none" w:sz="0" w:space="0" w:color="auto"/>
      </w:divBdr>
      <w:divsChild>
        <w:div w:id="1259675157">
          <w:marLeft w:val="480"/>
          <w:marRight w:val="0"/>
          <w:marTop w:val="0"/>
          <w:marBottom w:val="0"/>
          <w:divBdr>
            <w:top w:val="none" w:sz="0" w:space="0" w:color="auto"/>
            <w:left w:val="none" w:sz="0" w:space="0" w:color="auto"/>
            <w:bottom w:val="none" w:sz="0" w:space="0" w:color="auto"/>
            <w:right w:val="none" w:sz="0" w:space="0" w:color="auto"/>
          </w:divBdr>
          <w:divsChild>
            <w:div w:id="958949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8968766">
      <w:bodyDiv w:val="1"/>
      <w:marLeft w:val="0"/>
      <w:marRight w:val="0"/>
      <w:marTop w:val="0"/>
      <w:marBottom w:val="0"/>
      <w:divBdr>
        <w:top w:val="none" w:sz="0" w:space="0" w:color="auto"/>
        <w:left w:val="none" w:sz="0" w:space="0" w:color="auto"/>
        <w:bottom w:val="none" w:sz="0" w:space="0" w:color="auto"/>
        <w:right w:val="none" w:sz="0" w:space="0" w:color="auto"/>
      </w:divBdr>
      <w:divsChild>
        <w:div w:id="1326402032">
          <w:marLeft w:val="480"/>
          <w:marRight w:val="0"/>
          <w:marTop w:val="0"/>
          <w:marBottom w:val="0"/>
          <w:divBdr>
            <w:top w:val="none" w:sz="0" w:space="0" w:color="auto"/>
            <w:left w:val="none" w:sz="0" w:space="0" w:color="auto"/>
            <w:bottom w:val="none" w:sz="0" w:space="0" w:color="auto"/>
            <w:right w:val="none" w:sz="0" w:space="0" w:color="auto"/>
          </w:divBdr>
          <w:divsChild>
            <w:div w:id="973144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6647116">
      <w:bodyDiv w:val="1"/>
      <w:marLeft w:val="0"/>
      <w:marRight w:val="0"/>
      <w:marTop w:val="0"/>
      <w:marBottom w:val="0"/>
      <w:divBdr>
        <w:top w:val="none" w:sz="0" w:space="0" w:color="auto"/>
        <w:left w:val="none" w:sz="0" w:space="0" w:color="auto"/>
        <w:bottom w:val="none" w:sz="0" w:space="0" w:color="auto"/>
        <w:right w:val="none" w:sz="0" w:space="0" w:color="auto"/>
      </w:divBdr>
      <w:divsChild>
        <w:div w:id="123812199">
          <w:marLeft w:val="480"/>
          <w:marRight w:val="0"/>
          <w:marTop w:val="0"/>
          <w:marBottom w:val="0"/>
          <w:divBdr>
            <w:top w:val="none" w:sz="0" w:space="0" w:color="auto"/>
            <w:left w:val="none" w:sz="0" w:space="0" w:color="auto"/>
            <w:bottom w:val="none" w:sz="0" w:space="0" w:color="auto"/>
            <w:right w:val="none" w:sz="0" w:space="0" w:color="auto"/>
          </w:divBdr>
          <w:divsChild>
            <w:div w:id="1909850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535482">
      <w:bodyDiv w:val="1"/>
      <w:marLeft w:val="0"/>
      <w:marRight w:val="0"/>
      <w:marTop w:val="0"/>
      <w:marBottom w:val="0"/>
      <w:divBdr>
        <w:top w:val="none" w:sz="0" w:space="0" w:color="auto"/>
        <w:left w:val="none" w:sz="0" w:space="0" w:color="auto"/>
        <w:bottom w:val="none" w:sz="0" w:space="0" w:color="auto"/>
        <w:right w:val="none" w:sz="0" w:space="0" w:color="auto"/>
      </w:divBdr>
      <w:divsChild>
        <w:div w:id="264390319">
          <w:marLeft w:val="480"/>
          <w:marRight w:val="0"/>
          <w:marTop w:val="0"/>
          <w:marBottom w:val="0"/>
          <w:divBdr>
            <w:top w:val="none" w:sz="0" w:space="0" w:color="auto"/>
            <w:left w:val="none" w:sz="0" w:space="0" w:color="auto"/>
            <w:bottom w:val="none" w:sz="0" w:space="0" w:color="auto"/>
            <w:right w:val="none" w:sz="0" w:space="0" w:color="auto"/>
          </w:divBdr>
          <w:divsChild>
            <w:div w:id="2132504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7569764">
      <w:bodyDiv w:val="1"/>
      <w:marLeft w:val="0"/>
      <w:marRight w:val="0"/>
      <w:marTop w:val="0"/>
      <w:marBottom w:val="0"/>
      <w:divBdr>
        <w:top w:val="none" w:sz="0" w:space="0" w:color="auto"/>
        <w:left w:val="none" w:sz="0" w:space="0" w:color="auto"/>
        <w:bottom w:val="none" w:sz="0" w:space="0" w:color="auto"/>
        <w:right w:val="none" w:sz="0" w:space="0" w:color="auto"/>
      </w:divBdr>
      <w:divsChild>
        <w:div w:id="1509710329">
          <w:marLeft w:val="480"/>
          <w:marRight w:val="0"/>
          <w:marTop w:val="0"/>
          <w:marBottom w:val="0"/>
          <w:divBdr>
            <w:top w:val="none" w:sz="0" w:space="0" w:color="auto"/>
            <w:left w:val="none" w:sz="0" w:space="0" w:color="auto"/>
            <w:bottom w:val="none" w:sz="0" w:space="0" w:color="auto"/>
            <w:right w:val="none" w:sz="0" w:space="0" w:color="auto"/>
          </w:divBdr>
          <w:divsChild>
            <w:div w:id="1822388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368164">
      <w:bodyDiv w:val="1"/>
      <w:marLeft w:val="0"/>
      <w:marRight w:val="0"/>
      <w:marTop w:val="0"/>
      <w:marBottom w:val="0"/>
      <w:divBdr>
        <w:top w:val="none" w:sz="0" w:space="0" w:color="auto"/>
        <w:left w:val="none" w:sz="0" w:space="0" w:color="auto"/>
        <w:bottom w:val="none" w:sz="0" w:space="0" w:color="auto"/>
        <w:right w:val="none" w:sz="0" w:space="0" w:color="auto"/>
      </w:divBdr>
      <w:divsChild>
        <w:div w:id="35590424">
          <w:marLeft w:val="480"/>
          <w:marRight w:val="0"/>
          <w:marTop w:val="0"/>
          <w:marBottom w:val="0"/>
          <w:divBdr>
            <w:top w:val="none" w:sz="0" w:space="0" w:color="auto"/>
            <w:left w:val="none" w:sz="0" w:space="0" w:color="auto"/>
            <w:bottom w:val="none" w:sz="0" w:space="0" w:color="auto"/>
            <w:right w:val="none" w:sz="0" w:space="0" w:color="auto"/>
          </w:divBdr>
          <w:divsChild>
            <w:div w:id="2044867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3188771">
      <w:bodyDiv w:val="1"/>
      <w:marLeft w:val="0"/>
      <w:marRight w:val="0"/>
      <w:marTop w:val="0"/>
      <w:marBottom w:val="0"/>
      <w:divBdr>
        <w:top w:val="none" w:sz="0" w:space="0" w:color="auto"/>
        <w:left w:val="none" w:sz="0" w:space="0" w:color="auto"/>
        <w:bottom w:val="none" w:sz="0" w:space="0" w:color="auto"/>
        <w:right w:val="none" w:sz="0" w:space="0" w:color="auto"/>
      </w:divBdr>
      <w:divsChild>
        <w:div w:id="1434669841">
          <w:marLeft w:val="480"/>
          <w:marRight w:val="0"/>
          <w:marTop w:val="0"/>
          <w:marBottom w:val="0"/>
          <w:divBdr>
            <w:top w:val="none" w:sz="0" w:space="0" w:color="auto"/>
            <w:left w:val="none" w:sz="0" w:space="0" w:color="auto"/>
            <w:bottom w:val="none" w:sz="0" w:space="0" w:color="auto"/>
            <w:right w:val="none" w:sz="0" w:space="0" w:color="auto"/>
          </w:divBdr>
          <w:divsChild>
            <w:div w:id="856163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277495">
      <w:bodyDiv w:val="1"/>
      <w:marLeft w:val="0"/>
      <w:marRight w:val="0"/>
      <w:marTop w:val="0"/>
      <w:marBottom w:val="0"/>
      <w:divBdr>
        <w:top w:val="none" w:sz="0" w:space="0" w:color="auto"/>
        <w:left w:val="none" w:sz="0" w:space="0" w:color="auto"/>
        <w:bottom w:val="none" w:sz="0" w:space="0" w:color="auto"/>
        <w:right w:val="none" w:sz="0" w:space="0" w:color="auto"/>
      </w:divBdr>
      <w:divsChild>
        <w:div w:id="1238049934">
          <w:marLeft w:val="480"/>
          <w:marRight w:val="0"/>
          <w:marTop w:val="0"/>
          <w:marBottom w:val="0"/>
          <w:divBdr>
            <w:top w:val="none" w:sz="0" w:space="0" w:color="auto"/>
            <w:left w:val="none" w:sz="0" w:space="0" w:color="auto"/>
            <w:bottom w:val="none" w:sz="0" w:space="0" w:color="auto"/>
            <w:right w:val="none" w:sz="0" w:space="0" w:color="auto"/>
          </w:divBdr>
          <w:divsChild>
            <w:div w:id="1400979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s://doi.org/10.1186/s12960-017-0219-y"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frontiersin.org/articles/10.3389/fpubh.2021.689798"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doi.org/10.1080/09540121.2014.936819" TargetMode="External"/><Relationship Id="rId11" Type="http://schemas.openxmlformats.org/officeDocument/2006/relationships/hyperlink" Target="https://doi.org/10.1007/s10900-017-0345-4" TargetMode="External"/><Relationship Id="rId5" Type="http://schemas.openxmlformats.org/officeDocument/2006/relationships/hyperlink" Target="https://doi.org/10.1371/journal.pone.0219124" TargetMode="External"/><Relationship Id="rId10" Type="http://schemas.openxmlformats.org/officeDocument/2006/relationships/hyperlink" Target="https://doi.org/10.1007/978-94-007-6324-1_6" TargetMode="External"/><Relationship Id="rId4" Type="http://schemas.openxmlformats.org/officeDocument/2006/relationships/webSettings" Target="webSettings.xml"/><Relationship Id="rId9" Type="http://schemas.openxmlformats.org/officeDocument/2006/relationships/hyperlink" Target="https://doi.org/10.1186/s12961-021-00750-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1177</Words>
  <Characters>6713</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Faiad Alam</dc:creator>
  <cp:lastModifiedBy>Humphries, Debbie</cp:lastModifiedBy>
  <cp:revision>2</cp:revision>
  <dcterms:created xsi:type="dcterms:W3CDTF">2024-04-05T22:42:00Z</dcterms:created>
  <dcterms:modified xsi:type="dcterms:W3CDTF">2024-04-05T22:42:00Z</dcterms:modified>
</cp:coreProperties>
</file>