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154DF6" w14:textId="6B45413C" w:rsidR="00375716" w:rsidRPr="00214A82" w:rsidRDefault="00534790" w:rsidP="00214A82">
      <w:pPr>
        <w:ind w:firstLine="0"/>
        <w:jc w:val="center"/>
        <w:rPr>
          <w:rFonts w:ascii="Times New Roman" w:hAnsi="Times New Roman" w:cs="Times New Roman"/>
          <w:b/>
          <w:sz w:val="24"/>
          <w:szCs w:val="24"/>
        </w:rPr>
      </w:pPr>
      <w:r w:rsidRPr="00214A82">
        <w:rPr>
          <w:rFonts w:ascii="Times New Roman" w:hAnsi="Times New Roman" w:cs="Times New Roman"/>
          <w:b/>
          <w:sz w:val="24"/>
          <w:szCs w:val="24"/>
        </w:rPr>
        <w:t>Supplemental Material</w:t>
      </w:r>
      <w:r w:rsidR="002E331E" w:rsidRPr="00214A82">
        <w:rPr>
          <w:rFonts w:ascii="Times New Roman" w:hAnsi="Times New Roman" w:cs="Times New Roman"/>
          <w:b/>
          <w:sz w:val="24"/>
          <w:szCs w:val="24"/>
        </w:rPr>
        <w:t>s</w:t>
      </w:r>
    </w:p>
    <w:p w14:paraId="4C5C7F47" w14:textId="3B55C1EF" w:rsidR="00375716" w:rsidRPr="00214A82" w:rsidRDefault="002E331E" w:rsidP="00214A82">
      <w:pPr>
        <w:ind w:firstLine="0"/>
        <w:jc w:val="center"/>
        <w:rPr>
          <w:rFonts w:ascii="Times New Roman" w:hAnsi="Times New Roman" w:cs="Times New Roman"/>
          <w:b/>
          <w:sz w:val="24"/>
          <w:szCs w:val="24"/>
        </w:rPr>
      </w:pPr>
      <w:r w:rsidRPr="00214A82">
        <w:rPr>
          <w:rFonts w:ascii="Times New Roman" w:hAnsi="Times New Roman" w:cs="Times New Roman"/>
          <w:b/>
          <w:sz w:val="24"/>
          <w:szCs w:val="24"/>
        </w:rPr>
        <w:t>Supplemental m</w:t>
      </w:r>
      <w:r w:rsidR="00375716" w:rsidRPr="00214A82">
        <w:rPr>
          <w:rFonts w:ascii="Times New Roman" w:hAnsi="Times New Roman" w:cs="Times New Roman"/>
          <w:b/>
          <w:sz w:val="24"/>
          <w:szCs w:val="24"/>
        </w:rPr>
        <w:t>ethods</w:t>
      </w:r>
    </w:p>
    <w:p w14:paraId="138BA761" w14:textId="77777777" w:rsidR="00375716" w:rsidRPr="00214A82" w:rsidRDefault="00375716" w:rsidP="00214A82">
      <w:pPr>
        <w:spacing w:before="240"/>
        <w:rPr>
          <w:rFonts w:ascii="Times New Roman" w:eastAsia="Calibri" w:hAnsi="Times New Roman" w:cs="Times New Roman"/>
          <w:sz w:val="24"/>
          <w:szCs w:val="24"/>
        </w:rPr>
      </w:pPr>
      <w:r w:rsidRPr="00214A82">
        <w:rPr>
          <w:rFonts w:ascii="Times New Roman" w:eastAsia="Calibri" w:hAnsi="Times New Roman" w:cs="Times New Roman"/>
          <w:sz w:val="24"/>
          <w:szCs w:val="24"/>
        </w:rPr>
        <w:t xml:space="preserve">For these binary response data, a 2-parameter logistic (2-PL) IRT model is appropriate: </w:t>
      </w:r>
    </w:p>
    <w:p w14:paraId="6FA0FA85" w14:textId="77777777" w:rsidR="00375716" w:rsidRPr="00214A82" w:rsidRDefault="00375716" w:rsidP="00214A82">
      <w:pPr>
        <w:spacing w:before="240"/>
        <w:ind w:firstLine="0"/>
        <w:jc w:val="left"/>
        <w:rPr>
          <w:rFonts w:ascii="Times New Roman" w:eastAsia="Calibri" w:hAnsi="Times New Roman" w:cs="Times New Roman"/>
          <w:sz w:val="24"/>
          <w:szCs w:val="24"/>
        </w:rPr>
      </w:pPr>
      <m:oMath>
        <m:r>
          <w:rPr>
            <w:rFonts w:ascii="Cambria Math" w:eastAsia="Calibri" w:hAnsi="Cambria Math" w:cs="Times New Roman"/>
            <w:sz w:val="24"/>
            <w:szCs w:val="24"/>
          </w:rPr>
          <m:t>P</m:t>
        </m:r>
        <m:d>
          <m:dPr>
            <m:ctrlPr>
              <w:rPr>
                <w:rFonts w:ascii="Cambria Math" w:eastAsia="Calibri" w:hAnsi="Cambria Math" w:cs="Times New Roman"/>
                <w:i/>
                <w:sz w:val="24"/>
                <w:szCs w:val="24"/>
              </w:rPr>
            </m:ctrlPr>
          </m:dPr>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X</m:t>
                </m:r>
              </m:e>
              <m:sub>
                <m:r>
                  <w:rPr>
                    <w:rFonts w:ascii="Cambria Math" w:eastAsia="Calibri" w:hAnsi="Cambria Math" w:cs="Times New Roman"/>
                    <w:sz w:val="24"/>
                    <w:szCs w:val="24"/>
                  </w:rPr>
                  <m:t>i</m:t>
                </m:r>
              </m:sub>
            </m:sSub>
            <m:r>
              <w:rPr>
                <w:rFonts w:ascii="Cambria Math" w:eastAsia="Calibri" w:hAnsi="Cambria Math" w:cs="Times New Roman"/>
                <w:sz w:val="24"/>
                <w:szCs w:val="24"/>
              </w:rPr>
              <m:t>=1</m:t>
            </m:r>
          </m:e>
          <m:e>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θ</m:t>
                </m:r>
              </m:e>
              <m:sub>
                <m:r>
                  <w:rPr>
                    <w:rFonts w:ascii="Cambria Math" w:eastAsia="Calibri" w:hAnsi="Cambria Math" w:cs="Times New Roman"/>
                    <w:sz w:val="24"/>
                    <w:szCs w:val="24"/>
                  </w:rPr>
                  <m:t xml:space="preserve">,  </m:t>
                </m:r>
              </m:sub>
            </m:sSub>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 xml:space="preserve"> β</m:t>
                </m:r>
              </m:e>
              <m:sub>
                <m:r>
                  <w:rPr>
                    <w:rFonts w:ascii="Cambria Math" w:eastAsia="Calibri" w:hAnsi="Cambria Math" w:cs="Times New Roman"/>
                    <w:sz w:val="24"/>
                    <w:szCs w:val="24"/>
                  </w:rPr>
                  <m:t xml:space="preserve">i, </m:t>
                </m:r>
              </m:sub>
            </m:sSub>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α</m:t>
                </m:r>
              </m:e>
              <m:sub>
                <m:r>
                  <w:rPr>
                    <w:rFonts w:ascii="Cambria Math" w:eastAsia="Calibri" w:hAnsi="Cambria Math" w:cs="Times New Roman"/>
                    <w:sz w:val="24"/>
                    <w:szCs w:val="24"/>
                  </w:rPr>
                  <m:t>i</m:t>
                </m:r>
              </m:sub>
            </m:sSub>
          </m:e>
        </m:d>
        <m:r>
          <w:rPr>
            <w:rFonts w:ascii="Cambria Math" w:eastAsia="Calibri" w:hAnsi="Cambria Math" w:cs="Times New Roman"/>
            <w:sz w:val="24"/>
            <w:szCs w:val="24"/>
          </w:rPr>
          <m:t xml:space="preserve">= </m:t>
        </m:r>
        <m:f>
          <m:fPr>
            <m:ctrlPr>
              <w:rPr>
                <w:rFonts w:ascii="Cambria Math" w:eastAsia="Calibri" w:hAnsi="Cambria Math" w:cs="Times New Roman"/>
                <w:i/>
                <w:sz w:val="24"/>
                <w:szCs w:val="24"/>
              </w:rPr>
            </m:ctrlPr>
          </m:fPr>
          <m:num>
            <m:func>
              <m:funcPr>
                <m:ctrlPr>
                  <w:rPr>
                    <w:rFonts w:ascii="Cambria Math" w:eastAsia="Calibri" w:hAnsi="Cambria Math" w:cs="Times New Roman"/>
                    <w:i/>
                    <w:sz w:val="24"/>
                    <w:szCs w:val="24"/>
                  </w:rPr>
                </m:ctrlPr>
              </m:funcPr>
              <m:fName>
                <m:r>
                  <m:rPr>
                    <m:sty m:val="p"/>
                  </m:rPr>
                  <w:rPr>
                    <w:rFonts w:ascii="Cambria Math" w:eastAsia="Calibri" w:hAnsi="Cambria Math" w:cs="Times New Roman"/>
                    <w:sz w:val="24"/>
                    <w:szCs w:val="24"/>
                  </w:rPr>
                  <m:t>exp</m:t>
                </m:r>
              </m:fName>
              <m:e>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α</m:t>
                    </m:r>
                  </m:e>
                  <m:sub>
                    <m:r>
                      <w:rPr>
                        <w:rFonts w:ascii="Cambria Math" w:eastAsia="Calibri" w:hAnsi="Cambria Math" w:cs="Times New Roman"/>
                        <w:sz w:val="24"/>
                        <w:szCs w:val="24"/>
                      </w:rPr>
                      <m:t>i</m:t>
                    </m:r>
                  </m:sub>
                </m:sSub>
                <m:r>
                  <w:rPr>
                    <w:rFonts w:ascii="Cambria Math" w:eastAsia="Calibri" w:hAnsi="Cambria Math" w:cs="Times New Roman"/>
                    <w:sz w:val="24"/>
                    <w:szCs w:val="24"/>
                  </w:rPr>
                  <m:t xml:space="preserve"> (θ</m:t>
                </m:r>
              </m:e>
            </m:func>
            <m:r>
              <w:rPr>
                <w:rFonts w:ascii="Cambria Math" w:eastAsia="Calibri" w:hAnsi="Cambria Math" w:cs="Times New Roman"/>
                <w:sz w:val="24"/>
                <w:szCs w:val="24"/>
              </w:rPr>
              <m:t xml:space="preserve">-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 xml:space="preserve">i </m:t>
                </m:r>
              </m:sub>
            </m:sSub>
            <m:r>
              <w:rPr>
                <w:rFonts w:ascii="Cambria Math" w:eastAsia="Calibri" w:hAnsi="Cambria Math" w:cs="Times New Roman"/>
                <w:sz w:val="24"/>
                <w:szCs w:val="24"/>
              </w:rPr>
              <m:t>))</m:t>
            </m:r>
          </m:num>
          <m:den>
            <m:r>
              <w:rPr>
                <w:rFonts w:ascii="Cambria Math" w:eastAsia="Calibri" w:hAnsi="Cambria Math" w:cs="Times New Roman"/>
                <w:sz w:val="24"/>
                <w:szCs w:val="24"/>
              </w:rPr>
              <m:t>1+</m:t>
            </m:r>
            <m:func>
              <m:funcPr>
                <m:ctrlPr>
                  <w:rPr>
                    <w:rFonts w:ascii="Cambria Math" w:eastAsia="Calibri" w:hAnsi="Cambria Math" w:cs="Times New Roman"/>
                    <w:i/>
                    <w:sz w:val="24"/>
                    <w:szCs w:val="24"/>
                  </w:rPr>
                </m:ctrlPr>
              </m:funcPr>
              <m:fName>
                <m:r>
                  <m:rPr>
                    <m:sty m:val="p"/>
                  </m:rPr>
                  <w:rPr>
                    <w:rFonts w:ascii="Cambria Math" w:eastAsia="Calibri" w:hAnsi="Cambria Math" w:cs="Times New Roman"/>
                    <w:sz w:val="24"/>
                    <w:szCs w:val="24"/>
                  </w:rPr>
                  <m:t>exp</m:t>
                </m:r>
              </m:fName>
              <m:e>
                <m:r>
                  <w:rPr>
                    <w:rFonts w:ascii="Cambria Math" w:eastAsia="Calibri" w:hAnsi="Cambria Math" w:cs="Times New Roman"/>
                    <w:sz w:val="24"/>
                    <w:szCs w:val="24"/>
                  </w:rPr>
                  <m:t>(</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α</m:t>
                    </m:r>
                  </m:e>
                  <m:sub>
                    <m:r>
                      <w:rPr>
                        <w:rFonts w:ascii="Cambria Math" w:eastAsia="Calibri" w:hAnsi="Cambria Math" w:cs="Times New Roman"/>
                        <w:sz w:val="24"/>
                        <w:szCs w:val="24"/>
                      </w:rPr>
                      <m:t>i</m:t>
                    </m:r>
                  </m:sub>
                </m:sSub>
              </m:e>
            </m:func>
            <m:r>
              <w:rPr>
                <w:rFonts w:ascii="Cambria Math" w:eastAsia="Calibri" w:hAnsi="Cambria Math" w:cs="Times New Roman"/>
                <w:sz w:val="24"/>
                <w:szCs w:val="24"/>
              </w:rPr>
              <m:t xml:space="preserve">(θ- </m:t>
            </m:r>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 xml:space="preserve">i </m:t>
                </m:r>
              </m:sub>
            </m:sSub>
            <m:r>
              <w:rPr>
                <w:rFonts w:ascii="Cambria Math" w:eastAsia="Calibri" w:hAnsi="Cambria Math" w:cs="Times New Roman"/>
                <w:sz w:val="24"/>
                <w:szCs w:val="24"/>
              </w:rPr>
              <m:t>))</m:t>
            </m:r>
          </m:den>
        </m:f>
      </m:oMath>
      <w:r w:rsidRPr="00214A82">
        <w:rPr>
          <w:rFonts w:ascii="Times New Roman" w:eastAsia="Times New Roman" w:hAnsi="Times New Roman" w:cs="Times New Roman"/>
          <w:sz w:val="24"/>
          <w:szCs w:val="24"/>
        </w:rPr>
        <w:tab/>
      </w:r>
      <w:r w:rsidRPr="00214A82">
        <w:rPr>
          <w:rFonts w:ascii="Times New Roman" w:eastAsia="Times New Roman" w:hAnsi="Times New Roman" w:cs="Times New Roman"/>
          <w:sz w:val="24"/>
          <w:szCs w:val="24"/>
        </w:rPr>
        <w:tab/>
      </w:r>
      <w:r w:rsidRPr="00214A82">
        <w:rPr>
          <w:rFonts w:ascii="Times New Roman" w:eastAsia="Times New Roman" w:hAnsi="Times New Roman" w:cs="Times New Roman"/>
          <w:sz w:val="24"/>
          <w:szCs w:val="24"/>
        </w:rPr>
        <w:tab/>
      </w:r>
      <w:r w:rsidRPr="00214A82">
        <w:rPr>
          <w:rFonts w:ascii="Times New Roman" w:eastAsia="Times New Roman" w:hAnsi="Times New Roman" w:cs="Times New Roman"/>
          <w:sz w:val="24"/>
          <w:szCs w:val="24"/>
        </w:rPr>
        <w:tab/>
        <w:t xml:space="preserve">          </w:t>
      </w:r>
      <w:r w:rsidRPr="00214A82">
        <w:rPr>
          <w:rFonts w:ascii="Times New Roman" w:eastAsia="Times New Roman" w:hAnsi="Times New Roman" w:cs="Times New Roman"/>
          <w:sz w:val="24"/>
          <w:szCs w:val="24"/>
        </w:rPr>
        <w:tab/>
      </w:r>
      <w:r w:rsidRPr="00214A82">
        <w:rPr>
          <w:rFonts w:ascii="Times New Roman" w:eastAsia="Times New Roman" w:hAnsi="Times New Roman" w:cs="Times New Roman"/>
          <w:sz w:val="24"/>
          <w:szCs w:val="24"/>
        </w:rPr>
        <w:tab/>
      </w:r>
      <w:r w:rsidRPr="00214A82">
        <w:rPr>
          <w:rFonts w:ascii="Times New Roman" w:eastAsia="Times New Roman" w:hAnsi="Times New Roman" w:cs="Times New Roman"/>
          <w:sz w:val="24"/>
          <w:szCs w:val="24"/>
        </w:rPr>
        <w:tab/>
        <w:t>(1)</w:t>
      </w:r>
    </w:p>
    <w:p w14:paraId="0DB7A8B2" w14:textId="4AFFE02C" w:rsidR="00375716" w:rsidRPr="00214A82" w:rsidRDefault="00375716" w:rsidP="00214A82">
      <w:pPr>
        <w:spacing w:before="240"/>
        <w:ind w:firstLine="0"/>
        <w:rPr>
          <w:rFonts w:ascii="Times New Roman" w:eastAsia="Calibri" w:hAnsi="Times New Roman" w:cs="Times New Roman"/>
          <w:sz w:val="24"/>
          <w:szCs w:val="24"/>
        </w:rPr>
      </w:pPr>
      <w:r w:rsidRPr="00214A82">
        <w:rPr>
          <w:rFonts w:ascii="Times New Roman" w:eastAsia="Calibri" w:hAnsi="Times New Roman" w:cs="Times New Roman"/>
          <w:sz w:val="24"/>
          <w:szCs w:val="24"/>
        </w:rPr>
        <w:t>The dependent variable is the dichotomous response (yes/no), the independent variables are the person’s trait level, theta (θ) and item difficulty (</w:t>
      </w:r>
      <m:oMath>
        <m:sSub>
          <m:sSubPr>
            <m:ctrlPr>
              <w:rPr>
                <w:rFonts w:ascii="Cambria Math" w:eastAsia="Calibri" w:hAnsi="Cambria Math" w:cs="Times New Roman"/>
                <w:i/>
                <w:sz w:val="24"/>
                <w:szCs w:val="24"/>
              </w:rPr>
            </m:ctrlPr>
          </m:sSubPr>
          <m:e>
            <m:r>
              <w:rPr>
                <w:rFonts w:ascii="Cambria Math" w:eastAsia="Calibri" w:hAnsi="Cambria Math" w:cs="Times New Roman"/>
                <w:sz w:val="24"/>
                <w:szCs w:val="24"/>
              </w:rPr>
              <m:t>β</m:t>
            </m:r>
          </m:e>
          <m:sub>
            <m:r>
              <w:rPr>
                <w:rFonts w:ascii="Cambria Math" w:eastAsia="Calibri" w:hAnsi="Cambria Math" w:cs="Times New Roman"/>
                <w:sz w:val="24"/>
                <w:szCs w:val="24"/>
              </w:rPr>
              <m:t xml:space="preserve">i </m:t>
            </m:r>
          </m:sub>
        </m:sSub>
        <m:r>
          <w:rPr>
            <w:rFonts w:ascii="Cambria Math" w:eastAsia="Calibri" w:hAnsi="Cambria Math" w:cs="Times New Roman"/>
            <w:sz w:val="24"/>
            <w:szCs w:val="24"/>
          </w:rPr>
          <m:t>)</m:t>
        </m:r>
      </m:oMath>
      <w:r w:rsidRPr="00214A82">
        <w:rPr>
          <w:rFonts w:ascii="Times New Roman" w:eastAsia="Calibri" w:hAnsi="Times New Roman" w:cs="Times New Roman"/>
          <w:sz w:val="24"/>
          <w:szCs w:val="24"/>
        </w:rPr>
        <w:t>. The independent variables combine accumulatively and the item’s difficulty is subtracted from θ. That is, the ratio of the probability of success for a person on an item to the probability of failure, where a logistic function provides the probability that endorsing any item (</w:t>
      </w:r>
      <m:oMath>
        <m:r>
          <w:rPr>
            <w:rFonts w:ascii="Cambria Math" w:eastAsia="Calibri" w:hAnsi="Cambria Math" w:cs="Times New Roman"/>
            <w:sz w:val="24"/>
            <w:szCs w:val="24"/>
          </w:rPr>
          <m:t>i)</m:t>
        </m:r>
      </m:oMath>
      <w:r w:rsidRPr="00214A82">
        <w:rPr>
          <w:rFonts w:ascii="Times New Roman" w:eastAsia="Calibri" w:hAnsi="Times New Roman" w:cs="Times New Roman"/>
          <w:sz w:val="24"/>
          <w:szCs w:val="24"/>
        </w:rPr>
        <w:t xml:space="preserve"> is independent from the outcome of any other item, controlling for person parameters (θ), and item parameters. The 2-PL model includes two parameters to represent the item properties (difficulty and discrimination) in the exponential form of the logistic model. Previous research showed that a 2-PL IRT model was appropriate for Eysenck scales </w:t>
      </w:r>
      <w:r w:rsidRPr="00214A82">
        <w:rPr>
          <w:rFonts w:ascii="Times New Roman" w:eastAsia="Calibri" w:hAnsi="Times New Roman" w:cs="Times New Roman"/>
          <w:sz w:val="24"/>
          <w:szCs w:val="24"/>
        </w:rPr>
        <w:fldChar w:fldCharType="begin"/>
      </w:r>
      <w:r w:rsidR="005F604F">
        <w:rPr>
          <w:rFonts w:ascii="Times New Roman" w:eastAsia="Calibri" w:hAnsi="Times New Roman" w:cs="Times New Roman"/>
          <w:sz w:val="24"/>
          <w:szCs w:val="24"/>
        </w:rPr>
        <w:instrText xml:space="preserve"> ADDIN EN.CITE &lt;EndNote&gt;&lt;Cite&gt;&lt;Author&gt;Ferrando&lt;/Author&gt;&lt;Year&gt;2001&lt;/Year&gt;&lt;RecNum&gt;38&lt;/RecNum&gt;&lt;DisplayText&gt;(1)&lt;/DisplayText&gt;&lt;record&gt;&lt;rec-number&gt;38&lt;/rec-number&gt;&lt;foreign-keys&gt;&lt;key app="EN" db-id="wxdz2xax3sxpr9e5z9u5x2v45ts0ax55swvz" timestamp="1666106870"&gt;38&lt;/key&gt;&lt;/foreign-keys&gt;&lt;ref-type name="Journal Article"&gt;17&lt;/ref-type&gt;&lt;contributors&gt;&lt;authors&gt;&lt;author&gt;Ferrando, Pere J.&lt;/author&gt;&lt;/authors&gt;&lt;/contributors&gt;&lt;titles&gt;&lt;title&gt;The measurement of neuroticism using MMQ, MPI, EPI and EPQ items:: a psychometric analysis based on item response theory&lt;/title&gt;&lt;secondary-title&gt;Personality and Individual Differences&lt;/secondary-title&gt;&lt;/titles&gt;&lt;periodical&gt;&lt;full-title&gt;Personality and Individual Differences&lt;/full-title&gt;&lt;/periodical&gt;&lt;pages&gt;641-656&lt;/pages&gt;&lt;volume&gt;30&lt;/volume&gt;&lt;number&gt;4&lt;/number&gt;&lt;keywords&gt;&lt;keyword&gt;Neuroticism measurement&lt;/keyword&gt;&lt;keyword&gt;Item response theory and personality measurement&lt;/keyword&gt;&lt;keyword&gt;Dimensionality assessment&lt;/keyword&gt;&lt;keyword&gt;Social desirability bias&lt;/keyword&gt;&lt;keyword&gt;Nonlinear factor analysis&lt;/keyword&gt;&lt;/keywords&gt;&lt;dates&gt;&lt;year&gt;2001&lt;/year&gt;&lt;pub-dates&gt;&lt;date&gt;2001/03/01/&lt;/date&gt;&lt;/pub-dates&gt;&lt;/dates&gt;&lt;isbn&gt;0191-8869&lt;/isbn&gt;&lt;urls&gt;&lt;related-urls&gt;&lt;url&gt;https://www.sciencedirect.com/science/article/pii/S0191886900000623&lt;/url&gt;&lt;/related-urls&gt;&lt;/urls&gt;&lt;electronic-resource-num&gt;https://doi.org/10.1016/S0191-8869(00)00062-3&lt;/electronic-resource-num&gt;&lt;/record&gt;&lt;/Cite&gt;&lt;/EndNote&gt;</w:instrText>
      </w:r>
      <w:r w:rsidRPr="00214A82">
        <w:rPr>
          <w:rFonts w:ascii="Times New Roman" w:eastAsia="Calibri" w:hAnsi="Times New Roman" w:cs="Times New Roman"/>
          <w:sz w:val="24"/>
          <w:szCs w:val="24"/>
        </w:rPr>
        <w:fldChar w:fldCharType="separate"/>
      </w:r>
      <w:r w:rsidR="005F604F">
        <w:rPr>
          <w:rFonts w:ascii="Times New Roman" w:eastAsia="Calibri" w:hAnsi="Times New Roman" w:cs="Times New Roman"/>
          <w:noProof/>
          <w:sz w:val="24"/>
          <w:szCs w:val="24"/>
        </w:rPr>
        <w:t>(1)</w:t>
      </w:r>
      <w:r w:rsidRPr="00214A82">
        <w:rPr>
          <w:rFonts w:ascii="Times New Roman" w:eastAsia="Calibri" w:hAnsi="Times New Roman" w:cs="Times New Roman"/>
          <w:sz w:val="24"/>
          <w:szCs w:val="24"/>
        </w:rPr>
        <w:fldChar w:fldCharType="end"/>
      </w:r>
      <w:r w:rsidRPr="00214A82">
        <w:rPr>
          <w:rFonts w:ascii="Times New Roman" w:eastAsia="Calibri" w:hAnsi="Times New Roman" w:cs="Times New Roman"/>
          <w:sz w:val="24"/>
          <w:szCs w:val="24"/>
        </w:rPr>
        <w:t>.</w:t>
      </w:r>
    </w:p>
    <w:p w14:paraId="59CF6930" w14:textId="77777777" w:rsidR="00375716" w:rsidRPr="00214A82" w:rsidRDefault="00375716" w:rsidP="00214A82">
      <w:pPr>
        <w:spacing w:before="240"/>
        <w:rPr>
          <w:rFonts w:ascii="Times New Roman" w:eastAsia="Calibri" w:hAnsi="Times New Roman" w:cs="Times New Roman"/>
          <w:sz w:val="24"/>
          <w:szCs w:val="24"/>
        </w:rPr>
      </w:pPr>
      <w:r w:rsidRPr="00214A82">
        <w:rPr>
          <w:rFonts w:ascii="Times New Roman" w:eastAsia="Calibri" w:hAnsi="Times New Roman" w:cs="Times New Roman"/>
          <w:sz w:val="24"/>
          <w:szCs w:val="24"/>
        </w:rPr>
        <w:t xml:space="preserve">For each item, an item response function (IRF) may be calculated which calibrates the responses of an individual against each item. A calibrated standardised score for trait severity θ is returned and may be plotted as item characteristic curves (ICC) along a standardised scale with a mean of 0 (see Fig 1). From the ICC two parameters may be estimated. The first is the value of θ at which the likelihood of item endorsement is 0.5, interpreted as ‘expressed trait severity’. The second is the slope of the curve from the point at which the likelihood of item endorsement is 0.5, interpreted as ‘expressed item discrimination’ i.e., the ability to discriminate between greater and lesser severity scores. The IRF may also be expressed as an item information curve (IIF) which displays the relationship between severity and discrimination (see Fig 1). The apex of the curve for any IIC indicates the value of θ at which </w:t>
      </w:r>
      <w:r w:rsidRPr="00214A82">
        <w:rPr>
          <w:rFonts w:ascii="Times New Roman" w:eastAsia="Calibri" w:hAnsi="Times New Roman" w:cs="Times New Roman"/>
          <w:sz w:val="24"/>
          <w:szCs w:val="24"/>
        </w:rPr>
        <w:lastRenderedPageBreak/>
        <w:t xml:space="preserve">there is maximum discrimination. Statistical assumptions underlying the IRT principles of scalability, </w:t>
      </w:r>
      <w:proofErr w:type="spellStart"/>
      <w:r w:rsidRPr="00214A82">
        <w:rPr>
          <w:rFonts w:ascii="Times New Roman" w:eastAsia="Calibri" w:hAnsi="Times New Roman" w:cs="Times New Roman"/>
          <w:sz w:val="24"/>
          <w:szCs w:val="24"/>
        </w:rPr>
        <w:t>unidimensionality</w:t>
      </w:r>
      <w:proofErr w:type="spellEnd"/>
      <w:r w:rsidRPr="00214A82">
        <w:rPr>
          <w:rFonts w:ascii="Times New Roman" w:eastAsia="Calibri" w:hAnsi="Times New Roman" w:cs="Times New Roman"/>
          <w:sz w:val="24"/>
          <w:szCs w:val="24"/>
        </w:rPr>
        <w:t xml:space="preserve"> and item independence are examined.</w:t>
      </w:r>
    </w:p>
    <w:p w14:paraId="05033CF1" w14:textId="4A2F99D3" w:rsidR="00375716" w:rsidRPr="00214A82" w:rsidRDefault="00375716" w:rsidP="00B700DD">
      <w:pPr>
        <w:spacing w:before="240"/>
        <w:ind w:firstLine="0"/>
        <w:jc w:val="center"/>
        <w:rPr>
          <w:rFonts w:ascii="Times New Roman" w:eastAsia="Calibri" w:hAnsi="Times New Roman" w:cs="Times New Roman"/>
          <w:sz w:val="24"/>
          <w:szCs w:val="24"/>
        </w:rPr>
      </w:pPr>
      <w:r w:rsidRPr="00214A82">
        <w:rPr>
          <w:rFonts w:ascii="Times New Roman" w:hAnsi="Times New Roman" w:cs="Times New Roman"/>
          <w:b/>
          <w:sz w:val="24"/>
          <w:szCs w:val="24"/>
        </w:rPr>
        <w:t>S</w:t>
      </w:r>
      <w:r w:rsidR="00B700DD">
        <w:rPr>
          <w:rFonts w:ascii="Times New Roman" w:hAnsi="Times New Roman" w:cs="Times New Roman"/>
          <w:b/>
          <w:sz w:val="24"/>
          <w:szCs w:val="24"/>
        </w:rPr>
        <w:t>upplementary R</w:t>
      </w:r>
      <w:r w:rsidRPr="00214A82">
        <w:rPr>
          <w:rFonts w:ascii="Times New Roman" w:hAnsi="Times New Roman" w:cs="Times New Roman"/>
          <w:b/>
          <w:sz w:val="24"/>
          <w:szCs w:val="24"/>
        </w:rPr>
        <w:t>esults</w:t>
      </w:r>
    </w:p>
    <w:p w14:paraId="6845AF9B" w14:textId="77777777" w:rsidR="00375716" w:rsidRPr="00214A82" w:rsidRDefault="00375716" w:rsidP="00214A82">
      <w:pPr>
        <w:spacing w:before="240"/>
        <w:ind w:firstLine="0"/>
        <w:rPr>
          <w:rFonts w:ascii="Times New Roman" w:eastAsia="Calibri" w:hAnsi="Times New Roman" w:cs="Times New Roman"/>
          <w:sz w:val="24"/>
          <w:szCs w:val="24"/>
        </w:rPr>
      </w:pPr>
      <w:r w:rsidRPr="00214A82">
        <w:rPr>
          <w:rFonts w:ascii="Times New Roman" w:eastAsia="Calibri" w:hAnsi="Times New Roman" w:cs="Times New Roman"/>
          <w:b/>
          <w:sz w:val="24"/>
          <w:szCs w:val="24"/>
        </w:rPr>
        <w:t xml:space="preserve">Statistical assumptions of the IRT analysis for the 12-item scale </w:t>
      </w:r>
    </w:p>
    <w:p w14:paraId="12BE3CCE" w14:textId="2D363476" w:rsidR="00B700DD" w:rsidRDefault="00375716" w:rsidP="00242A2C">
      <w:pPr>
        <w:contextualSpacing/>
        <w:jc w:val="left"/>
        <w:rPr>
          <w:rFonts w:ascii="Times New Roman" w:eastAsia="Calibri" w:hAnsi="Times New Roman" w:cs="Times New Roman"/>
          <w:b/>
          <w:sz w:val="24"/>
          <w:szCs w:val="24"/>
        </w:rPr>
      </w:pPr>
      <w:r w:rsidRPr="00214A82">
        <w:rPr>
          <w:rFonts w:ascii="Times New Roman" w:eastAsia="Calibri" w:hAnsi="Times New Roman" w:cs="Times New Roman"/>
          <w:b/>
          <w:sz w:val="24"/>
          <w:szCs w:val="24"/>
        </w:rPr>
        <w:t>Item independence</w:t>
      </w:r>
      <w:r w:rsidR="00B700DD">
        <w:rPr>
          <w:rFonts w:ascii="Times New Roman" w:eastAsia="Calibri" w:hAnsi="Times New Roman" w:cs="Times New Roman"/>
          <w:b/>
          <w:sz w:val="24"/>
          <w:szCs w:val="24"/>
        </w:rPr>
        <w:t xml:space="preserve">. </w:t>
      </w:r>
      <w:r w:rsidRPr="00B700DD">
        <w:rPr>
          <w:rFonts w:ascii="Times New Roman" w:eastAsia="Calibri" w:hAnsi="Times New Roman" w:cs="Times New Roman"/>
          <w:sz w:val="24"/>
          <w:szCs w:val="24"/>
        </w:rPr>
        <w:t>A correlation analysis assessed initial item independence and all items were significantly correlated (</w:t>
      </w:r>
      <w:r w:rsidRPr="00B700DD">
        <w:rPr>
          <w:rFonts w:ascii="Times New Roman" w:eastAsia="Calibri" w:hAnsi="Times New Roman" w:cs="Times New Roman"/>
          <w:i/>
          <w:sz w:val="24"/>
          <w:szCs w:val="24"/>
        </w:rPr>
        <w:t xml:space="preserve">p </w:t>
      </w:r>
      <w:r w:rsidRPr="00B700DD">
        <w:rPr>
          <w:rFonts w:ascii="Times New Roman" w:eastAsia="Calibri" w:hAnsi="Times New Roman" w:cs="Times New Roman"/>
          <w:sz w:val="24"/>
          <w:szCs w:val="24"/>
        </w:rPr>
        <w:t xml:space="preserve">&lt; .0001) but the majority of values were lower than 0.50, suggesting basic local item independence. A residual coefficient matrix, requested after estimation of a single-factor model showed that no residuals were too highly correlated, </w:t>
      </w:r>
      <w:r w:rsidRPr="00B700DD">
        <w:rPr>
          <w:rFonts w:ascii="Times New Roman" w:eastAsia="Calibri" w:hAnsi="Times New Roman" w:cs="Times New Roman"/>
          <w:i/>
          <w:sz w:val="24"/>
          <w:szCs w:val="24"/>
        </w:rPr>
        <w:t xml:space="preserve">R </w:t>
      </w:r>
      <w:r w:rsidRPr="00B700DD">
        <w:rPr>
          <w:rFonts w:ascii="Times New Roman" w:eastAsia="Calibri" w:hAnsi="Times New Roman" w:cs="Times New Roman"/>
          <w:sz w:val="24"/>
          <w:szCs w:val="24"/>
        </w:rPr>
        <w:t xml:space="preserve">&lt; 0.20 </w:t>
      </w:r>
      <w:r w:rsidRPr="00B700DD">
        <w:rPr>
          <w:rFonts w:ascii="Times New Roman" w:eastAsia="Calibri" w:hAnsi="Times New Roman" w:cs="Times New Roman"/>
          <w:sz w:val="24"/>
          <w:szCs w:val="24"/>
        </w:rPr>
        <w:fldChar w:fldCharType="begin"/>
      </w:r>
      <w:r w:rsidR="005F604F">
        <w:rPr>
          <w:rFonts w:ascii="Times New Roman" w:eastAsia="Calibri" w:hAnsi="Times New Roman" w:cs="Times New Roman"/>
          <w:sz w:val="24"/>
          <w:szCs w:val="24"/>
        </w:rPr>
        <w:instrText xml:space="preserve"> ADDIN EN.CITE &lt;EndNote&gt;&lt;Cite&gt;&lt;Author&gt;Yen&lt;/Author&gt;&lt;Year&gt;1993&lt;/Year&gt;&lt;RecNum&gt;25&lt;/RecNum&gt;&lt;DisplayText&gt;(2)&lt;/DisplayText&gt;&lt;record&gt;&lt;rec-number&gt;25&lt;/rec-number&gt;&lt;foreign-keys&gt;&lt;key app="EN" db-id="wxdz2xax3sxpr9e5z9u5x2v45ts0ax55swvz" timestamp="0"&gt;25&lt;/key&gt;&lt;/foreign-keys&gt;&lt;ref-type name="Journal Article"&gt;17&lt;/ref-type&gt;&lt;contributors&gt;&lt;authors&gt;&lt;author&gt;Yen, W.M.&lt;/author&gt;&lt;/authors&gt;&lt;/contributors&gt;&lt;titles&gt;&lt;title&gt;Scaling performance assessments: Strategies for managing local item dependence&lt;/title&gt;&lt;secondary-title&gt;Journal of Educational Measurement&lt;/secondary-title&gt;&lt;/titles&gt;&lt;periodical&gt;&lt;full-title&gt;Journal of Educational Measurement&lt;/full-title&gt;&lt;/periodical&gt;&lt;pages&gt;187-213&lt;/pages&gt;&lt;volume&gt;30&lt;/volume&gt;&lt;section&gt;187&lt;/section&gt;&lt;dates&gt;&lt;year&gt;1993&lt;/year&gt;&lt;/dates&gt;&lt;urls&gt;&lt;/urls&gt;&lt;/record&gt;&lt;/Cite&gt;&lt;/EndNote&gt;</w:instrText>
      </w:r>
      <w:r w:rsidRPr="00B700DD">
        <w:rPr>
          <w:rFonts w:ascii="Times New Roman" w:eastAsia="Calibri" w:hAnsi="Times New Roman" w:cs="Times New Roman"/>
          <w:sz w:val="24"/>
          <w:szCs w:val="24"/>
        </w:rPr>
        <w:fldChar w:fldCharType="separate"/>
      </w:r>
      <w:r w:rsidR="005F604F">
        <w:rPr>
          <w:rFonts w:ascii="Times New Roman" w:eastAsia="Calibri" w:hAnsi="Times New Roman" w:cs="Times New Roman"/>
          <w:noProof/>
          <w:sz w:val="24"/>
          <w:szCs w:val="24"/>
        </w:rPr>
        <w:t>(2)</w:t>
      </w:r>
      <w:r w:rsidRPr="00B700DD">
        <w:rPr>
          <w:rFonts w:ascii="Times New Roman" w:eastAsia="Calibri" w:hAnsi="Times New Roman" w:cs="Times New Roman"/>
          <w:sz w:val="24"/>
          <w:szCs w:val="24"/>
        </w:rPr>
        <w:fldChar w:fldCharType="end"/>
      </w:r>
      <w:r w:rsidRPr="00B700DD">
        <w:rPr>
          <w:rFonts w:ascii="Times New Roman" w:eastAsia="Calibri" w:hAnsi="Times New Roman" w:cs="Times New Roman"/>
          <w:sz w:val="24"/>
          <w:szCs w:val="24"/>
        </w:rPr>
        <w:t>, suggesting basic item independence.</w:t>
      </w:r>
    </w:p>
    <w:p w14:paraId="7B87F5EC" w14:textId="28B7633E" w:rsidR="00375716" w:rsidRPr="00B700DD" w:rsidRDefault="00375716" w:rsidP="00242A2C">
      <w:pPr>
        <w:contextualSpacing/>
        <w:jc w:val="left"/>
        <w:rPr>
          <w:rFonts w:ascii="Times New Roman" w:eastAsia="Calibri" w:hAnsi="Times New Roman" w:cs="Times New Roman"/>
          <w:b/>
          <w:sz w:val="24"/>
          <w:szCs w:val="24"/>
        </w:rPr>
      </w:pPr>
      <w:r w:rsidRPr="00214A82">
        <w:rPr>
          <w:rFonts w:ascii="Times New Roman" w:eastAsia="Calibri" w:hAnsi="Times New Roman" w:cs="Times New Roman"/>
          <w:b/>
          <w:sz w:val="24"/>
          <w:szCs w:val="24"/>
        </w:rPr>
        <w:t>Monotonicity</w:t>
      </w:r>
      <w:r w:rsidR="00B700DD">
        <w:rPr>
          <w:rFonts w:ascii="Times New Roman" w:eastAsia="Calibri" w:hAnsi="Times New Roman" w:cs="Times New Roman"/>
          <w:b/>
          <w:sz w:val="24"/>
          <w:szCs w:val="24"/>
        </w:rPr>
        <w:t xml:space="preserve">. </w:t>
      </w:r>
      <w:r w:rsidRPr="00B700DD">
        <w:rPr>
          <w:rFonts w:ascii="Times New Roman" w:eastAsia="Calibri" w:hAnsi="Times New Roman" w:cs="Times New Roman"/>
          <w:sz w:val="24"/>
          <w:szCs w:val="24"/>
        </w:rPr>
        <w:t xml:space="preserve">A Mokken analysis produced a </w:t>
      </w:r>
      <w:proofErr w:type="spellStart"/>
      <w:r w:rsidRPr="00B700DD">
        <w:rPr>
          <w:rFonts w:ascii="Times New Roman" w:eastAsia="Calibri" w:hAnsi="Times New Roman" w:cs="Times New Roman"/>
          <w:sz w:val="24"/>
          <w:szCs w:val="24"/>
        </w:rPr>
        <w:t>Loevinger</w:t>
      </w:r>
      <w:proofErr w:type="spellEnd"/>
      <w:r w:rsidRPr="00B700DD">
        <w:rPr>
          <w:rFonts w:ascii="Times New Roman" w:eastAsia="Calibri" w:hAnsi="Times New Roman" w:cs="Times New Roman"/>
          <w:sz w:val="24"/>
          <w:szCs w:val="24"/>
        </w:rPr>
        <w:t xml:space="preserve"> H coefficient </w:t>
      </w:r>
      <w:r w:rsidRPr="00B700DD">
        <w:rPr>
          <w:rFonts w:ascii="Times New Roman" w:eastAsia="Calibri" w:hAnsi="Times New Roman" w:cs="Times New Roman"/>
          <w:sz w:val="24"/>
          <w:szCs w:val="24"/>
        </w:rPr>
        <w:fldChar w:fldCharType="begin"/>
      </w:r>
      <w:r w:rsidR="005F604F">
        <w:rPr>
          <w:rFonts w:ascii="Times New Roman" w:eastAsia="Calibri" w:hAnsi="Times New Roman" w:cs="Times New Roman"/>
          <w:sz w:val="24"/>
          <w:szCs w:val="24"/>
        </w:rPr>
        <w:instrText xml:space="preserve"> ADDIN EN.CITE &lt;EndNote&gt;&lt;Cite&gt;&lt;Author&gt;Sijtsma&lt;/Author&gt;&lt;Year&gt;2002&lt;/Year&gt;&lt;RecNum&gt;26&lt;/RecNum&gt;&lt;DisplayText&gt;(3)&lt;/DisplayText&gt;&lt;record&gt;&lt;rec-number&gt;26&lt;/rec-number&gt;&lt;foreign-keys&gt;&lt;key app="EN" db-id="wxdz2xax3sxpr9e5z9u5x2v45ts0ax55swvz" timestamp="0"&gt;26&lt;/key&gt;&lt;/foreign-keys&gt;&lt;ref-type name="Book"&gt;6&lt;/ref-type&gt;&lt;contributors&gt;&lt;authors&gt;&lt;author&gt;Sijtsma, K.&lt;/author&gt;&lt;author&gt;Molenaar, I.W.&lt;/author&gt;&lt;/authors&gt;&lt;/contributors&gt;&lt;titles&gt;&lt;title&gt;Introduction to nonparametric item response theory&lt;/title&gt;&lt;/titles&gt;&lt;volume&gt;5&lt;/volume&gt;&lt;dates&gt;&lt;year&gt;2002&lt;/year&gt;&lt;/dates&gt;&lt;pub-location&gt;London&lt;/pub-location&gt;&lt;publisher&gt;Sage Publications&lt;/publisher&gt;&lt;urls&gt;&lt;/urls&gt;&lt;/record&gt;&lt;/Cite&gt;&lt;/EndNote&gt;</w:instrText>
      </w:r>
      <w:r w:rsidRPr="00B700DD">
        <w:rPr>
          <w:rFonts w:ascii="Times New Roman" w:eastAsia="Calibri" w:hAnsi="Times New Roman" w:cs="Times New Roman"/>
          <w:sz w:val="24"/>
          <w:szCs w:val="24"/>
        </w:rPr>
        <w:fldChar w:fldCharType="separate"/>
      </w:r>
      <w:r w:rsidR="005F604F">
        <w:rPr>
          <w:rFonts w:ascii="Times New Roman" w:eastAsia="Calibri" w:hAnsi="Times New Roman" w:cs="Times New Roman"/>
          <w:noProof/>
          <w:sz w:val="24"/>
          <w:szCs w:val="24"/>
        </w:rPr>
        <w:t>(3)</w:t>
      </w:r>
      <w:r w:rsidRPr="00B700DD">
        <w:rPr>
          <w:rFonts w:ascii="Times New Roman" w:eastAsia="Calibri" w:hAnsi="Times New Roman" w:cs="Times New Roman"/>
          <w:sz w:val="24"/>
          <w:szCs w:val="24"/>
        </w:rPr>
        <w:fldChar w:fldCharType="end"/>
      </w:r>
      <w:r w:rsidRPr="00B700DD">
        <w:rPr>
          <w:rFonts w:ascii="Times New Roman" w:eastAsia="Calibri" w:hAnsi="Times New Roman" w:cs="Times New Roman"/>
          <w:sz w:val="24"/>
          <w:szCs w:val="24"/>
        </w:rPr>
        <w:t xml:space="preserve"> which measures the scalable quality of items, expressed as a probability measure, independent of a respondent’s </w:t>
      </w:r>
      <w:r w:rsidR="00214A82" w:rsidRPr="00B700DD">
        <w:rPr>
          <w:rFonts w:ascii="Times New Roman" w:eastAsia="Times New Roman" w:hAnsi="Times New Roman" w:cs="Times New Roman"/>
          <w:i/>
          <w:sz w:val="24"/>
          <w:szCs w:val="24"/>
        </w:rPr>
        <w:t>θ</w:t>
      </w:r>
      <w:r w:rsidRPr="00B700DD">
        <w:rPr>
          <w:rFonts w:ascii="Times New Roman" w:eastAsia="Calibri" w:hAnsi="Times New Roman" w:cs="Times New Roman"/>
          <w:sz w:val="24"/>
          <w:szCs w:val="24"/>
        </w:rPr>
        <w:t xml:space="preserve">. These coefficients ranged between 0.35 and 0.47, suggesting a weak (H = 0.3-0.4) to moderate (H = 0.4-0.5) monotonicity, no items reached strong scalability (H ≥ 0.5)  </w:t>
      </w:r>
      <w:r w:rsidRPr="00B700DD">
        <w:rPr>
          <w:rFonts w:ascii="Times New Roman" w:eastAsia="Calibri" w:hAnsi="Times New Roman" w:cs="Times New Roman"/>
          <w:sz w:val="24"/>
          <w:szCs w:val="24"/>
        </w:rPr>
        <w:fldChar w:fldCharType="begin"/>
      </w:r>
      <w:r w:rsidR="005F604F">
        <w:rPr>
          <w:rFonts w:ascii="Times New Roman" w:eastAsia="Calibri" w:hAnsi="Times New Roman" w:cs="Times New Roman"/>
          <w:sz w:val="24"/>
          <w:szCs w:val="24"/>
        </w:rPr>
        <w:instrText xml:space="preserve"> ADDIN EN.CITE &lt;EndNote&gt;&lt;Cite&gt;&lt;Author&gt;Sijtsma&lt;/Author&gt;&lt;Year&gt;2002&lt;/Year&gt;&lt;RecNum&gt;26&lt;/RecNum&gt;&lt;DisplayText&gt;(3)&lt;/DisplayText&gt;&lt;record&gt;&lt;rec-number&gt;26&lt;/rec-number&gt;&lt;foreign-keys&gt;&lt;key app="EN" db-id="wxdz2xax3sxpr9e5z9u5x2v45ts0ax55swvz" timestamp="0"&gt;26&lt;/key&gt;&lt;/foreign-keys&gt;&lt;ref-type name="Book"&gt;6&lt;/ref-type&gt;&lt;contributors&gt;&lt;authors&gt;&lt;author&gt;Sijtsma, K.&lt;/author&gt;&lt;author&gt;Molenaar, I.W.&lt;/author&gt;&lt;/authors&gt;&lt;/contributors&gt;&lt;titles&gt;&lt;title&gt;Introduction to nonparametric item response theory&lt;/title&gt;&lt;/titles&gt;&lt;volume&gt;5&lt;/volume&gt;&lt;dates&gt;&lt;year&gt;2002&lt;/year&gt;&lt;/dates&gt;&lt;pub-location&gt;London&lt;/pub-location&gt;&lt;publisher&gt;Sage Publications&lt;/publisher&gt;&lt;urls&gt;&lt;/urls&gt;&lt;/record&gt;&lt;/Cite&gt;&lt;/EndNote&gt;</w:instrText>
      </w:r>
      <w:r w:rsidRPr="00B700DD">
        <w:rPr>
          <w:rFonts w:ascii="Times New Roman" w:eastAsia="Calibri" w:hAnsi="Times New Roman" w:cs="Times New Roman"/>
          <w:sz w:val="24"/>
          <w:szCs w:val="24"/>
        </w:rPr>
        <w:fldChar w:fldCharType="separate"/>
      </w:r>
      <w:r w:rsidR="005F604F">
        <w:rPr>
          <w:rFonts w:ascii="Times New Roman" w:eastAsia="Calibri" w:hAnsi="Times New Roman" w:cs="Times New Roman"/>
          <w:noProof/>
          <w:sz w:val="24"/>
          <w:szCs w:val="24"/>
        </w:rPr>
        <w:t>(3)</w:t>
      </w:r>
      <w:r w:rsidRPr="00B700DD">
        <w:rPr>
          <w:rFonts w:ascii="Times New Roman" w:eastAsia="Calibri" w:hAnsi="Times New Roman" w:cs="Times New Roman"/>
          <w:sz w:val="24"/>
          <w:szCs w:val="24"/>
        </w:rPr>
        <w:fldChar w:fldCharType="end"/>
      </w:r>
      <w:r w:rsidRPr="00B700DD">
        <w:rPr>
          <w:rFonts w:ascii="Times New Roman" w:eastAsia="Calibri" w:hAnsi="Times New Roman" w:cs="Times New Roman"/>
          <w:sz w:val="24"/>
          <w:szCs w:val="24"/>
        </w:rPr>
        <w:t>.</w:t>
      </w:r>
    </w:p>
    <w:p w14:paraId="3CD07CA7" w14:textId="77777777" w:rsidR="00375716" w:rsidRPr="00214A82" w:rsidRDefault="00375716" w:rsidP="00214A82">
      <w:pPr>
        <w:ind w:firstLine="0"/>
        <w:rPr>
          <w:rFonts w:ascii="Times New Roman" w:eastAsia="Calibri" w:hAnsi="Times New Roman" w:cs="Times New Roman"/>
          <w:b/>
          <w:noProof/>
          <w:sz w:val="24"/>
          <w:szCs w:val="24"/>
          <w:lang w:eastAsia="en-GB"/>
        </w:rPr>
      </w:pPr>
      <w:r w:rsidRPr="00214A82">
        <w:rPr>
          <w:rFonts w:ascii="Times New Roman" w:eastAsia="Calibri" w:hAnsi="Times New Roman" w:cs="Times New Roman"/>
          <w:b/>
          <w:sz w:val="24"/>
          <w:szCs w:val="24"/>
        </w:rPr>
        <w:t xml:space="preserve">Statistical assumptions of the IRT analysis for the 7-item scale </w:t>
      </w:r>
    </w:p>
    <w:p w14:paraId="254ADF79" w14:textId="77777777" w:rsidR="00375716" w:rsidRPr="00214A82" w:rsidRDefault="00375716" w:rsidP="00214A82">
      <w:pPr>
        <w:rPr>
          <w:rFonts w:ascii="Times New Roman" w:eastAsia="Calibri" w:hAnsi="Times New Roman" w:cs="Times New Roman"/>
          <w:noProof/>
          <w:color w:val="FF0000"/>
          <w:sz w:val="24"/>
          <w:szCs w:val="24"/>
          <w:lang w:eastAsia="en-GB"/>
        </w:rPr>
      </w:pPr>
      <w:r w:rsidRPr="00214A82">
        <w:rPr>
          <w:rFonts w:ascii="Times New Roman" w:eastAsia="Calibri" w:hAnsi="Times New Roman" w:cs="Times New Roman"/>
          <w:noProof/>
          <w:sz w:val="24"/>
          <w:szCs w:val="24"/>
          <w:lang w:eastAsia="en-GB"/>
        </w:rPr>
        <w:t>Statistical assumptions were computed on the revised scale of 7 items and importantly a Mokken analysis suggests improved scalability (monotonicity) compared to the full 12-item scale with three items reaching values ≥ 0.50.</w:t>
      </w:r>
      <w:r w:rsidRPr="00214A82">
        <w:rPr>
          <w:rFonts w:ascii="Times New Roman" w:hAnsi="Times New Roman" w:cs="Times New Roman"/>
          <w:sz w:val="24"/>
          <w:szCs w:val="24"/>
        </w:rPr>
        <w:t xml:space="preserve"> </w:t>
      </w:r>
      <w:r w:rsidRPr="00214A82">
        <w:rPr>
          <w:rFonts w:ascii="Times New Roman" w:eastAsia="Calibri" w:hAnsi="Times New Roman" w:cs="Times New Roman"/>
          <w:noProof/>
          <w:sz w:val="24"/>
          <w:szCs w:val="24"/>
          <w:lang w:eastAsia="en-GB"/>
        </w:rPr>
        <w:t>Acceptable metrics for unidimensionality and item independence were achieved for this revised scale. A single-factor CFA model showed that the 7-item scale did not fulfill strict criteria for unidimensionality: Chi</w:t>
      </w:r>
      <w:r w:rsidRPr="00214A82">
        <w:rPr>
          <w:rFonts w:ascii="Times New Roman" w:eastAsia="Calibri" w:hAnsi="Times New Roman" w:cs="Times New Roman"/>
          <w:noProof/>
          <w:sz w:val="24"/>
          <w:szCs w:val="24"/>
          <w:vertAlign w:val="superscript"/>
          <w:lang w:eastAsia="en-GB"/>
        </w:rPr>
        <w:t>2</w:t>
      </w:r>
      <w:r w:rsidRPr="00214A82">
        <w:rPr>
          <w:rFonts w:ascii="Times New Roman" w:eastAsia="Calibri" w:hAnsi="Times New Roman" w:cs="Times New Roman"/>
          <w:noProof/>
          <w:sz w:val="24"/>
          <w:szCs w:val="24"/>
          <w:lang w:eastAsia="en-GB"/>
        </w:rPr>
        <w:t xml:space="preserve"> = 153492.42, p &lt;  0.0001, RMSEA = 0.17, CFI = 0.79, TLI = 0.68. </w:t>
      </w:r>
    </w:p>
    <w:p w14:paraId="446BDF67" w14:textId="77777777" w:rsidR="00375716" w:rsidRPr="00214A82" w:rsidRDefault="00375716" w:rsidP="00214A82">
      <w:pPr>
        <w:ind w:firstLine="0"/>
        <w:rPr>
          <w:rFonts w:ascii="Times New Roman" w:eastAsia="Calibri" w:hAnsi="Times New Roman" w:cs="Times New Roman"/>
          <w:b/>
          <w:noProof/>
          <w:sz w:val="24"/>
          <w:szCs w:val="24"/>
          <w:lang w:eastAsia="en-GB"/>
        </w:rPr>
      </w:pPr>
      <w:r w:rsidRPr="00214A82">
        <w:rPr>
          <w:rFonts w:ascii="Times New Roman" w:eastAsia="Calibri" w:hAnsi="Times New Roman" w:cs="Times New Roman"/>
          <w:b/>
          <w:sz w:val="24"/>
          <w:szCs w:val="24"/>
        </w:rPr>
        <w:t xml:space="preserve">Statistical assumptions of the IRT analysis for the 3-item scale </w:t>
      </w:r>
    </w:p>
    <w:p w14:paraId="79663FF7" w14:textId="6E277B77" w:rsidR="00375716" w:rsidRPr="00214A82" w:rsidRDefault="00375716" w:rsidP="00214A82">
      <w:pPr>
        <w:rPr>
          <w:rFonts w:ascii="Times New Roman" w:eastAsia="Calibri" w:hAnsi="Times New Roman" w:cs="Times New Roman"/>
          <w:noProof/>
          <w:sz w:val="24"/>
          <w:szCs w:val="24"/>
          <w:lang w:eastAsia="en-GB"/>
        </w:rPr>
      </w:pPr>
      <w:r w:rsidRPr="00214A82">
        <w:rPr>
          <w:rFonts w:ascii="Times New Roman" w:eastAsia="Calibri" w:hAnsi="Times New Roman" w:cs="Times New Roman"/>
          <w:noProof/>
          <w:sz w:val="24"/>
          <w:szCs w:val="24"/>
          <w:lang w:eastAsia="en-GB"/>
        </w:rPr>
        <w:lastRenderedPageBreak/>
        <w:t xml:space="preserve">A Mokken analysis suggests that scalability is strong (H ≥ 0.50) across all items. A single-factor CFA model showed that the 3-item scale was unidimensional: Chi2 = 0, p = 1, RMSEA = 0, CFI = 1, TLI = 1. In a semi-partial correlation analysis controlling for </w:t>
      </w:r>
      <w:r w:rsidR="00214A82" w:rsidRPr="00214A82">
        <w:rPr>
          <w:rFonts w:ascii="Times New Roman" w:eastAsia="Times New Roman" w:hAnsi="Times New Roman" w:cs="Times New Roman"/>
          <w:i/>
          <w:sz w:val="24"/>
          <w:szCs w:val="24"/>
        </w:rPr>
        <w:t>θ</w:t>
      </w:r>
      <w:r w:rsidRPr="00214A82">
        <w:rPr>
          <w:rFonts w:ascii="Times New Roman" w:eastAsia="Calibri" w:hAnsi="Times New Roman" w:cs="Times New Roman"/>
          <w:noProof/>
          <w:sz w:val="24"/>
          <w:szCs w:val="24"/>
          <w:lang w:eastAsia="en-GB"/>
        </w:rPr>
        <w:t>, item R</w:t>
      </w:r>
      <w:r w:rsidRPr="00214A82">
        <w:rPr>
          <w:rFonts w:ascii="Times New Roman" w:eastAsia="Calibri" w:hAnsi="Times New Roman" w:cs="Times New Roman"/>
          <w:noProof/>
          <w:sz w:val="24"/>
          <w:szCs w:val="24"/>
          <w:vertAlign w:val="superscript"/>
          <w:lang w:eastAsia="en-GB"/>
        </w:rPr>
        <w:t>2</w:t>
      </w:r>
      <w:r w:rsidRPr="00214A82">
        <w:rPr>
          <w:rFonts w:ascii="Times New Roman" w:eastAsia="Calibri" w:hAnsi="Times New Roman" w:cs="Times New Roman"/>
          <w:noProof/>
          <w:sz w:val="24"/>
          <w:szCs w:val="24"/>
          <w:lang w:eastAsia="en-GB"/>
        </w:rPr>
        <w:t xml:space="preserve"> ranged between 0.09 and 0.13, suggesting basic local independence and unidimensionality. </w:t>
      </w:r>
    </w:p>
    <w:p w14:paraId="379550C7" w14:textId="6547A49F" w:rsidR="00375716" w:rsidRPr="00214A82" w:rsidRDefault="00375716" w:rsidP="00214A82">
      <w:pPr>
        <w:ind w:firstLine="0"/>
        <w:jc w:val="left"/>
        <w:rPr>
          <w:rFonts w:ascii="Times New Roman" w:eastAsia="Calibri" w:hAnsi="Times New Roman" w:cs="Times New Roman"/>
          <w:noProof/>
          <w:sz w:val="24"/>
          <w:szCs w:val="24"/>
          <w:lang w:eastAsia="en-GB"/>
        </w:rPr>
      </w:pPr>
      <w:r w:rsidRPr="00214A82">
        <w:rPr>
          <w:rFonts w:ascii="Times New Roman" w:eastAsia="Calibri" w:hAnsi="Times New Roman" w:cs="Times New Roman"/>
          <w:b/>
          <w:sz w:val="24"/>
          <w:szCs w:val="24"/>
        </w:rPr>
        <w:t xml:space="preserve">Reliability of the scales </w:t>
      </w:r>
    </w:p>
    <w:p w14:paraId="5C49F9D8" w14:textId="4279F5C6" w:rsidR="00375716" w:rsidRDefault="00375716" w:rsidP="00B700DD">
      <w:pPr>
        <w:rPr>
          <w:rFonts w:ascii="Times New Roman" w:eastAsia="Calibri" w:hAnsi="Times New Roman" w:cs="Times New Roman"/>
          <w:noProof/>
          <w:sz w:val="24"/>
          <w:szCs w:val="24"/>
          <w:lang w:eastAsia="en-GB"/>
        </w:rPr>
      </w:pPr>
      <w:r w:rsidRPr="00214A82">
        <w:rPr>
          <w:rFonts w:ascii="Times New Roman" w:eastAsia="Calibri" w:hAnsi="Times New Roman" w:cs="Times New Roman"/>
          <w:b/>
          <w:sz w:val="24"/>
          <w:szCs w:val="24"/>
        </w:rPr>
        <w:t>Reliability of the 12-item scale</w:t>
      </w:r>
      <w:r w:rsidR="00B700DD">
        <w:rPr>
          <w:rFonts w:ascii="Times New Roman" w:eastAsia="Calibri" w:hAnsi="Times New Roman" w:cs="Times New Roman"/>
          <w:b/>
          <w:sz w:val="24"/>
          <w:szCs w:val="24"/>
        </w:rPr>
        <w:t xml:space="preserve">. </w:t>
      </w:r>
      <w:r w:rsidRPr="00214A82">
        <w:rPr>
          <w:rFonts w:ascii="Times New Roman" w:eastAsia="Calibri" w:hAnsi="Times New Roman" w:cs="Times New Roman"/>
          <w:noProof/>
          <w:sz w:val="24"/>
          <w:szCs w:val="24"/>
          <w:lang w:eastAsia="en-GB"/>
        </w:rPr>
        <w:t xml:space="preserve">In IRT, reliability may be calculated at multiple point values of </w:t>
      </w:r>
      <w:r w:rsidR="00214A82" w:rsidRPr="00214A82">
        <w:rPr>
          <w:rFonts w:ascii="Times New Roman" w:eastAsia="Times New Roman" w:hAnsi="Times New Roman" w:cs="Times New Roman"/>
          <w:i/>
          <w:sz w:val="24"/>
          <w:szCs w:val="24"/>
        </w:rPr>
        <w:t>θ</w:t>
      </w:r>
      <w:r w:rsidRPr="00214A82">
        <w:rPr>
          <w:rFonts w:ascii="Times New Roman" w:eastAsia="Calibri" w:hAnsi="Times New Roman" w:cs="Times New Roman"/>
          <w:noProof/>
          <w:sz w:val="24"/>
          <w:szCs w:val="24"/>
          <w:lang w:eastAsia="en-GB"/>
        </w:rPr>
        <w:t xml:space="preserve"> along the continuum rather than a single reliability score as in CTT. Reliability is defined at different points of </w:t>
      </w:r>
      <w:r w:rsidR="00214A82" w:rsidRPr="00214A82">
        <w:rPr>
          <w:rFonts w:ascii="Times New Roman" w:eastAsia="Times New Roman" w:hAnsi="Times New Roman" w:cs="Times New Roman"/>
          <w:i/>
          <w:sz w:val="24"/>
          <w:szCs w:val="24"/>
        </w:rPr>
        <w:t>θ</w:t>
      </w:r>
      <w:r w:rsidRPr="00214A82">
        <w:rPr>
          <w:rFonts w:ascii="Times New Roman" w:eastAsia="Calibri" w:hAnsi="Times New Roman" w:cs="Times New Roman"/>
          <w:noProof/>
          <w:sz w:val="24"/>
          <w:szCs w:val="24"/>
          <w:lang w:eastAsia="en-GB"/>
        </w:rPr>
        <w:t xml:space="preserve"> with the mean of </w:t>
      </w:r>
      <w:r w:rsidR="00214A82" w:rsidRPr="00214A82">
        <w:rPr>
          <w:rFonts w:ascii="Times New Roman" w:eastAsia="Times New Roman" w:hAnsi="Times New Roman" w:cs="Times New Roman"/>
          <w:i/>
          <w:sz w:val="24"/>
          <w:szCs w:val="24"/>
        </w:rPr>
        <w:t>θ</w:t>
      </w:r>
      <w:r w:rsidRPr="00214A82">
        <w:rPr>
          <w:rFonts w:ascii="Times New Roman" w:eastAsia="Calibri" w:hAnsi="Times New Roman" w:cs="Times New Roman"/>
          <w:noProof/>
          <w:sz w:val="24"/>
          <w:szCs w:val="24"/>
          <w:lang w:eastAsia="en-GB"/>
        </w:rPr>
        <w:t xml:space="preserve"> fixed at 0 and the variance at 1, facilitating identification of the model and reliability for all points along the </w:t>
      </w:r>
      <w:r w:rsidR="00214A82" w:rsidRPr="00214A82">
        <w:rPr>
          <w:rFonts w:ascii="Times New Roman" w:eastAsia="Times New Roman" w:hAnsi="Times New Roman" w:cs="Times New Roman"/>
          <w:i/>
          <w:sz w:val="24"/>
          <w:szCs w:val="24"/>
        </w:rPr>
        <w:t>θ</w:t>
      </w:r>
      <w:r w:rsidRPr="00214A82">
        <w:rPr>
          <w:rFonts w:ascii="Times New Roman" w:eastAsia="Calibri" w:hAnsi="Times New Roman" w:cs="Times New Roman"/>
          <w:noProof/>
          <w:sz w:val="24"/>
          <w:szCs w:val="24"/>
          <w:lang w:eastAsia="en-GB"/>
        </w:rPr>
        <w:t xml:space="preserve"> continuum, distinguishing respondents according to specific values of </w:t>
      </w:r>
      <w:r w:rsidR="00214A82" w:rsidRPr="00214A82">
        <w:rPr>
          <w:rFonts w:ascii="Times New Roman" w:eastAsia="Times New Roman" w:hAnsi="Times New Roman" w:cs="Times New Roman"/>
          <w:i/>
          <w:sz w:val="24"/>
          <w:szCs w:val="24"/>
        </w:rPr>
        <w:t>θ</w:t>
      </w:r>
      <w:r w:rsidRPr="00214A82">
        <w:rPr>
          <w:rFonts w:ascii="Times New Roman" w:eastAsia="Calibri" w:hAnsi="Times New Roman" w:cs="Times New Roman"/>
          <w:noProof/>
          <w:sz w:val="24"/>
          <w:szCs w:val="24"/>
          <w:lang w:eastAsia="en-GB"/>
        </w:rPr>
        <w:t xml:space="preserve"> </w:t>
      </w:r>
      <w:r w:rsidR="00B700DD">
        <w:rPr>
          <w:rFonts w:ascii="Times New Roman" w:eastAsia="Calibri" w:hAnsi="Times New Roman" w:cs="Times New Roman"/>
          <w:noProof/>
          <w:sz w:val="24"/>
          <w:szCs w:val="24"/>
          <w:lang w:eastAsia="en-GB"/>
        </w:rPr>
        <w:fldChar w:fldCharType="begin"/>
      </w:r>
      <w:r w:rsidR="005F604F">
        <w:rPr>
          <w:rFonts w:ascii="Times New Roman" w:eastAsia="Calibri" w:hAnsi="Times New Roman" w:cs="Times New Roman"/>
          <w:noProof/>
          <w:sz w:val="24"/>
          <w:szCs w:val="24"/>
          <w:lang w:eastAsia="en-GB"/>
        </w:rPr>
        <w:instrText xml:space="preserve"> ADDIN EN.CITE &lt;EndNote&gt;&lt;Cite&gt;&lt;Author&gt;Thissen&lt;/Author&gt;&lt;Year&gt;2000&lt;/Year&gt;&lt;RecNum&gt;23&lt;/RecNum&gt;&lt;DisplayText&gt;(4)&lt;/DisplayText&gt;&lt;record&gt;&lt;rec-number&gt;23&lt;/rec-number&gt;&lt;foreign-keys&gt;&lt;key app="EN" db-id="wxdz2xax3sxpr9e5z9u5x2v45ts0ax55swvz" timestamp="0"&gt;23&lt;/key&gt;&lt;/foreign-keys&gt;&lt;ref-type name="Book Section"&gt;5&lt;/ref-type&gt;&lt;contributors&gt;&lt;authors&gt;&lt;author&gt;Thissen&lt;/author&gt;&lt;/authors&gt;&lt;secondary-authors&gt;&lt;author&gt;H. Wainer&lt;/author&gt;&lt;/secondary-authors&gt;&lt;/contributors&gt;&lt;titles&gt;&lt;title&gt;Reliability and measurement precision&lt;/title&gt;&lt;secondary-title&gt;Computerized Adaptive Testing: A primer&lt;/secondary-title&gt;&lt;/titles&gt;&lt;pages&gt;159-184&lt;/pages&gt;&lt;dates&gt;&lt;year&gt;2000&lt;/year&gt;&lt;/dates&gt;&lt;pub-location&gt;London: Lawrence Erlbaum&lt;/pub-location&gt;&lt;publisher&gt;Lawrence Erlbaum&lt;/publisher&gt;&lt;urls&gt;&lt;/urls&gt;&lt;/record&gt;&lt;/Cite&gt;&lt;/EndNote&gt;</w:instrText>
      </w:r>
      <w:r w:rsidR="00B700DD">
        <w:rPr>
          <w:rFonts w:ascii="Times New Roman" w:eastAsia="Calibri" w:hAnsi="Times New Roman" w:cs="Times New Roman"/>
          <w:noProof/>
          <w:sz w:val="24"/>
          <w:szCs w:val="24"/>
          <w:lang w:eastAsia="en-GB"/>
        </w:rPr>
        <w:fldChar w:fldCharType="separate"/>
      </w:r>
      <w:r w:rsidR="005F604F">
        <w:rPr>
          <w:rFonts w:ascii="Times New Roman" w:eastAsia="Calibri" w:hAnsi="Times New Roman" w:cs="Times New Roman"/>
          <w:noProof/>
          <w:sz w:val="24"/>
          <w:szCs w:val="24"/>
          <w:lang w:eastAsia="en-GB"/>
        </w:rPr>
        <w:t>(4)</w:t>
      </w:r>
      <w:r w:rsidR="00B700DD">
        <w:rPr>
          <w:rFonts w:ascii="Times New Roman" w:eastAsia="Calibri" w:hAnsi="Times New Roman" w:cs="Times New Roman"/>
          <w:noProof/>
          <w:sz w:val="24"/>
          <w:szCs w:val="24"/>
          <w:lang w:eastAsia="en-GB"/>
        </w:rPr>
        <w:fldChar w:fldCharType="end"/>
      </w:r>
      <w:r w:rsidRPr="00214A82">
        <w:rPr>
          <w:rFonts w:ascii="Times New Roman" w:eastAsia="Calibri" w:hAnsi="Times New Roman" w:cs="Times New Roman"/>
          <w:noProof/>
          <w:sz w:val="24"/>
          <w:szCs w:val="24"/>
          <w:lang w:eastAsia="en-GB"/>
        </w:rPr>
        <w:t>. For the 12-item scale, there is reliable information to differentiate respondents who possess no or just above an average amount of trait information (</w:t>
      </w:r>
      <w:r w:rsidR="00214A82" w:rsidRPr="00214A82">
        <w:rPr>
          <w:rFonts w:ascii="Times New Roman" w:eastAsia="Times New Roman" w:hAnsi="Times New Roman" w:cs="Times New Roman"/>
          <w:i/>
          <w:sz w:val="24"/>
          <w:szCs w:val="24"/>
        </w:rPr>
        <w:t>θ</w:t>
      </w:r>
      <w:r w:rsidR="00214A82" w:rsidRPr="00214A82">
        <w:rPr>
          <w:rFonts w:ascii="Times New Roman" w:eastAsia="Calibri" w:hAnsi="Times New Roman" w:cs="Times New Roman"/>
          <w:noProof/>
          <w:sz w:val="24"/>
          <w:szCs w:val="24"/>
          <w:lang w:eastAsia="en-GB"/>
        </w:rPr>
        <w:t xml:space="preserve"> </w:t>
      </w:r>
      <w:r w:rsidRPr="00214A82">
        <w:rPr>
          <w:rFonts w:ascii="Times New Roman" w:eastAsia="Calibri" w:hAnsi="Times New Roman" w:cs="Times New Roman"/>
          <w:noProof/>
          <w:sz w:val="24"/>
          <w:szCs w:val="24"/>
          <w:lang w:eastAsia="en-GB"/>
        </w:rPr>
        <w:t xml:space="preserve">=0; 0.87 and </w:t>
      </w:r>
      <w:r w:rsidR="00214A82" w:rsidRPr="00214A82">
        <w:rPr>
          <w:rFonts w:ascii="Times New Roman" w:eastAsia="Times New Roman" w:hAnsi="Times New Roman" w:cs="Times New Roman"/>
          <w:i/>
          <w:sz w:val="24"/>
          <w:szCs w:val="24"/>
        </w:rPr>
        <w:t>θ</w:t>
      </w:r>
      <w:r w:rsidR="00214A82" w:rsidRPr="00214A82">
        <w:rPr>
          <w:rFonts w:ascii="Times New Roman" w:eastAsia="Calibri" w:hAnsi="Times New Roman" w:cs="Times New Roman"/>
          <w:noProof/>
          <w:sz w:val="24"/>
          <w:szCs w:val="24"/>
          <w:lang w:eastAsia="en-GB"/>
        </w:rPr>
        <w:t xml:space="preserve"> </w:t>
      </w:r>
      <w:r w:rsidRPr="00214A82">
        <w:rPr>
          <w:rFonts w:ascii="Times New Roman" w:eastAsia="Calibri" w:hAnsi="Times New Roman" w:cs="Times New Roman"/>
          <w:noProof/>
          <w:sz w:val="24"/>
          <w:szCs w:val="24"/>
          <w:lang w:eastAsia="en-GB"/>
        </w:rPr>
        <w:t>=1; 0.88), considered very good for reliability However, reliability then decreases (</w:t>
      </w:r>
      <w:r w:rsidR="00214A82" w:rsidRPr="00214A82">
        <w:rPr>
          <w:rFonts w:ascii="Times New Roman" w:eastAsia="Times New Roman" w:hAnsi="Times New Roman" w:cs="Times New Roman"/>
          <w:i/>
          <w:sz w:val="24"/>
          <w:szCs w:val="24"/>
        </w:rPr>
        <w:t>θ</w:t>
      </w:r>
      <w:r w:rsidR="00214A82" w:rsidRPr="00214A82">
        <w:rPr>
          <w:rFonts w:ascii="Times New Roman" w:eastAsia="Calibri" w:hAnsi="Times New Roman" w:cs="Times New Roman"/>
          <w:noProof/>
          <w:sz w:val="24"/>
          <w:szCs w:val="24"/>
          <w:lang w:eastAsia="en-GB"/>
        </w:rPr>
        <w:t xml:space="preserve"> </w:t>
      </w:r>
      <w:r w:rsidRPr="00214A82">
        <w:rPr>
          <w:rFonts w:ascii="Times New Roman" w:eastAsia="Calibri" w:hAnsi="Times New Roman" w:cs="Times New Roman"/>
          <w:noProof/>
          <w:sz w:val="24"/>
          <w:szCs w:val="24"/>
          <w:lang w:eastAsia="en-GB"/>
        </w:rPr>
        <w:t xml:space="preserve">=2; 0.76 and </w:t>
      </w:r>
      <w:r w:rsidR="00214A82" w:rsidRPr="00214A82">
        <w:rPr>
          <w:rFonts w:ascii="Times New Roman" w:eastAsia="Times New Roman" w:hAnsi="Times New Roman" w:cs="Times New Roman"/>
          <w:i/>
          <w:sz w:val="24"/>
          <w:szCs w:val="24"/>
        </w:rPr>
        <w:t>θ</w:t>
      </w:r>
      <w:r w:rsidR="00214A82" w:rsidRPr="00214A82">
        <w:rPr>
          <w:rFonts w:ascii="Times New Roman" w:eastAsia="Calibri" w:hAnsi="Times New Roman" w:cs="Times New Roman"/>
          <w:noProof/>
          <w:sz w:val="24"/>
          <w:szCs w:val="24"/>
          <w:lang w:eastAsia="en-GB"/>
        </w:rPr>
        <w:t xml:space="preserve"> </w:t>
      </w:r>
      <w:r w:rsidRPr="00214A82">
        <w:rPr>
          <w:rFonts w:ascii="Times New Roman" w:eastAsia="Calibri" w:hAnsi="Times New Roman" w:cs="Times New Roman"/>
          <w:noProof/>
          <w:sz w:val="24"/>
          <w:szCs w:val="24"/>
          <w:lang w:eastAsia="en-GB"/>
        </w:rPr>
        <w:t xml:space="preserve">=-1; 0.71) suggesting that the highest reliability of measuring the neurotic trait is at normal or a minimal amount of neuroticism, </w:t>
      </w:r>
      <w:r w:rsidR="00214A82" w:rsidRPr="00214A82">
        <w:rPr>
          <w:rFonts w:ascii="Times New Roman" w:eastAsia="Times New Roman" w:hAnsi="Times New Roman" w:cs="Times New Roman"/>
          <w:i/>
          <w:sz w:val="24"/>
          <w:szCs w:val="24"/>
        </w:rPr>
        <w:t>θ</w:t>
      </w:r>
      <w:r w:rsidR="00214A82" w:rsidRPr="00214A82">
        <w:rPr>
          <w:rFonts w:ascii="Times New Roman" w:eastAsia="Calibri" w:hAnsi="Times New Roman" w:cs="Times New Roman"/>
          <w:noProof/>
          <w:sz w:val="24"/>
          <w:szCs w:val="24"/>
          <w:lang w:eastAsia="en-GB"/>
        </w:rPr>
        <w:t xml:space="preserve"> </w:t>
      </w:r>
      <w:r w:rsidRPr="00214A82">
        <w:rPr>
          <w:rFonts w:ascii="Times New Roman" w:eastAsia="Calibri" w:hAnsi="Times New Roman" w:cs="Times New Roman"/>
          <w:noProof/>
          <w:sz w:val="24"/>
          <w:szCs w:val="24"/>
          <w:lang w:eastAsia="en-GB"/>
        </w:rPr>
        <w:t xml:space="preserve">=0 or 1. Thereafter, reliability reduces so that the extreme end of the continuum, </w:t>
      </w:r>
      <w:r w:rsidR="00214A82" w:rsidRPr="00214A82">
        <w:rPr>
          <w:rFonts w:ascii="Times New Roman" w:eastAsia="Times New Roman" w:hAnsi="Times New Roman" w:cs="Times New Roman"/>
          <w:i/>
          <w:sz w:val="24"/>
          <w:szCs w:val="24"/>
        </w:rPr>
        <w:t>θ</w:t>
      </w:r>
      <w:r w:rsidR="00214A82" w:rsidRPr="00214A82">
        <w:rPr>
          <w:rFonts w:ascii="Times New Roman" w:eastAsia="Calibri" w:hAnsi="Times New Roman" w:cs="Times New Roman"/>
          <w:noProof/>
          <w:sz w:val="24"/>
          <w:szCs w:val="24"/>
          <w:lang w:eastAsia="en-GB"/>
        </w:rPr>
        <w:t xml:space="preserve"> </w:t>
      </w:r>
      <w:r w:rsidRPr="00214A82">
        <w:rPr>
          <w:rFonts w:ascii="Times New Roman" w:eastAsia="Calibri" w:hAnsi="Times New Roman" w:cs="Times New Roman"/>
          <w:noProof/>
          <w:sz w:val="24"/>
          <w:szCs w:val="24"/>
          <w:lang w:eastAsia="en-GB"/>
        </w:rPr>
        <w:t xml:space="preserve">=3; 4; -2; -3; -4, is no longer reliably measured (S1 Table). </w:t>
      </w:r>
    </w:p>
    <w:p w14:paraId="1D5B71BC" w14:textId="77777777" w:rsidR="00B700DD" w:rsidRPr="00B700DD" w:rsidRDefault="00B700DD" w:rsidP="00B700DD">
      <w:pPr>
        <w:rPr>
          <w:rFonts w:ascii="Times New Roman" w:eastAsia="Calibri" w:hAnsi="Times New Roman" w:cs="Times New Roman"/>
          <w:b/>
          <w:sz w:val="24"/>
          <w:szCs w:val="24"/>
        </w:rPr>
      </w:pPr>
      <w:r w:rsidRPr="00214A82">
        <w:rPr>
          <w:rFonts w:ascii="Times New Roman" w:eastAsia="Calibri" w:hAnsi="Times New Roman" w:cs="Times New Roman"/>
          <w:b/>
          <w:sz w:val="24"/>
          <w:szCs w:val="24"/>
        </w:rPr>
        <w:t>Reliability of the revised scales</w:t>
      </w:r>
      <w:r>
        <w:rPr>
          <w:rFonts w:ascii="Times New Roman" w:eastAsia="Calibri" w:hAnsi="Times New Roman" w:cs="Times New Roman"/>
          <w:b/>
          <w:sz w:val="24"/>
          <w:szCs w:val="24"/>
        </w:rPr>
        <w:t xml:space="preserve">. </w:t>
      </w:r>
      <w:r w:rsidRPr="00214A82">
        <w:rPr>
          <w:rFonts w:ascii="Times New Roman" w:eastAsia="Calibri" w:hAnsi="Times New Roman" w:cs="Times New Roman"/>
          <w:sz w:val="24"/>
          <w:szCs w:val="24"/>
        </w:rPr>
        <w:t xml:space="preserve">Reliability across the revised 7-item scale is marginally improved compared to the </w:t>
      </w:r>
      <w:r>
        <w:rPr>
          <w:rFonts w:ascii="Times New Roman" w:eastAsia="Calibri" w:hAnsi="Times New Roman" w:cs="Times New Roman"/>
          <w:sz w:val="24"/>
          <w:szCs w:val="24"/>
        </w:rPr>
        <w:t>entire</w:t>
      </w:r>
      <w:r w:rsidRPr="00214A82">
        <w:rPr>
          <w:rFonts w:ascii="Times New Roman" w:eastAsia="Calibri" w:hAnsi="Times New Roman" w:cs="Times New Roman"/>
          <w:sz w:val="24"/>
          <w:szCs w:val="24"/>
        </w:rPr>
        <w:t xml:space="preserve"> scale suggesting redundancy of the removed items (</w:t>
      </w:r>
      <w:r w:rsidRPr="00214A82">
        <w:rPr>
          <w:rFonts w:ascii="Times New Roman" w:eastAsia="Calibri" w:hAnsi="Times New Roman" w:cs="Times New Roman"/>
          <w:noProof/>
          <w:sz w:val="24"/>
          <w:szCs w:val="24"/>
          <w:lang w:eastAsia="en-GB"/>
        </w:rPr>
        <w:t>Table S1</w:t>
      </w:r>
      <w:r w:rsidRPr="00214A82">
        <w:rPr>
          <w:rFonts w:ascii="Times New Roman" w:eastAsia="Calibri" w:hAnsi="Times New Roman" w:cs="Times New Roman"/>
          <w:sz w:val="24"/>
          <w:szCs w:val="24"/>
        </w:rPr>
        <w:t>).</w:t>
      </w:r>
      <w:r w:rsidRPr="00214A82">
        <w:rPr>
          <w:rFonts w:ascii="Times New Roman" w:eastAsia="Calibri" w:hAnsi="Times New Roman" w:cs="Times New Roman"/>
          <w:noProof/>
          <w:sz w:val="24"/>
          <w:szCs w:val="24"/>
          <w:lang w:eastAsia="en-GB"/>
        </w:rPr>
        <w:t xml:space="preserve"> Reliability </w:t>
      </w:r>
      <w:r w:rsidRPr="00214A82">
        <w:rPr>
          <w:rFonts w:ascii="Times New Roman" w:eastAsia="Calibri" w:hAnsi="Times New Roman" w:cs="Times New Roman"/>
          <w:sz w:val="24"/>
          <w:szCs w:val="24"/>
        </w:rPr>
        <w:t>across the revised 3-item</w:t>
      </w:r>
      <w:r w:rsidRPr="00214A82">
        <w:rPr>
          <w:rFonts w:ascii="Times New Roman" w:eastAsia="Calibri" w:hAnsi="Times New Roman" w:cs="Times New Roman"/>
          <w:noProof/>
          <w:sz w:val="24"/>
          <w:szCs w:val="24"/>
          <w:lang w:eastAsia="en-GB"/>
        </w:rPr>
        <w:t xml:space="preserve"> is only good at </w:t>
      </w:r>
      <w:r w:rsidRPr="00214A82">
        <w:rPr>
          <w:rFonts w:ascii="Times New Roman" w:eastAsia="Times New Roman" w:hAnsi="Times New Roman" w:cs="Times New Roman"/>
          <w:i/>
          <w:sz w:val="24"/>
          <w:szCs w:val="24"/>
        </w:rPr>
        <w:t>θ</w:t>
      </w:r>
      <w:r w:rsidRPr="00214A82">
        <w:rPr>
          <w:rFonts w:ascii="Times New Roman" w:eastAsia="Calibri" w:hAnsi="Times New Roman" w:cs="Times New Roman"/>
          <w:noProof/>
          <w:sz w:val="24"/>
          <w:szCs w:val="24"/>
          <w:lang w:eastAsia="en-GB"/>
        </w:rPr>
        <w:t xml:space="preserve"> = 0 suggesting this scale is only reliable to measure those with an average trait (Table S1).</w:t>
      </w:r>
    </w:p>
    <w:p w14:paraId="26621F67" w14:textId="5826FF6E" w:rsidR="00B700DD" w:rsidRDefault="00B700DD">
      <w:pPr>
        <w:spacing w:line="259" w:lineRule="auto"/>
        <w:ind w:firstLine="0"/>
        <w:jc w:val="left"/>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0A68E72" w14:textId="05716F3C" w:rsidR="00B700DD" w:rsidRDefault="00B700DD" w:rsidP="00B700DD">
      <w:pPr>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Supplementary Tables</w:t>
      </w:r>
    </w:p>
    <w:p w14:paraId="0312C95F" w14:textId="0BDE77CC" w:rsidR="00214A82" w:rsidRPr="00214A82" w:rsidRDefault="00214A82" w:rsidP="00214A82">
      <w:pPr>
        <w:ind w:firstLine="0"/>
        <w:jc w:val="left"/>
        <w:rPr>
          <w:rFonts w:ascii="Times New Roman" w:eastAsia="Times New Roman" w:hAnsi="Times New Roman" w:cs="Times New Roman"/>
          <w:b/>
          <w:sz w:val="24"/>
          <w:szCs w:val="24"/>
        </w:rPr>
      </w:pPr>
      <w:r w:rsidRPr="00214A82">
        <w:rPr>
          <w:rFonts w:ascii="Times New Roman" w:eastAsia="Times New Roman" w:hAnsi="Times New Roman" w:cs="Times New Roman"/>
          <w:b/>
          <w:sz w:val="24"/>
          <w:szCs w:val="24"/>
        </w:rPr>
        <w:t>Table S1</w:t>
      </w:r>
    </w:p>
    <w:p w14:paraId="51CA6947" w14:textId="3F9680F8" w:rsidR="00214A82" w:rsidRPr="00B700DD" w:rsidRDefault="00214A82" w:rsidP="00B700DD">
      <w:pPr>
        <w:ind w:firstLine="0"/>
        <w:jc w:val="left"/>
        <w:rPr>
          <w:rFonts w:ascii="Times New Roman" w:eastAsia="Times New Roman" w:hAnsi="Times New Roman" w:cs="Times New Roman"/>
          <w:i/>
          <w:sz w:val="24"/>
          <w:szCs w:val="24"/>
        </w:rPr>
      </w:pPr>
      <w:r w:rsidRPr="00214A82">
        <w:rPr>
          <w:rFonts w:ascii="Times New Roman" w:eastAsia="Times New Roman" w:hAnsi="Times New Roman" w:cs="Times New Roman"/>
          <w:i/>
          <w:sz w:val="24"/>
          <w:szCs w:val="24"/>
        </w:rPr>
        <w:t>Reliability for values of θ from the 2-PL IRT model fit for the 12-item, 7-item and 3-item scales</w:t>
      </w:r>
    </w:p>
    <w:tbl>
      <w:tblPr>
        <w:tblStyle w:val="PlainTable21"/>
        <w:tblW w:w="0" w:type="auto"/>
        <w:jc w:val="center"/>
        <w:tblLook w:val="04A0" w:firstRow="1" w:lastRow="0" w:firstColumn="1" w:lastColumn="0" w:noHBand="0" w:noVBand="1"/>
      </w:tblPr>
      <w:tblGrid>
        <w:gridCol w:w="416"/>
        <w:gridCol w:w="636"/>
        <w:gridCol w:w="917"/>
        <w:gridCol w:w="1230"/>
        <w:gridCol w:w="636"/>
        <w:gridCol w:w="917"/>
        <w:gridCol w:w="1230"/>
        <w:gridCol w:w="636"/>
        <w:gridCol w:w="917"/>
        <w:gridCol w:w="1230"/>
      </w:tblGrid>
      <w:tr w:rsidR="00214A82" w:rsidRPr="00214A82" w14:paraId="2BA21369" w14:textId="77777777" w:rsidTr="008359B7">
        <w:trPr>
          <w:cnfStyle w:val="100000000000" w:firstRow="1" w:lastRow="0" w:firstColumn="0" w:lastColumn="0" w:oddVBand="0" w:evenVBand="0" w:oddHBand="0"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Merge w:val="restart"/>
            <w:noWrap/>
            <w:hideMark/>
          </w:tcPr>
          <w:p w14:paraId="5D35B86F" w14:textId="78338474" w:rsidR="00214A82" w:rsidRPr="00214A82" w:rsidRDefault="00214A82" w:rsidP="00214A82">
            <w:pPr>
              <w:spacing w:line="240" w:lineRule="auto"/>
              <w:ind w:firstLine="0"/>
              <w:jc w:val="center"/>
              <w:rPr>
                <w:rFonts w:ascii="Times New Roman" w:eastAsia="Times New Roman" w:hAnsi="Times New Roman" w:cs="Times New Roman"/>
                <w:sz w:val="24"/>
                <w:szCs w:val="24"/>
                <w:lang w:eastAsia="en-GB"/>
              </w:rPr>
            </w:pPr>
            <w:r w:rsidRPr="00214A82">
              <w:rPr>
                <w:rFonts w:ascii="Times New Roman" w:eastAsia="Times New Roman" w:hAnsi="Times New Roman" w:cs="Times New Roman"/>
                <w:i/>
                <w:sz w:val="24"/>
                <w:szCs w:val="24"/>
              </w:rPr>
              <w:t>θ</w:t>
            </w:r>
          </w:p>
        </w:tc>
        <w:tc>
          <w:tcPr>
            <w:tcW w:w="0" w:type="auto"/>
            <w:gridSpan w:val="3"/>
            <w:noWrap/>
            <w:hideMark/>
          </w:tcPr>
          <w:p w14:paraId="70F16CE3" w14:textId="77777777" w:rsidR="00214A82" w:rsidRPr="00214A82" w:rsidRDefault="00214A82" w:rsidP="00214A8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12-item scale</w:t>
            </w:r>
          </w:p>
        </w:tc>
        <w:tc>
          <w:tcPr>
            <w:tcW w:w="0" w:type="auto"/>
            <w:gridSpan w:val="3"/>
            <w:noWrap/>
            <w:hideMark/>
          </w:tcPr>
          <w:p w14:paraId="78EB3640" w14:textId="77777777" w:rsidR="00214A82" w:rsidRPr="00214A82" w:rsidRDefault="00214A82" w:rsidP="00214A8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7-item scale</w:t>
            </w:r>
          </w:p>
        </w:tc>
        <w:tc>
          <w:tcPr>
            <w:tcW w:w="0" w:type="auto"/>
            <w:gridSpan w:val="3"/>
            <w:noWrap/>
            <w:hideMark/>
          </w:tcPr>
          <w:p w14:paraId="728D23C4" w14:textId="77777777" w:rsidR="00214A82" w:rsidRPr="00214A82" w:rsidRDefault="00214A82" w:rsidP="00214A82">
            <w:pPr>
              <w:spacing w:line="240" w:lineRule="auto"/>
              <w:ind w:firstLine="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3-item scale</w:t>
            </w:r>
          </w:p>
        </w:tc>
      </w:tr>
      <w:tr w:rsidR="00214A82" w:rsidRPr="00214A82" w14:paraId="5D0FF833" w14:textId="77777777" w:rsidTr="008359B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14:paraId="03CF6AB4" w14:textId="77777777" w:rsidR="00214A82" w:rsidRPr="00214A82" w:rsidRDefault="00214A82" w:rsidP="00214A82">
            <w:pPr>
              <w:spacing w:line="240" w:lineRule="auto"/>
              <w:ind w:firstLine="0"/>
              <w:jc w:val="left"/>
              <w:rPr>
                <w:rFonts w:ascii="Times New Roman" w:eastAsia="Times New Roman" w:hAnsi="Times New Roman" w:cs="Times New Roman"/>
                <w:sz w:val="24"/>
                <w:szCs w:val="24"/>
                <w:lang w:eastAsia="en-GB"/>
              </w:rPr>
            </w:pPr>
          </w:p>
        </w:tc>
        <w:tc>
          <w:tcPr>
            <w:tcW w:w="0" w:type="auto"/>
            <w:noWrap/>
            <w:hideMark/>
          </w:tcPr>
          <w:p w14:paraId="473D40C6" w14:textId="77777777" w:rsidR="00214A82" w:rsidRPr="00214A82" w:rsidRDefault="00214A82" w:rsidP="00214A8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TIF</w:t>
            </w:r>
          </w:p>
        </w:tc>
        <w:tc>
          <w:tcPr>
            <w:tcW w:w="0" w:type="auto"/>
            <w:noWrap/>
            <w:hideMark/>
          </w:tcPr>
          <w:p w14:paraId="13EACD6A" w14:textId="77777777" w:rsidR="00214A82" w:rsidRPr="00214A82" w:rsidRDefault="00214A82" w:rsidP="00214A8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TIF SE</w:t>
            </w:r>
          </w:p>
        </w:tc>
        <w:tc>
          <w:tcPr>
            <w:tcW w:w="0" w:type="auto"/>
            <w:noWrap/>
            <w:hideMark/>
          </w:tcPr>
          <w:p w14:paraId="31D71B0C" w14:textId="77777777" w:rsidR="00214A82" w:rsidRPr="00214A82" w:rsidRDefault="00214A82" w:rsidP="00214A8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Reliability</w:t>
            </w:r>
          </w:p>
        </w:tc>
        <w:tc>
          <w:tcPr>
            <w:tcW w:w="0" w:type="auto"/>
            <w:noWrap/>
            <w:hideMark/>
          </w:tcPr>
          <w:p w14:paraId="24357666" w14:textId="77777777" w:rsidR="00214A82" w:rsidRPr="00214A82" w:rsidRDefault="00214A82" w:rsidP="00214A8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TIF</w:t>
            </w:r>
          </w:p>
        </w:tc>
        <w:tc>
          <w:tcPr>
            <w:tcW w:w="0" w:type="auto"/>
            <w:noWrap/>
            <w:hideMark/>
          </w:tcPr>
          <w:p w14:paraId="320BF522" w14:textId="77777777" w:rsidR="00214A82" w:rsidRPr="00214A82" w:rsidRDefault="00214A82" w:rsidP="00214A8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TIF SE</w:t>
            </w:r>
          </w:p>
        </w:tc>
        <w:tc>
          <w:tcPr>
            <w:tcW w:w="0" w:type="auto"/>
            <w:noWrap/>
            <w:hideMark/>
          </w:tcPr>
          <w:p w14:paraId="0FC7D72C" w14:textId="77777777" w:rsidR="00214A82" w:rsidRPr="00214A82" w:rsidRDefault="00214A82" w:rsidP="00214A8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Reliability</w:t>
            </w:r>
          </w:p>
        </w:tc>
        <w:tc>
          <w:tcPr>
            <w:tcW w:w="0" w:type="auto"/>
            <w:noWrap/>
            <w:hideMark/>
          </w:tcPr>
          <w:p w14:paraId="009660D8" w14:textId="77777777" w:rsidR="00214A82" w:rsidRPr="00214A82" w:rsidRDefault="00214A82" w:rsidP="00214A8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TIF</w:t>
            </w:r>
          </w:p>
        </w:tc>
        <w:tc>
          <w:tcPr>
            <w:tcW w:w="0" w:type="auto"/>
            <w:noWrap/>
            <w:hideMark/>
          </w:tcPr>
          <w:p w14:paraId="240DF83E" w14:textId="77777777" w:rsidR="00214A82" w:rsidRPr="00214A82" w:rsidRDefault="00214A82" w:rsidP="00214A8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TIF SE</w:t>
            </w:r>
          </w:p>
        </w:tc>
        <w:tc>
          <w:tcPr>
            <w:tcW w:w="0" w:type="auto"/>
            <w:noWrap/>
            <w:hideMark/>
          </w:tcPr>
          <w:p w14:paraId="46F917B9" w14:textId="77777777" w:rsidR="00214A82" w:rsidRPr="00214A82" w:rsidRDefault="00214A82" w:rsidP="00214A82">
            <w:pPr>
              <w:spacing w:line="240" w:lineRule="auto"/>
              <w:ind w:firstLine="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Reliability</w:t>
            </w:r>
          </w:p>
        </w:tc>
      </w:tr>
      <w:tr w:rsidR="00214A82" w:rsidRPr="00214A82" w14:paraId="69CA7613" w14:textId="77777777" w:rsidTr="008359B7">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48B1928B" w14:textId="77777777" w:rsidR="00214A82" w:rsidRPr="00214A82" w:rsidRDefault="00214A82" w:rsidP="00214A82">
            <w:pPr>
              <w:spacing w:line="240" w:lineRule="auto"/>
              <w:ind w:firstLine="0"/>
              <w:jc w:val="right"/>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-4</w:t>
            </w:r>
          </w:p>
        </w:tc>
        <w:tc>
          <w:tcPr>
            <w:tcW w:w="0" w:type="auto"/>
            <w:noWrap/>
            <w:hideMark/>
          </w:tcPr>
          <w:p w14:paraId="5F4FCC6A"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1.02</w:t>
            </w:r>
          </w:p>
        </w:tc>
        <w:tc>
          <w:tcPr>
            <w:tcW w:w="0" w:type="auto"/>
            <w:noWrap/>
            <w:hideMark/>
          </w:tcPr>
          <w:p w14:paraId="1361EA42"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0.99</w:t>
            </w:r>
          </w:p>
        </w:tc>
        <w:tc>
          <w:tcPr>
            <w:tcW w:w="0" w:type="auto"/>
            <w:noWrap/>
            <w:hideMark/>
          </w:tcPr>
          <w:p w14:paraId="2E64A119"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0.02</w:t>
            </w:r>
          </w:p>
        </w:tc>
        <w:tc>
          <w:tcPr>
            <w:tcW w:w="0" w:type="auto"/>
            <w:noWrap/>
            <w:hideMark/>
          </w:tcPr>
          <w:p w14:paraId="6584FB9F"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1.01</w:t>
            </w:r>
          </w:p>
        </w:tc>
        <w:tc>
          <w:tcPr>
            <w:tcW w:w="0" w:type="auto"/>
            <w:noWrap/>
            <w:hideMark/>
          </w:tcPr>
          <w:p w14:paraId="39B5DDCD"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1.00</w:t>
            </w:r>
          </w:p>
        </w:tc>
        <w:tc>
          <w:tcPr>
            <w:tcW w:w="0" w:type="auto"/>
            <w:noWrap/>
            <w:hideMark/>
          </w:tcPr>
          <w:p w14:paraId="110ACF8D"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0.01</w:t>
            </w:r>
          </w:p>
        </w:tc>
        <w:tc>
          <w:tcPr>
            <w:tcW w:w="0" w:type="auto"/>
            <w:noWrap/>
            <w:hideMark/>
          </w:tcPr>
          <w:p w14:paraId="66C91209"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1.00</w:t>
            </w:r>
          </w:p>
        </w:tc>
        <w:tc>
          <w:tcPr>
            <w:tcW w:w="0" w:type="auto"/>
            <w:noWrap/>
            <w:hideMark/>
          </w:tcPr>
          <w:p w14:paraId="4AC5DDDA"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1.00</w:t>
            </w:r>
          </w:p>
        </w:tc>
        <w:tc>
          <w:tcPr>
            <w:tcW w:w="0" w:type="auto"/>
            <w:noWrap/>
            <w:hideMark/>
          </w:tcPr>
          <w:p w14:paraId="23DCD455"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0.00</w:t>
            </w:r>
          </w:p>
        </w:tc>
      </w:tr>
      <w:tr w:rsidR="00214A82" w:rsidRPr="00214A82" w14:paraId="2C738AD8" w14:textId="77777777" w:rsidTr="008359B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720B5C2" w14:textId="77777777" w:rsidR="00214A82" w:rsidRPr="00214A82" w:rsidRDefault="00214A82" w:rsidP="00214A82">
            <w:pPr>
              <w:spacing w:line="240" w:lineRule="auto"/>
              <w:ind w:firstLine="0"/>
              <w:jc w:val="right"/>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-3</w:t>
            </w:r>
          </w:p>
        </w:tc>
        <w:tc>
          <w:tcPr>
            <w:tcW w:w="0" w:type="auto"/>
            <w:noWrap/>
            <w:hideMark/>
          </w:tcPr>
          <w:p w14:paraId="5CE99ACF"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1.10</w:t>
            </w:r>
          </w:p>
        </w:tc>
        <w:tc>
          <w:tcPr>
            <w:tcW w:w="0" w:type="auto"/>
            <w:noWrap/>
            <w:hideMark/>
          </w:tcPr>
          <w:p w14:paraId="08E4CE0B"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0.95</w:t>
            </w:r>
          </w:p>
        </w:tc>
        <w:tc>
          <w:tcPr>
            <w:tcW w:w="0" w:type="auto"/>
            <w:noWrap/>
            <w:hideMark/>
          </w:tcPr>
          <w:p w14:paraId="4CC1437A"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0.09</w:t>
            </w:r>
          </w:p>
        </w:tc>
        <w:tc>
          <w:tcPr>
            <w:tcW w:w="0" w:type="auto"/>
            <w:noWrap/>
            <w:hideMark/>
          </w:tcPr>
          <w:p w14:paraId="2D46841A"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1.04</w:t>
            </w:r>
          </w:p>
        </w:tc>
        <w:tc>
          <w:tcPr>
            <w:tcW w:w="0" w:type="auto"/>
            <w:noWrap/>
            <w:hideMark/>
          </w:tcPr>
          <w:p w14:paraId="054698B0"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0.98</w:t>
            </w:r>
          </w:p>
        </w:tc>
        <w:tc>
          <w:tcPr>
            <w:tcW w:w="0" w:type="auto"/>
            <w:noWrap/>
            <w:hideMark/>
          </w:tcPr>
          <w:p w14:paraId="005C571B"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0.04</w:t>
            </w:r>
          </w:p>
        </w:tc>
        <w:tc>
          <w:tcPr>
            <w:tcW w:w="0" w:type="auto"/>
            <w:noWrap/>
            <w:hideMark/>
          </w:tcPr>
          <w:p w14:paraId="71865F01"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1.00</w:t>
            </w:r>
          </w:p>
        </w:tc>
        <w:tc>
          <w:tcPr>
            <w:tcW w:w="0" w:type="auto"/>
            <w:noWrap/>
            <w:hideMark/>
          </w:tcPr>
          <w:p w14:paraId="4AF78C0C"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1.00</w:t>
            </w:r>
          </w:p>
        </w:tc>
        <w:tc>
          <w:tcPr>
            <w:tcW w:w="0" w:type="auto"/>
            <w:noWrap/>
            <w:hideMark/>
          </w:tcPr>
          <w:p w14:paraId="15C472C4"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0.00</w:t>
            </w:r>
          </w:p>
        </w:tc>
      </w:tr>
      <w:tr w:rsidR="00214A82" w:rsidRPr="00214A82" w14:paraId="4E1471BE" w14:textId="77777777" w:rsidTr="008359B7">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7A23870" w14:textId="77777777" w:rsidR="00214A82" w:rsidRPr="00214A82" w:rsidRDefault="00214A82" w:rsidP="00214A82">
            <w:pPr>
              <w:spacing w:line="240" w:lineRule="auto"/>
              <w:ind w:firstLine="0"/>
              <w:jc w:val="right"/>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-2</w:t>
            </w:r>
          </w:p>
        </w:tc>
        <w:tc>
          <w:tcPr>
            <w:tcW w:w="0" w:type="auto"/>
            <w:noWrap/>
            <w:hideMark/>
          </w:tcPr>
          <w:p w14:paraId="555C14D3"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1.52</w:t>
            </w:r>
          </w:p>
        </w:tc>
        <w:tc>
          <w:tcPr>
            <w:tcW w:w="0" w:type="auto"/>
            <w:noWrap/>
            <w:hideMark/>
          </w:tcPr>
          <w:p w14:paraId="4897D152"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0.81</w:t>
            </w:r>
          </w:p>
        </w:tc>
        <w:tc>
          <w:tcPr>
            <w:tcW w:w="0" w:type="auto"/>
            <w:noWrap/>
            <w:hideMark/>
          </w:tcPr>
          <w:p w14:paraId="03461B7F"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0.34</w:t>
            </w:r>
          </w:p>
        </w:tc>
        <w:tc>
          <w:tcPr>
            <w:tcW w:w="0" w:type="auto"/>
            <w:noWrap/>
            <w:hideMark/>
          </w:tcPr>
          <w:p w14:paraId="33998F69"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1.24</w:t>
            </w:r>
          </w:p>
        </w:tc>
        <w:tc>
          <w:tcPr>
            <w:tcW w:w="0" w:type="auto"/>
            <w:noWrap/>
            <w:hideMark/>
          </w:tcPr>
          <w:p w14:paraId="251F726F"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0.90</w:t>
            </w:r>
          </w:p>
        </w:tc>
        <w:tc>
          <w:tcPr>
            <w:tcW w:w="0" w:type="auto"/>
            <w:noWrap/>
            <w:hideMark/>
          </w:tcPr>
          <w:p w14:paraId="4275DB26"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0.19</w:t>
            </w:r>
          </w:p>
        </w:tc>
        <w:tc>
          <w:tcPr>
            <w:tcW w:w="0" w:type="auto"/>
            <w:noWrap/>
            <w:hideMark/>
          </w:tcPr>
          <w:p w14:paraId="3E651DF1"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1.03</w:t>
            </w:r>
          </w:p>
        </w:tc>
        <w:tc>
          <w:tcPr>
            <w:tcW w:w="0" w:type="auto"/>
            <w:noWrap/>
            <w:hideMark/>
          </w:tcPr>
          <w:p w14:paraId="483A77EC"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0.98</w:t>
            </w:r>
          </w:p>
        </w:tc>
        <w:tc>
          <w:tcPr>
            <w:tcW w:w="0" w:type="auto"/>
            <w:noWrap/>
            <w:hideMark/>
          </w:tcPr>
          <w:p w14:paraId="06177C9E"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0.03</w:t>
            </w:r>
          </w:p>
        </w:tc>
      </w:tr>
      <w:tr w:rsidR="00214A82" w:rsidRPr="00214A82" w14:paraId="6A156E95" w14:textId="77777777" w:rsidTr="008359B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015C76A5" w14:textId="77777777" w:rsidR="00214A82" w:rsidRPr="00214A82" w:rsidRDefault="00214A82" w:rsidP="00214A82">
            <w:pPr>
              <w:spacing w:line="240" w:lineRule="auto"/>
              <w:ind w:firstLine="0"/>
              <w:jc w:val="right"/>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w:t>
            </w:r>
          </w:p>
        </w:tc>
        <w:tc>
          <w:tcPr>
            <w:tcW w:w="0" w:type="auto"/>
            <w:noWrap/>
            <w:hideMark/>
          </w:tcPr>
          <w:p w14:paraId="53404BA4"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3.43</w:t>
            </w:r>
          </w:p>
        </w:tc>
        <w:tc>
          <w:tcPr>
            <w:tcW w:w="0" w:type="auto"/>
            <w:noWrap/>
            <w:hideMark/>
          </w:tcPr>
          <w:p w14:paraId="64A2B927"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0.54</w:t>
            </w:r>
          </w:p>
        </w:tc>
        <w:tc>
          <w:tcPr>
            <w:tcW w:w="0" w:type="auto"/>
            <w:noWrap/>
            <w:hideMark/>
          </w:tcPr>
          <w:p w14:paraId="51A60C05"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0.71</w:t>
            </w:r>
          </w:p>
        </w:tc>
        <w:tc>
          <w:tcPr>
            <w:tcW w:w="0" w:type="auto"/>
            <w:noWrap/>
            <w:hideMark/>
          </w:tcPr>
          <w:p w14:paraId="6A280982"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2.36</w:t>
            </w:r>
          </w:p>
        </w:tc>
        <w:tc>
          <w:tcPr>
            <w:tcW w:w="0" w:type="auto"/>
            <w:noWrap/>
            <w:hideMark/>
          </w:tcPr>
          <w:p w14:paraId="1D01BD6F"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0.65</w:t>
            </w:r>
          </w:p>
        </w:tc>
        <w:tc>
          <w:tcPr>
            <w:tcW w:w="0" w:type="auto"/>
            <w:noWrap/>
            <w:hideMark/>
          </w:tcPr>
          <w:p w14:paraId="66CD12CE"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0.58</w:t>
            </w:r>
          </w:p>
        </w:tc>
        <w:tc>
          <w:tcPr>
            <w:tcW w:w="0" w:type="auto"/>
            <w:noWrap/>
            <w:hideMark/>
          </w:tcPr>
          <w:p w14:paraId="64574D9D"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1.59</w:t>
            </w:r>
          </w:p>
        </w:tc>
        <w:tc>
          <w:tcPr>
            <w:tcW w:w="0" w:type="auto"/>
            <w:noWrap/>
            <w:hideMark/>
          </w:tcPr>
          <w:p w14:paraId="044965A4"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0.79</w:t>
            </w:r>
          </w:p>
        </w:tc>
        <w:tc>
          <w:tcPr>
            <w:tcW w:w="0" w:type="auto"/>
            <w:noWrap/>
            <w:hideMark/>
          </w:tcPr>
          <w:p w14:paraId="0ECD03BF"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0.37</w:t>
            </w:r>
          </w:p>
        </w:tc>
      </w:tr>
      <w:tr w:rsidR="00214A82" w:rsidRPr="00214A82" w14:paraId="758E4E0F" w14:textId="77777777" w:rsidTr="008359B7">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3402CCF" w14:textId="77777777" w:rsidR="00214A82" w:rsidRPr="00214A82" w:rsidRDefault="00214A82" w:rsidP="00214A82">
            <w:pPr>
              <w:spacing w:line="240" w:lineRule="auto"/>
              <w:ind w:firstLine="0"/>
              <w:jc w:val="right"/>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w:t>
            </w:r>
          </w:p>
        </w:tc>
        <w:tc>
          <w:tcPr>
            <w:tcW w:w="0" w:type="auto"/>
            <w:noWrap/>
            <w:hideMark/>
          </w:tcPr>
          <w:p w14:paraId="6003E381"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7.96</w:t>
            </w:r>
          </w:p>
        </w:tc>
        <w:tc>
          <w:tcPr>
            <w:tcW w:w="0" w:type="auto"/>
            <w:noWrap/>
            <w:hideMark/>
          </w:tcPr>
          <w:p w14:paraId="103BB1B2"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0.35</w:t>
            </w:r>
          </w:p>
        </w:tc>
        <w:tc>
          <w:tcPr>
            <w:tcW w:w="0" w:type="auto"/>
            <w:noWrap/>
            <w:hideMark/>
          </w:tcPr>
          <w:p w14:paraId="5D1CA75E"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0.87</w:t>
            </w:r>
          </w:p>
        </w:tc>
        <w:tc>
          <w:tcPr>
            <w:tcW w:w="0" w:type="auto"/>
            <w:noWrap/>
            <w:hideMark/>
          </w:tcPr>
          <w:p w14:paraId="2F4DB9B6"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6.22</w:t>
            </w:r>
          </w:p>
        </w:tc>
        <w:tc>
          <w:tcPr>
            <w:tcW w:w="0" w:type="auto"/>
            <w:noWrap/>
            <w:hideMark/>
          </w:tcPr>
          <w:p w14:paraId="53DA388F"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0.40</w:t>
            </w:r>
          </w:p>
        </w:tc>
        <w:tc>
          <w:tcPr>
            <w:tcW w:w="0" w:type="auto"/>
            <w:noWrap/>
            <w:hideMark/>
          </w:tcPr>
          <w:p w14:paraId="75B89DB0"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0.84</w:t>
            </w:r>
          </w:p>
        </w:tc>
        <w:tc>
          <w:tcPr>
            <w:tcW w:w="0" w:type="auto"/>
            <w:noWrap/>
            <w:hideMark/>
          </w:tcPr>
          <w:p w14:paraId="46865DAD"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6.96</w:t>
            </w:r>
          </w:p>
        </w:tc>
        <w:tc>
          <w:tcPr>
            <w:tcW w:w="0" w:type="auto"/>
            <w:noWrap/>
            <w:hideMark/>
          </w:tcPr>
          <w:p w14:paraId="2BC48FB0"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0.38</w:t>
            </w:r>
          </w:p>
        </w:tc>
        <w:tc>
          <w:tcPr>
            <w:tcW w:w="0" w:type="auto"/>
            <w:noWrap/>
            <w:hideMark/>
          </w:tcPr>
          <w:p w14:paraId="2EC9249C"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0.86</w:t>
            </w:r>
          </w:p>
        </w:tc>
      </w:tr>
      <w:tr w:rsidR="00214A82" w:rsidRPr="00214A82" w14:paraId="5C39332D" w14:textId="77777777" w:rsidTr="008359B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F558A09" w14:textId="77777777" w:rsidR="00214A82" w:rsidRPr="00214A82" w:rsidRDefault="00214A82" w:rsidP="00214A82">
            <w:pPr>
              <w:spacing w:line="240" w:lineRule="auto"/>
              <w:ind w:firstLine="0"/>
              <w:jc w:val="right"/>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w:t>
            </w:r>
          </w:p>
        </w:tc>
        <w:tc>
          <w:tcPr>
            <w:tcW w:w="0" w:type="auto"/>
            <w:noWrap/>
            <w:hideMark/>
          </w:tcPr>
          <w:p w14:paraId="3F9D6D63"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8.04</w:t>
            </w:r>
          </w:p>
        </w:tc>
        <w:tc>
          <w:tcPr>
            <w:tcW w:w="0" w:type="auto"/>
            <w:noWrap/>
            <w:hideMark/>
          </w:tcPr>
          <w:p w14:paraId="157A3B05"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0.35</w:t>
            </w:r>
          </w:p>
        </w:tc>
        <w:tc>
          <w:tcPr>
            <w:tcW w:w="0" w:type="auto"/>
            <w:noWrap/>
            <w:hideMark/>
          </w:tcPr>
          <w:p w14:paraId="0D36F04F"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0.88</w:t>
            </w:r>
          </w:p>
        </w:tc>
        <w:tc>
          <w:tcPr>
            <w:tcW w:w="0" w:type="auto"/>
            <w:noWrap/>
            <w:hideMark/>
          </w:tcPr>
          <w:p w14:paraId="0FADB0BD"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5.82</w:t>
            </w:r>
          </w:p>
        </w:tc>
        <w:tc>
          <w:tcPr>
            <w:tcW w:w="0" w:type="auto"/>
            <w:noWrap/>
            <w:hideMark/>
          </w:tcPr>
          <w:p w14:paraId="1561F251"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0.41</w:t>
            </w:r>
          </w:p>
        </w:tc>
        <w:tc>
          <w:tcPr>
            <w:tcW w:w="0" w:type="auto"/>
            <w:noWrap/>
            <w:hideMark/>
          </w:tcPr>
          <w:p w14:paraId="6999D4FB"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0.83</w:t>
            </w:r>
          </w:p>
        </w:tc>
        <w:tc>
          <w:tcPr>
            <w:tcW w:w="0" w:type="auto"/>
            <w:noWrap/>
            <w:hideMark/>
          </w:tcPr>
          <w:p w14:paraId="4D8C8CEE"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3.34</w:t>
            </w:r>
          </w:p>
        </w:tc>
        <w:tc>
          <w:tcPr>
            <w:tcW w:w="0" w:type="auto"/>
            <w:noWrap/>
            <w:hideMark/>
          </w:tcPr>
          <w:p w14:paraId="240767F2"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0.55</w:t>
            </w:r>
          </w:p>
        </w:tc>
        <w:tc>
          <w:tcPr>
            <w:tcW w:w="0" w:type="auto"/>
            <w:noWrap/>
            <w:hideMark/>
          </w:tcPr>
          <w:p w14:paraId="4B2B6E74"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0.70</w:t>
            </w:r>
          </w:p>
        </w:tc>
      </w:tr>
      <w:tr w:rsidR="00214A82" w:rsidRPr="00214A82" w14:paraId="180D6178" w14:textId="77777777" w:rsidTr="008359B7">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196D39CA" w14:textId="77777777" w:rsidR="00214A82" w:rsidRPr="00214A82" w:rsidRDefault="00214A82" w:rsidP="00214A82">
            <w:pPr>
              <w:spacing w:line="240" w:lineRule="auto"/>
              <w:ind w:firstLine="0"/>
              <w:jc w:val="right"/>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2</w:t>
            </w:r>
          </w:p>
        </w:tc>
        <w:tc>
          <w:tcPr>
            <w:tcW w:w="0" w:type="auto"/>
            <w:noWrap/>
            <w:hideMark/>
          </w:tcPr>
          <w:p w14:paraId="0E4EB834"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4.11</w:t>
            </w:r>
          </w:p>
        </w:tc>
        <w:tc>
          <w:tcPr>
            <w:tcW w:w="0" w:type="auto"/>
            <w:noWrap/>
            <w:hideMark/>
          </w:tcPr>
          <w:p w14:paraId="7CFD50BE"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0.49</w:t>
            </w:r>
          </w:p>
        </w:tc>
        <w:tc>
          <w:tcPr>
            <w:tcW w:w="0" w:type="auto"/>
            <w:noWrap/>
            <w:hideMark/>
          </w:tcPr>
          <w:p w14:paraId="1D0F8F86"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0.76</w:t>
            </w:r>
          </w:p>
        </w:tc>
        <w:tc>
          <w:tcPr>
            <w:tcW w:w="0" w:type="auto"/>
            <w:noWrap/>
            <w:hideMark/>
          </w:tcPr>
          <w:p w14:paraId="7901BCF3"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2.84</w:t>
            </w:r>
          </w:p>
        </w:tc>
        <w:tc>
          <w:tcPr>
            <w:tcW w:w="0" w:type="auto"/>
            <w:noWrap/>
            <w:hideMark/>
          </w:tcPr>
          <w:p w14:paraId="52BABC19"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0.59</w:t>
            </w:r>
          </w:p>
        </w:tc>
        <w:tc>
          <w:tcPr>
            <w:tcW w:w="0" w:type="auto"/>
            <w:noWrap/>
            <w:hideMark/>
          </w:tcPr>
          <w:p w14:paraId="60CEF4CE"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0.65</w:t>
            </w:r>
          </w:p>
        </w:tc>
        <w:tc>
          <w:tcPr>
            <w:tcW w:w="0" w:type="auto"/>
            <w:noWrap/>
            <w:hideMark/>
          </w:tcPr>
          <w:p w14:paraId="7E9267FC"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1.15</w:t>
            </w:r>
          </w:p>
        </w:tc>
        <w:tc>
          <w:tcPr>
            <w:tcW w:w="0" w:type="auto"/>
            <w:noWrap/>
            <w:hideMark/>
          </w:tcPr>
          <w:p w14:paraId="51AC36FE"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0.93</w:t>
            </w:r>
          </w:p>
        </w:tc>
        <w:tc>
          <w:tcPr>
            <w:tcW w:w="0" w:type="auto"/>
            <w:noWrap/>
            <w:hideMark/>
          </w:tcPr>
          <w:p w14:paraId="56C67F45"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0.13</w:t>
            </w:r>
          </w:p>
        </w:tc>
      </w:tr>
      <w:tr w:rsidR="00214A82" w:rsidRPr="00214A82" w14:paraId="4C72B58D" w14:textId="77777777" w:rsidTr="008359B7">
        <w:trPr>
          <w:cnfStyle w:val="000000100000" w:firstRow="0" w:lastRow="0" w:firstColumn="0" w:lastColumn="0" w:oddVBand="0" w:evenVBand="0" w:oddHBand="1" w:evenHBand="0" w:firstRowFirstColumn="0" w:firstRowLastColumn="0" w:lastRowFirstColumn="0" w:lastRowLastColumn="0"/>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5461058B" w14:textId="77777777" w:rsidR="00214A82" w:rsidRPr="00214A82" w:rsidRDefault="00214A82" w:rsidP="00214A82">
            <w:pPr>
              <w:spacing w:line="240" w:lineRule="auto"/>
              <w:ind w:firstLine="0"/>
              <w:jc w:val="right"/>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3</w:t>
            </w:r>
          </w:p>
        </w:tc>
        <w:tc>
          <w:tcPr>
            <w:tcW w:w="0" w:type="auto"/>
            <w:noWrap/>
            <w:hideMark/>
          </w:tcPr>
          <w:p w14:paraId="291E943E"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1.77</w:t>
            </w:r>
          </w:p>
        </w:tc>
        <w:tc>
          <w:tcPr>
            <w:tcW w:w="0" w:type="auto"/>
            <w:noWrap/>
            <w:hideMark/>
          </w:tcPr>
          <w:p w14:paraId="1529D3D6"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0.75</w:t>
            </w:r>
          </w:p>
        </w:tc>
        <w:tc>
          <w:tcPr>
            <w:tcW w:w="0" w:type="auto"/>
            <w:noWrap/>
            <w:hideMark/>
          </w:tcPr>
          <w:p w14:paraId="00B06CE5"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0.44</w:t>
            </w:r>
          </w:p>
        </w:tc>
        <w:tc>
          <w:tcPr>
            <w:tcW w:w="0" w:type="auto"/>
            <w:noWrap/>
            <w:hideMark/>
          </w:tcPr>
          <w:p w14:paraId="0B4E50DB"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1.37</w:t>
            </w:r>
          </w:p>
        </w:tc>
        <w:tc>
          <w:tcPr>
            <w:tcW w:w="0" w:type="auto"/>
            <w:noWrap/>
            <w:hideMark/>
          </w:tcPr>
          <w:p w14:paraId="568095DC"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0.85</w:t>
            </w:r>
          </w:p>
        </w:tc>
        <w:tc>
          <w:tcPr>
            <w:tcW w:w="0" w:type="auto"/>
            <w:noWrap/>
            <w:hideMark/>
          </w:tcPr>
          <w:p w14:paraId="1E01F606"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0.27</w:t>
            </w:r>
          </w:p>
        </w:tc>
        <w:tc>
          <w:tcPr>
            <w:tcW w:w="0" w:type="auto"/>
            <w:noWrap/>
            <w:hideMark/>
          </w:tcPr>
          <w:p w14:paraId="4C47FEEC"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1.01</w:t>
            </w:r>
          </w:p>
        </w:tc>
        <w:tc>
          <w:tcPr>
            <w:tcW w:w="0" w:type="auto"/>
            <w:noWrap/>
            <w:hideMark/>
          </w:tcPr>
          <w:p w14:paraId="010B8D2A"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1.00</w:t>
            </w:r>
          </w:p>
        </w:tc>
        <w:tc>
          <w:tcPr>
            <w:tcW w:w="0" w:type="auto"/>
            <w:noWrap/>
            <w:hideMark/>
          </w:tcPr>
          <w:p w14:paraId="3333272D" w14:textId="77777777" w:rsidR="00214A82" w:rsidRPr="00214A82" w:rsidRDefault="00214A82" w:rsidP="00214A82">
            <w:pPr>
              <w:spacing w:line="240" w:lineRule="auto"/>
              <w:ind w:firstLine="0"/>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0.01</w:t>
            </w:r>
          </w:p>
        </w:tc>
      </w:tr>
      <w:tr w:rsidR="00214A82" w:rsidRPr="00214A82" w14:paraId="3AEC80C6" w14:textId="77777777" w:rsidTr="008359B7">
        <w:trPr>
          <w:trHeight w:val="288"/>
          <w:jc w:val="center"/>
        </w:trPr>
        <w:tc>
          <w:tcPr>
            <w:cnfStyle w:val="001000000000" w:firstRow="0" w:lastRow="0" w:firstColumn="1" w:lastColumn="0" w:oddVBand="0" w:evenVBand="0" w:oddHBand="0" w:evenHBand="0" w:firstRowFirstColumn="0" w:firstRowLastColumn="0" w:lastRowFirstColumn="0" w:lastRowLastColumn="0"/>
            <w:tcW w:w="0" w:type="auto"/>
            <w:noWrap/>
            <w:hideMark/>
          </w:tcPr>
          <w:p w14:paraId="67ABBD25" w14:textId="77777777" w:rsidR="00214A82" w:rsidRPr="00214A82" w:rsidRDefault="00214A82" w:rsidP="00214A82">
            <w:pPr>
              <w:spacing w:line="240" w:lineRule="auto"/>
              <w:ind w:firstLine="0"/>
              <w:jc w:val="right"/>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4</w:t>
            </w:r>
          </w:p>
        </w:tc>
        <w:tc>
          <w:tcPr>
            <w:tcW w:w="0" w:type="auto"/>
            <w:noWrap/>
            <w:hideMark/>
          </w:tcPr>
          <w:p w14:paraId="42843192"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1.16</w:t>
            </w:r>
          </w:p>
        </w:tc>
        <w:tc>
          <w:tcPr>
            <w:tcW w:w="0" w:type="auto"/>
            <w:noWrap/>
            <w:hideMark/>
          </w:tcPr>
          <w:p w14:paraId="646E94EA"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0.93</w:t>
            </w:r>
          </w:p>
        </w:tc>
        <w:tc>
          <w:tcPr>
            <w:tcW w:w="0" w:type="auto"/>
            <w:noWrap/>
            <w:hideMark/>
          </w:tcPr>
          <w:p w14:paraId="0153BDE9"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0.14</w:t>
            </w:r>
          </w:p>
        </w:tc>
        <w:tc>
          <w:tcPr>
            <w:tcW w:w="0" w:type="auto"/>
            <w:noWrap/>
            <w:hideMark/>
          </w:tcPr>
          <w:p w14:paraId="04A95283"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1.06</w:t>
            </w:r>
          </w:p>
        </w:tc>
        <w:tc>
          <w:tcPr>
            <w:tcW w:w="0" w:type="auto"/>
            <w:noWrap/>
            <w:hideMark/>
          </w:tcPr>
          <w:p w14:paraId="6ECF2E46"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0.97</w:t>
            </w:r>
          </w:p>
        </w:tc>
        <w:tc>
          <w:tcPr>
            <w:tcW w:w="0" w:type="auto"/>
            <w:noWrap/>
            <w:hideMark/>
          </w:tcPr>
          <w:p w14:paraId="1D2F3218"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0.06</w:t>
            </w:r>
          </w:p>
        </w:tc>
        <w:tc>
          <w:tcPr>
            <w:tcW w:w="0" w:type="auto"/>
            <w:noWrap/>
            <w:hideMark/>
          </w:tcPr>
          <w:p w14:paraId="36A18448"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1.00</w:t>
            </w:r>
          </w:p>
        </w:tc>
        <w:tc>
          <w:tcPr>
            <w:tcW w:w="0" w:type="auto"/>
            <w:noWrap/>
            <w:hideMark/>
          </w:tcPr>
          <w:p w14:paraId="6D5C9585"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1.00</w:t>
            </w:r>
          </w:p>
        </w:tc>
        <w:tc>
          <w:tcPr>
            <w:tcW w:w="0" w:type="auto"/>
            <w:noWrap/>
            <w:hideMark/>
          </w:tcPr>
          <w:p w14:paraId="13E10794" w14:textId="77777777" w:rsidR="00214A82" w:rsidRPr="00214A82" w:rsidRDefault="00214A82" w:rsidP="00214A82">
            <w:pPr>
              <w:spacing w:line="240" w:lineRule="auto"/>
              <w:ind w:firstLine="0"/>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n-GB"/>
              </w:rPr>
            </w:pPr>
            <w:r w:rsidRPr="00214A82">
              <w:rPr>
                <w:rFonts w:ascii="Times New Roman" w:eastAsia="Times New Roman" w:hAnsi="Times New Roman" w:cs="Times New Roman"/>
                <w:sz w:val="24"/>
                <w:szCs w:val="24"/>
                <w:lang w:eastAsia="en-GB"/>
              </w:rPr>
              <w:t>0.00</w:t>
            </w:r>
          </w:p>
        </w:tc>
      </w:tr>
    </w:tbl>
    <w:p w14:paraId="30568AAD" w14:textId="69CC226B" w:rsidR="00214A82" w:rsidRPr="00214A82" w:rsidRDefault="00214A82" w:rsidP="00214A82">
      <w:pPr>
        <w:ind w:firstLine="0"/>
        <w:rPr>
          <w:rFonts w:ascii="Times New Roman" w:eastAsia="Calibri" w:hAnsi="Times New Roman" w:cs="Times New Roman"/>
          <w:sz w:val="24"/>
          <w:szCs w:val="24"/>
        </w:rPr>
      </w:pPr>
      <w:r w:rsidRPr="00214A82">
        <w:rPr>
          <w:rFonts w:ascii="Times New Roman" w:eastAsia="Calibri" w:hAnsi="Times New Roman" w:cs="Times New Roman"/>
          <w:i/>
          <w:sz w:val="24"/>
          <w:szCs w:val="24"/>
        </w:rPr>
        <w:t>Note:</w:t>
      </w:r>
      <w:r w:rsidRPr="00214A82">
        <w:rPr>
          <w:rFonts w:ascii="Times New Roman" w:eastAsia="Calibri" w:hAnsi="Times New Roman" w:cs="Times New Roman"/>
          <w:sz w:val="24"/>
          <w:szCs w:val="24"/>
        </w:rPr>
        <w:t xml:space="preserve"> TIF = Test Information Function; SE = standard error.</w:t>
      </w:r>
    </w:p>
    <w:p w14:paraId="0376EF43" w14:textId="257DCB5C" w:rsidR="00375716" w:rsidRDefault="00375716" w:rsidP="00370873">
      <w:pPr>
        <w:ind w:firstLine="0"/>
        <w:jc w:val="center"/>
        <w:rPr>
          <w:rFonts w:ascii="Times New Roman" w:eastAsia="Calibri" w:hAnsi="Times New Roman" w:cs="Times New Roman"/>
          <w:noProof/>
          <w:sz w:val="24"/>
          <w:szCs w:val="24"/>
          <w:lang w:eastAsia="en-GB"/>
        </w:rPr>
      </w:pPr>
    </w:p>
    <w:p w14:paraId="65EF3BE5" w14:textId="319FE4BE" w:rsidR="00370873" w:rsidRDefault="00370873" w:rsidP="00370873">
      <w:pPr>
        <w:ind w:firstLine="0"/>
        <w:jc w:val="center"/>
        <w:rPr>
          <w:rFonts w:ascii="Times New Roman" w:eastAsia="Calibri" w:hAnsi="Times New Roman" w:cs="Times New Roman"/>
          <w:b/>
          <w:noProof/>
          <w:sz w:val="24"/>
          <w:szCs w:val="24"/>
          <w:lang w:eastAsia="en-GB"/>
        </w:rPr>
      </w:pPr>
      <w:r w:rsidRPr="00370873">
        <w:rPr>
          <w:rFonts w:ascii="Times New Roman" w:eastAsia="Calibri" w:hAnsi="Times New Roman" w:cs="Times New Roman"/>
          <w:b/>
          <w:noProof/>
          <w:sz w:val="24"/>
          <w:szCs w:val="24"/>
          <w:lang w:eastAsia="en-GB"/>
        </w:rPr>
        <w:t xml:space="preserve">Supplementary Figures </w:t>
      </w:r>
    </w:p>
    <w:p w14:paraId="6264CBF0" w14:textId="100DDDC0" w:rsidR="00370873" w:rsidRDefault="00370873" w:rsidP="00370873">
      <w:pPr>
        <w:ind w:firstLine="0"/>
        <w:rPr>
          <w:rFonts w:ascii="Times New Roman" w:eastAsia="Calibri" w:hAnsi="Times New Roman" w:cs="Times New Roman"/>
          <w:b/>
          <w:noProof/>
          <w:sz w:val="24"/>
          <w:szCs w:val="24"/>
          <w:lang w:eastAsia="en-GB"/>
        </w:rPr>
      </w:pPr>
      <w:r>
        <w:rPr>
          <w:rFonts w:ascii="Times New Roman" w:eastAsia="Calibri" w:hAnsi="Times New Roman" w:cs="Times New Roman"/>
          <w:b/>
          <w:noProof/>
          <w:sz w:val="24"/>
          <w:szCs w:val="24"/>
          <w:lang w:eastAsia="en-GB"/>
        </w:rPr>
        <w:t>Figure S1</w:t>
      </w:r>
    </w:p>
    <w:p w14:paraId="7F00C49F" w14:textId="69ED2778" w:rsidR="00370873" w:rsidRPr="00370873" w:rsidRDefault="00370873" w:rsidP="00370873">
      <w:pPr>
        <w:ind w:firstLine="0"/>
        <w:rPr>
          <w:rFonts w:ascii="Times New Roman" w:eastAsia="Calibri" w:hAnsi="Times New Roman" w:cs="Times New Roman"/>
          <w:i/>
          <w:noProof/>
          <w:sz w:val="24"/>
          <w:szCs w:val="24"/>
          <w:lang w:eastAsia="en-GB"/>
        </w:rPr>
      </w:pPr>
      <w:r w:rsidRPr="00370873">
        <w:rPr>
          <w:rFonts w:ascii="Times New Roman" w:eastAsia="Calibri" w:hAnsi="Times New Roman" w:cs="Times New Roman"/>
          <w:i/>
          <w:noProof/>
          <w:sz w:val="24"/>
          <w:szCs w:val="24"/>
          <w:lang w:eastAsia="en-GB"/>
        </w:rPr>
        <w:t>Item Characteristic Curves and Item Information Functions for the reduced 7-item Eysenck Personality Questionnaire-Revised Neuroticism scale</w:t>
      </w:r>
    </w:p>
    <w:p w14:paraId="5E171DCB" w14:textId="5EDA1FC9" w:rsidR="00370873" w:rsidRDefault="00370873" w:rsidP="00370873">
      <w:pPr>
        <w:ind w:firstLine="0"/>
        <w:rPr>
          <w:rFonts w:ascii="Times New Roman" w:eastAsia="Calibri" w:hAnsi="Times New Roman" w:cs="Times New Roman"/>
          <w:b/>
          <w:noProof/>
          <w:sz w:val="24"/>
          <w:szCs w:val="24"/>
          <w:lang w:eastAsia="en-GB"/>
        </w:rPr>
      </w:pPr>
      <w:r>
        <w:rPr>
          <w:rFonts w:ascii="Times New Roman" w:eastAsia="Calibri" w:hAnsi="Times New Roman" w:cs="Times New Roman"/>
          <w:b/>
          <w:noProof/>
          <w:sz w:val="24"/>
          <w:szCs w:val="24"/>
          <w:lang w:eastAsia="en-GB"/>
        </w:rPr>
        <w:drawing>
          <wp:inline distT="0" distB="0" distL="0" distR="0" wp14:anchorId="71024C1E" wp14:editId="5F59B8A8">
            <wp:extent cx="5731510" cy="223901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Fig1.tif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2239010"/>
                    </a:xfrm>
                    <a:prstGeom prst="rect">
                      <a:avLst/>
                    </a:prstGeom>
                  </pic:spPr>
                </pic:pic>
              </a:graphicData>
            </a:graphic>
          </wp:inline>
        </w:drawing>
      </w:r>
      <w:r>
        <w:rPr>
          <w:rFonts w:ascii="Times New Roman" w:eastAsia="Calibri" w:hAnsi="Times New Roman" w:cs="Times New Roman"/>
          <w:b/>
          <w:noProof/>
          <w:sz w:val="24"/>
          <w:szCs w:val="24"/>
          <w:lang w:eastAsia="en-GB"/>
        </w:rPr>
        <w:t xml:space="preserve"> </w:t>
      </w:r>
    </w:p>
    <w:p w14:paraId="50C0FFE1" w14:textId="737EB417" w:rsidR="00370873" w:rsidRPr="00370873" w:rsidRDefault="00370873" w:rsidP="00370873">
      <w:pPr>
        <w:ind w:firstLine="0"/>
        <w:rPr>
          <w:rFonts w:ascii="Times New Roman" w:eastAsia="Calibri" w:hAnsi="Times New Roman" w:cs="Times New Roman"/>
          <w:b/>
          <w:noProof/>
          <w:sz w:val="24"/>
          <w:szCs w:val="24"/>
          <w:lang w:eastAsia="en-GB"/>
        </w:rPr>
      </w:pPr>
      <w:r>
        <w:rPr>
          <w:rFonts w:ascii="Times New Roman" w:eastAsia="Calibri" w:hAnsi="Times New Roman" w:cs="Times New Roman"/>
          <w:b/>
          <w:noProof/>
          <w:sz w:val="24"/>
          <w:szCs w:val="24"/>
          <w:lang w:eastAsia="en-GB"/>
        </w:rPr>
        <w:lastRenderedPageBreak/>
        <w:t>Figure S2</w:t>
      </w:r>
    </w:p>
    <w:p w14:paraId="63BC6AAF" w14:textId="122DE4E4" w:rsidR="00370873" w:rsidRDefault="00370873" w:rsidP="00370873">
      <w:pPr>
        <w:ind w:firstLine="0"/>
        <w:rPr>
          <w:rFonts w:ascii="Times New Roman" w:eastAsia="Calibri" w:hAnsi="Times New Roman" w:cs="Times New Roman"/>
          <w:i/>
          <w:noProof/>
          <w:sz w:val="24"/>
          <w:szCs w:val="24"/>
          <w:lang w:eastAsia="en-GB"/>
        </w:rPr>
      </w:pPr>
      <w:r w:rsidRPr="00370873">
        <w:rPr>
          <w:rFonts w:ascii="Times New Roman" w:eastAsia="Calibri" w:hAnsi="Times New Roman" w:cs="Times New Roman"/>
          <w:i/>
          <w:noProof/>
          <w:sz w:val="24"/>
          <w:szCs w:val="24"/>
          <w:lang w:eastAsia="en-GB"/>
        </w:rPr>
        <w:t xml:space="preserve">Item Characteristic Curves and Item Information Functions for the reduced </w:t>
      </w:r>
      <w:r>
        <w:rPr>
          <w:rFonts w:ascii="Times New Roman" w:eastAsia="Calibri" w:hAnsi="Times New Roman" w:cs="Times New Roman"/>
          <w:i/>
          <w:noProof/>
          <w:sz w:val="24"/>
          <w:szCs w:val="24"/>
          <w:lang w:eastAsia="en-GB"/>
        </w:rPr>
        <w:t>3</w:t>
      </w:r>
      <w:r w:rsidRPr="00370873">
        <w:rPr>
          <w:rFonts w:ascii="Times New Roman" w:eastAsia="Calibri" w:hAnsi="Times New Roman" w:cs="Times New Roman"/>
          <w:i/>
          <w:noProof/>
          <w:sz w:val="24"/>
          <w:szCs w:val="24"/>
          <w:lang w:eastAsia="en-GB"/>
        </w:rPr>
        <w:t>-item Eysenck Personality Questionnaire-Revised Neuroticism scale</w:t>
      </w:r>
    </w:p>
    <w:p w14:paraId="05B2B109" w14:textId="784B19F9" w:rsidR="00370873" w:rsidRPr="00370873" w:rsidRDefault="00370873" w:rsidP="00370873">
      <w:pPr>
        <w:ind w:firstLine="0"/>
        <w:rPr>
          <w:rFonts w:ascii="Times New Roman" w:eastAsia="Calibri" w:hAnsi="Times New Roman" w:cs="Times New Roman"/>
          <w:i/>
          <w:noProof/>
          <w:sz w:val="24"/>
          <w:szCs w:val="24"/>
          <w:lang w:eastAsia="en-GB"/>
        </w:rPr>
      </w:pPr>
      <w:r>
        <w:rPr>
          <w:rFonts w:ascii="Times New Roman" w:eastAsia="Calibri" w:hAnsi="Times New Roman" w:cs="Times New Roman"/>
          <w:i/>
          <w:noProof/>
          <w:sz w:val="24"/>
          <w:szCs w:val="24"/>
          <w:lang w:eastAsia="en-GB"/>
        </w:rPr>
        <w:drawing>
          <wp:inline distT="0" distB="0" distL="0" distR="0" wp14:anchorId="743053AC" wp14:editId="1129FE14">
            <wp:extent cx="5731510" cy="21164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ig2.tif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116455"/>
                    </a:xfrm>
                    <a:prstGeom prst="rect">
                      <a:avLst/>
                    </a:prstGeom>
                  </pic:spPr>
                </pic:pic>
              </a:graphicData>
            </a:graphic>
          </wp:inline>
        </w:drawing>
      </w:r>
    </w:p>
    <w:p w14:paraId="0875AD16" w14:textId="13050688" w:rsidR="00370873" w:rsidRDefault="00370873">
      <w:pPr>
        <w:spacing w:line="259" w:lineRule="auto"/>
        <w:ind w:firstLine="0"/>
        <w:jc w:val="left"/>
        <w:rPr>
          <w:rFonts w:ascii="Times New Roman" w:eastAsia="Calibri" w:hAnsi="Times New Roman" w:cs="Times New Roman"/>
          <w:b/>
          <w:noProof/>
          <w:sz w:val="24"/>
          <w:szCs w:val="24"/>
          <w:lang w:eastAsia="en-GB"/>
        </w:rPr>
      </w:pPr>
      <w:r>
        <w:rPr>
          <w:rFonts w:ascii="Times New Roman" w:eastAsia="Calibri" w:hAnsi="Times New Roman" w:cs="Times New Roman"/>
          <w:b/>
          <w:noProof/>
          <w:sz w:val="24"/>
          <w:szCs w:val="24"/>
          <w:lang w:eastAsia="en-GB"/>
        </w:rPr>
        <w:br w:type="page"/>
      </w:r>
    </w:p>
    <w:p w14:paraId="780D6837" w14:textId="1502C604" w:rsidR="00214A82" w:rsidRPr="005F604F" w:rsidRDefault="00375716" w:rsidP="005F604F">
      <w:pPr>
        <w:ind w:firstLine="0"/>
        <w:jc w:val="center"/>
        <w:rPr>
          <w:rFonts w:ascii="Times New Roman" w:eastAsia="Calibri" w:hAnsi="Times New Roman" w:cs="Times New Roman"/>
          <w:b/>
          <w:noProof/>
          <w:sz w:val="24"/>
          <w:szCs w:val="24"/>
          <w:lang w:eastAsia="en-GB"/>
        </w:rPr>
      </w:pPr>
      <w:r w:rsidRPr="005F604F">
        <w:rPr>
          <w:rFonts w:ascii="Times New Roman" w:eastAsia="Calibri" w:hAnsi="Times New Roman" w:cs="Times New Roman"/>
          <w:b/>
          <w:noProof/>
          <w:sz w:val="24"/>
          <w:szCs w:val="24"/>
          <w:lang w:eastAsia="en-GB"/>
        </w:rPr>
        <w:lastRenderedPageBreak/>
        <w:t>References</w:t>
      </w:r>
    </w:p>
    <w:p w14:paraId="11DB3187" w14:textId="77777777" w:rsidR="005F604F" w:rsidRPr="005F604F" w:rsidRDefault="00214A82" w:rsidP="005F604F">
      <w:pPr>
        <w:pStyle w:val="EndNoteBibliography"/>
        <w:spacing w:after="0" w:line="480" w:lineRule="auto"/>
        <w:ind w:firstLine="0"/>
        <w:rPr>
          <w:rFonts w:ascii="Times New Roman" w:hAnsi="Times New Roman" w:cs="Times New Roman"/>
          <w:sz w:val="24"/>
          <w:szCs w:val="24"/>
        </w:rPr>
      </w:pPr>
      <w:r w:rsidRPr="005F604F">
        <w:rPr>
          <w:rFonts w:ascii="Times New Roman" w:eastAsia="Calibri" w:hAnsi="Times New Roman" w:cs="Times New Roman"/>
          <w:sz w:val="24"/>
          <w:szCs w:val="24"/>
        </w:rPr>
        <w:fldChar w:fldCharType="begin"/>
      </w:r>
      <w:r w:rsidRPr="005F604F">
        <w:rPr>
          <w:rFonts w:ascii="Times New Roman" w:eastAsia="Calibri" w:hAnsi="Times New Roman" w:cs="Times New Roman"/>
          <w:sz w:val="24"/>
          <w:szCs w:val="24"/>
        </w:rPr>
        <w:instrText xml:space="preserve"> ADDIN EN.REFLIST </w:instrText>
      </w:r>
      <w:r w:rsidRPr="005F604F">
        <w:rPr>
          <w:rFonts w:ascii="Times New Roman" w:eastAsia="Calibri" w:hAnsi="Times New Roman" w:cs="Times New Roman"/>
          <w:sz w:val="24"/>
          <w:szCs w:val="24"/>
        </w:rPr>
        <w:fldChar w:fldCharType="separate"/>
      </w:r>
      <w:r w:rsidR="005F604F" w:rsidRPr="005F604F">
        <w:rPr>
          <w:rFonts w:ascii="Times New Roman" w:hAnsi="Times New Roman" w:cs="Times New Roman"/>
          <w:sz w:val="24"/>
          <w:szCs w:val="24"/>
        </w:rPr>
        <w:t>1.</w:t>
      </w:r>
      <w:r w:rsidR="005F604F" w:rsidRPr="005F604F">
        <w:rPr>
          <w:rFonts w:ascii="Times New Roman" w:hAnsi="Times New Roman" w:cs="Times New Roman"/>
          <w:sz w:val="24"/>
          <w:szCs w:val="24"/>
        </w:rPr>
        <w:tab/>
        <w:t>Ferrando PJ. The measurement of neuroticism using MMQ, MPI, EPI and EPQ items:: a psychometric analysis based on item response theory. Personality and Individual Differences. 2001;30(4):641-56.</w:t>
      </w:r>
    </w:p>
    <w:p w14:paraId="1AFA232E" w14:textId="77777777" w:rsidR="005F604F" w:rsidRPr="005F604F" w:rsidRDefault="005F604F" w:rsidP="005F604F">
      <w:pPr>
        <w:pStyle w:val="EndNoteBibliography"/>
        <w:spacing w:after="0" w:line="480" w:lineRule="auto"/>
        <w:ind w:firstLine="0"/>
        <w:rPr>
          <w:rFonts w:ascii="Times New Roman" w:hAnsi="Times New Roman" w:cs="Times New Roman"/>
          <w:sz w:val="24"/>
          <w:szCs w:val="24"/>
        </w:rPr>
      </w:pPr>
      <w:r w:rsidRPr="005F604F">
        <w:rPr>
          <w:rFonts w:ascii="Times New Roman" w:hAnsi="Times New Roman" w:cs="Times New Roman"/>
          <w:sz w:val="24"/>
          <w:szCs w:val="24"/>
        </w:rPr>
        <w:t>2.</w:t>
      </w:r>
      <w:r w:rsidRPr="005F604F">
        <w:rPr>
          <w:rFonts w:ascii="Times New Roman" w:hAnsi="Times New Roman" w:cs="Times New Roman"/>
          <w:sz w:val="24"/>
          <w:szCs w:val="24"/>
        </w:rPr>
        <w:tab/>
        <w:t>Yen WM. Scaling performance assessments: Strategies for managing local item dependence. Journal of Educational Measurement. 1993;30:187-213.</w:t>
      </w:r>
    </w:p>
    <w:p w14:paraId="526605F1" w14:textId="77777777" w:rsidR="005F604F" w:rsidRPr="005F604F" w:rsidRDefault="005F604F" w:rsidP="005F604F">
      <w:pPr>
        <w:pStyle w:val="EndNoteBibliography"/>
        <w:spacing w:after="0" w:line="480" w:lineRule="auto"/>
        <w:ind w:firstLine="0"/>
        <w:rPr>
          <w:rFonts w:ascii="Times New Roman" w:hAnsi="Times New Roman" w:cs="Times New Roman"/>
          <w:sz w:val="24"/>
          <w:szCs w:val="24"/>
        </w:rPr>
      </w:pPr>
      <w:r w:rsidRPr="005F604F">
        <w:rPr>
          <w:rFonts w:ascii="Times New Roman" w:hAnsi="Times New Roman" w:cs="Times New Roman"/>
          <w:sz w:val="24"/>
          <w:szCs w:val="24"/>
        </w:rPr>
        <w:t>3.</w:t>
      </w:r>
      <w:r w:rsidRPr="005F604F">
        <w:rPr>
          <w:rFonts w:ascii="Times New Roman" w:hAnsi="Times New Roman" w:cs="Times New Roman"/>
          <w:sz w:val="24"/>
          <w:szCs w:val="24"/>
        </w:rPr>
        <w:tab/>
        <w:t>Sijtsma K, Molenaar IW. Introduction to nonparametric item response theory. London: Sage Publications; 2002.</w:t>
      </w:r>
    </w:p>
    <w:p w14:paraId="6D5E6E02" w14:textId="77777777" w:rsidR="005F604F" w:rsidRPr="005F604F" w:rsidRDefault="005F604F" w:rsidP="005F604F">
      <w:pPr>
        <w:pStyle w:val="EndNoteBibliography"/>
        <w:spacing w:line="480" w:lineRule="auto"/>
        <w:ind w:firstLine="0"/>
        <w:rPr>
          <w:rFonts w:ascii="Times New Roman" w:hAnsi="Times New Roman" w:cs="Times New Roman"/>
          <w:sz w:val="24"/>
          <w:szCs w:val="24"/>
        </w:rPr>
      </w:pPr>
      <w:r w:rsidRPr="005F604F">
        <w:rPr>
          <w:rFonts w:ascii="Times New Roman" w:hAnsi="Times New Roman" w:cs="Times New Roman"/>
          <w:sz w:val="24"/>
          <w:szCs w:val="24"/>
        </w:rPr>
        <w:t>4.</w:t>
      </w:r>
      <w:r w:rsidRPr="005F604F">
        <w:rPr>
          <w:rFonts w:ascii="Times New Roman" w:hAnsi="Times New Roman" w:cs="Times New Roman"/>
          <w:sz w:val="24"/>
          <w:szCs w:val="24"/>
        </w:rPr>
        <w:tab/>
        <w:t>Thissen. Reliability and measurement precision. In: Wainer H, editor. Computerized Adaptive Testing: A primer. London: Lawrence Erlbaum: Lawrence Erlbaum; 2000. p. 159-84.</w:t>
      </w:r>
    </w:p>
    <w:p w14:paraId="4FBA9C09" w14:textId="029370E3" w:rsidR="002E331E" w:rsidRPr="00214A82" w:rsidRDefault="00214A82" w:rsidP="005F604F">
      <w:pPr>
        <w:ind w:firstLine="0"/>
        <w:rPr>
          <w:rFonts w:ascii="Times New Roman" w:eastAsia="Calibri" w:hAnsi="Times New Roman" w:cs="Times New Roman"/>
          <w:sz w:val="24"/>
          <w:szCs w:val="24"/>
        </w:rPr>
      </w:pPr>
      <w:r w:rsidRPr="005F604F">
        <w:rPr>
          <w:rFonts w:ascii="Times New Roman" w:eastAsia="Calibri" w:hAnsi="Times New Roman" w:cs="Times New Roman"/>
          <w:sz w:val="24"/>
          <w:szCs w:val="24"/>
        </w:rPr>
        <w:fldChar w:fldCharType="end"/>
      </w:r>
      <w:bookmarkStart w:id="0" w:name="_GoBack"/>
      <w:bookmarkEnd w:id="0"/>
    </w:p>
    <w:sectPr w:rsidR="002E331E" w:rsidRPr="00214A82" w:rsidSect="005F604F">
      <w:headerReference w:type="default" r:id="rId10"/>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9AD60" w14:textId="77777777" w:rsidR="00A273A4" w:rsidRDefault="00A273A4">
      <w:pPr>
        <w:spacing w:after="0" w:line="240" w:lineRule="auto"/>
      </w:pPr>
      <w:r>
        <w:separator/>
      </w:r>
    </w:p>
  </w:endnote>
  <w:endnote w:type="continuationSeparator" w:id="0">
    <w:p w14:paraId="2DC43F99" w14:textId="77777777" w:rsidR="00A273A4" w:rsidRDefault="00A2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C23A4" w14:textId="77777777" w:rsidR="00A273A4" w:rsidRDefault="00A273A4">
      <w:pPr>
        <w:spacing w:after="0" w:line="240" w:lineRule="auto"/>
      </w:pPr>
      <w:r>
        <w:separator/>
      </w:r>
    </w:p>
  </w:footnote>
  <w:footnote w:type="continuationSeparator" w:id="0">
    <w:p w14:paraId="4DFBD7C8" w14:textId="77777777" w:rsidR="00A273A4" w:rsidRDefault="00A27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n-US"/>
      </w:rPr>
      <w:id w:val="-1904443090"/>
      <w:docPartObj>
        <w:docPartGallery w:val="Page Numbers (Top of Page)"/>
        <w:docPartUnique/>
      </w:docPartObj>
    </w:sdtPr>
    <w:sdtEndPr>
      <w:rPr>
        <w:noProof/>
      </w:rPr>
    </w:sdtEndPr>
    <w:sdtContent>
      <w:p w14:paraId="2821D93F" w14:textId="77777777" w:rsidR="002E331E" w:rsidRPr="002E331E" w:rsidRDefault="002E331E" w:rsidP="002E331E">
        <w:pPr>
          <w:tabs>
            <w:tab w:val="center" w:pos="4513"/>
            <w:tab w:val="right" w:pos="9026"/>
          </w:tabs>
          <w:spacing w:after="0" w:line="240" w:lineRule="auto"/>
          <w:ind w:firstLine="0"/>
          <w:jc w:val="left"/>
          <w:rPr>
            <w:lang w:val="en-US"/>
          </w:rPr>
        </w:pPr>
        <w:r w:rsidRPr="002E331E">
          <w:rPr>
            <w:rFonts w:ascii="Times New Roman" w:hAnsi="Times New Roman" w:cs="Times New Roman"/>
            <w:sz w:val="24"/>
            <w:szCs w:val="24"/>
            <w:lang w:val="en-US"/>
          </w:rPr>
          <w:t>ADAPTING THE EPQ-RN FOR USE IN EPIDEMIOLOGIC STUDIES</w:t>
        </w:r>
        <w:r w:rsidRPr="002E331E">
          <w:rPr>
            <w:rFonts w:ascii="Times New Roman" w:hAnsi="Times New Roman" w:cs="Times New Roman"/>
            <w:sz w:val="24"/>
            <w:szCs w:val="24"/>
            <w:lang w:val="en-US"/>
          </w:rPr>
          <w:tab/>
        </w:r>
        <w:r w:rsidRPr="002E331E">
          <w:rPr>
            <w:lang w:val="en-US"/>
          </w:rPr>
          <w:t xml:space="preserve"> </w:t>
        </w:r>
        <w:r w:rsidRPr="002E331E">
          <w:rPr>
            <w:lang w:val="en-US"/>
          </w:rPr>
          <w:fldChar w:fldCharType="begin"/>
        </w:r>
        <w:r w:rsidRPr="002E331E">
          <w:rPr>
            <w:lang w:val="en-US"/>
          </w:rPr>
          <w:instrText xml:space="preserve"> PAGE   \* MERGEFORMAT </w:instrText>
        </w:r>
        <w:r w:rsidRPr="002E331E">
          <w:rPr>
            <w:lang w:val="en-US"/>
          </w:rPr>
          <w:fldChar w:fldCharType="separate"/>
        </w:r>
        <w:r w:rsidRPr="002E331E">
          <w:rPr>
            <w:lang w:val="en-US"/>
          </w:rPr>
          <w:t>3</w:t>
        </w:r>
        <w:r w:rsidRPr="002E331E">
          <w:rPr>
            <w:noProof/>
            <w:lang w:val="en-US"/>
          </w:rPr>
          <w:fldChar w:fldCharType="end"/>
        </w:r>
      </w:p>
    </w:sdtContent>
  </w:sdt>
  <w:p w14:paraId="35410BA5" w14:textId="77777777" w:rsidR="005E703D" w:rsidRDefault="00A27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E1E71"/>
    <w:multiLevelType w:val="hybridMultilevel"/>
    <w:tmpl w:val="30F81A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15456390-CF83-431D-A5E9-70FCCCF6DABD}"/>
    <w:docVar w:name="dgnword-eventsink" w:val="2719644049216"/>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xdz2xax3sxpr9e5z9u5x2v45ts0ax55swvz&quot;&gt;Neuroticism BMC&lt;record-ids&gt;&lt;item&gt;23&lt;/item&gt;&lt;item&gt;25&lt;/item&gt;&lt;item&gt;26&lt;/item&gt;&lt;item&gt;38&lt;/item&gt;&lt;/record-ids&gt;&lt;/item&gt;&lt;/Libraries&gt;"/>
  </w:docVars>
  <w:rsids>
    <w:rsidRoot w:val="009C08B9"/>
    <w:rsid w:val="00214A82"/>
    <w:rsid w:val="00242A2C"/>
    <w:rsid w:val="002E331E"/>
    <w:rsid w:val="00370873"/>
    <w:rsid w:val="00375716"/>
    <w:rsid w:val="003878CD"/>
    <w:rsid w:val="004A51AD"/>
    <w:rsid w:val="004B22FF"/>
    <w:rsid w:val="00534790"/>
    <w:rsid w:val="0058454A"/>
    <w:rsid w:val="00593A48"/>
    <w:rsid w:val="005F604F"/>
    <w:rsid w:val="00745F56"/>
    <w:rsid w:val="00773D8F"/>
    <w:rsid w:val="009C08B9"/>
    <w:rsid w:val="00A273A4"/>
    <w:rsid w:val="00AC25D9"/>
    <w:rsid w:val="00B0566E"/>
    <w:rsid w:val="00B700DD"/>
    <w:rsid w:val="00B917B6"/>
    <w:rsid w:val="00C32120"/>
    <w:rsid w:val="00C9131A"/>
    <w:rsid w:val="00CD6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0C766C"/>
  <w15:chartTrackingRefBased/>
  <w15:docId w15:val="{40988663-8AF6-4B30-96C1-E475DB58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5716"/>
    <w:pPr>
      <w:spacing w:line="480" w:lineRule="auto"/>
      <w:ind w:firstLine="720"/>
      <w:jc w:val="both"/>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57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5716"/>
  </w:style>
  <w:style w:type="table" w:customStyle="1" w:styleId="PlainTable21">
    <w:name w:val="Plain Table 21"/>
    <w:basedOn w:val="TableNormal"/>
    <w:next w:val="PlainTable2"/>
    <w:uiPriority w:val="42"/>
    <w:rsid w:val="0037571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37571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LineNumber">
    <w:name w:val="line number"/>
    <w:basedOn w:val="DefaultParagraphFont"/>
    <w:uiPriority w:val="99"/>
    <w:semiHidden/>
    <w:unhideWhenUsed/>
    <w:rsid w:val="00375716"/>
  </w:style>
  <w:style w:type="paragraph" w:customStyle="1" w:styleId="EndNoteBibliographyTitle">
    <w:name w:val="EndNote Bibliography Title"/>
    <w:basedOn w:val="Normal"/>
    <w:link w:val="EndNoteBibliographyTitleChar"/>
    <w:rsid w:val="00375716"/>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375716"/>
    <w:rPr>
      <w:rFonts w:ascii="Calibri" w:hAnsi="Calibri" w:cs="Calibri"/>
      <w:noProof/>
      <w:lang w:val="en-US"/>
    </w:rPr>
  </w:style>
  <w:style w:type="paragraph" w:customStyle="1" w:styleId="EndNoteBibliography">
    <w:name w:val="EndNote Bibliography"/>
    <w:basedOn w:val="Normal"/>
    <w:link w:val="EndNoteBibliographyChar"/>
    <w:rsid w:val="00375716"/>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375716"/>
    <w:rPr>
      <w:rFonts w:ascii="Calibri" w:hAnsi="Calibri" w:cs="Calibri"/>
      <w:noProof/>
      <w:lang w:val="en-US"/>
    </w:rPr>
  </w:style>
  <w:style w:type="character" w:styleId="Hyperlink">
    <w:name w:val="Hyperlink"/>
    <w:basedOn w:val="DefaultParagraphFont"/>
    <w:uiPriority w:val="99"/>
    <w:unhideWhenUsed/>
    <w:rsid w:val="00375716"/>
    <w:rPr>
      <w:color w:val="0563C1" w:themeColor="hyperlink"/>
      <w:u w:val="single"/>
    </w:rPr>
  </w:style>
  <w:style w:type="character" w:styleId="UnresolvedMention">
    <w:name w:val="Unresolved Mention"/>
    <w:basedOn w:val="DefaultParagraphFont"/>
    <w:uiPriority w:val="99"/>
    <w:semiHidden/>
    <w:unhideWhenUsed/>
    <w:rsid w:val="00375716"/>
    <w:rPr>
      <w:color w:val="605E5C"/>
      <w:shd w:val="clear" w:color="auto" w:fill="E1DFDD"/>
    </w:rPr>
  </w:style>
  <w:style w:type="paragraph" w:styleId="Footer">
    <w:name w:val="footer"/>
    <w:basedOn w:val="Normal"/>
    <w:link w:val="FooterChar"/>
    <w:uiPriority w:val="99"/>
    <w:unhideWhenUsed/>
    <w:rsid w:val="002E33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AE7AF-60C3-4312-A8F1-8F84B085E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1091</Words>
  <Characters>5841</Characters>
  <Application>Microsoft Office Word</Application>
  <DocSecurity>0</DocSecurity>
  <Lines>198</Lines>
  <Paragraphs>134</Paragraphs>
  <ScaleCrop>false</ScaleCrop>
  <HeadingPairs>
    <vt:vector size="2" baseType="variant">
      <vt:variant>
        <vt:lpstr>Title</vt:lpstr>
      </vt:variant>
      <vt:variant>
        <vt:i4>1</vt:i4>
      </vt:variant>
    </vt:vector>
  </HeadingPairs>
  <TitlesOfParts>
    <vt:vector size="1" baseType="lpstr">
      <vt:lpstr/>
    </vt:vector>
  </TitlesOfParts>
  <Company>Oxford University Medical Sciences</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Pflanz</dc:creator>
  <cp:keywords/>
  <dc:description/>
  <cp:lastModifiedBy>Patrick Pflanz 2</cp:lastModifiedBy>
  <cp:revision>2</cp:revision>
  <dcterms:created xsi:type="dcterms:W3CDTF">2024-04-05T10:54:00Z</dcterms:created>
  <dcterms:modified xsi:type="dcterms:W3CDTF">2024-04-05T10:54:00Z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http://www.zotero.org/styles/ieee</vt:lpwstr>
  </property>
  <property fmtid="{D5CDD505-2E9C-101B-9397-08002B2CF9AE}" pid="7" name="Mendeley Recent Style Name 2_1">
    <vt:lpwstr>IEEE</vt:lpwstr>
  </property>
  <property fmtid="{D5CDD505-2E9C-101B-9397-08002B2CF9AE}" pid="8" name="Mendeley Recent Style Id 3_1">
    <vt:lpwstr>http://www.zotero.org/styles/journal-of-affective-disorders</vt:lpwstr>
  </property>
  <property fmtid="{D5CDD505-2E9C-101B-9397-08002B2CF9AE}" pid="9" name="Mendeley Recent Style Name 3_1">
    <vt:lpwstr>Journal of Affective Disorders</vt:lpwstr>
  </property>
  <property fmtid="{D5CDD505-2E9C-101B-9397-08002B2CF9AE}" pid="10" name="Mendeley Recent Style Id 4_1">
    <vt:lpwstr>http://csl.mendeley.com/styles/20448741/minimal-grant-proposals</vt:lpwstr>
  </property>
  <property fmtid="{D5CDD505-2E9C-101B-9397-08002B2CF9AE}" pid="11" name="Mendeley Recent Style Name 4_1">
    <vt:lpwstr>Minimal style for grant proposals</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9th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http://www.zotero.org/styles/science</vt:lpwstr>
  </property>
  <property fmtid="{D5CDD505-2E9C-101B-9397-08002B2CF9AE}" pid="19" name="Mendeley Recent Style Name 8_1">
    <vt:lpwstr>Science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GrammarlyDocumentId">
    <vt:lpwstr>0e2825568afc9ee4703abedf8807464e3390badcfbfc00a7cd8a1e6138b59ed3</vt:lpwstr>
  </property>
</Properties>
</file>