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DE741" w14:textId="15CC91AC" w:rsidR="00D80F7D" w:rsidRDefault="00D80F7D" w:rsidP="00D80F7D">
      <w:pPr>
        <w:spacing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rFonts w:ascii="Times New Roman" w:eastAsia="等线" w:hAnsi="Times New Roman" w:cs="Times New Roman"/>
          <w:b/>
          <w:bCs/>
          <w:noProof/>
          <w:szCs w:val="21"/>
          <w14:ligatures w14:val="standardContextual"/>
        </w:rPr>
        <w:drawing>
          <wp:inline distT="0" distB="0" distL="0" distR="0" wp14:anchorId="63FD277C" wp14:editId="270341CA">
            <wp:extent cx="5281801" cy="6057475"/>
            <wp:effectExtent l="0" t="0" r="0" b="635"/>
            <wp:docPr id="21033827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3382711" name="图片 210338271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2630" cy="6069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7AA481" w14:textId="4958C016" w:rsidR="00D80F7D" w:rsidRPr="00E65B13" w:rsidRDefault="00D80F7D" w:rsidP="00D80F7D">
      <w:pPr>
        <w:spacing w:line="480" w:lineRule="auto"/>
        <w:rPr>
          <w:rFonts w:ascii="Times New Roman" w:eastAsia="等线" w:hAnsi="Times New Roman" w:cs="Times New Roman"/>
          <w:b/>
          <w:bCs/>
          <w:szCs w:val="21"/>
        </w:rPr>
      </w:pPr>
      <w:r w:rsidRPr="00E65B13">
        <w:rPr>
          <w:rFonts w:ascii="Times New Roman" w:eastAsia="等线" w:hAnsi="Times New Roman" w:cs="Times New Roman"/>
          <w:b/>
          <w:bCs/>
          <w:szCs w:val="21"/>
        </w:rPr>
        <w:t>Supplementary Figure S1</w:t>
      </w:r>
    </w:p>
    <w:p w14:paraId="3405961F" w14:textId="77777777" w:rsidR="00D80F7D" w:rsidRPr="00E65B13" w:rsidRDefault="00D80F7D" w:rsidP="00D80F7D">
      <w:pPr>
        <w:spacing w:line="480" w:lineRule="auto"/>
        <w:rPr>
          <w:rFonts w:ascii="Times New Roman" w:eastAsia="等线" w:hAnsi="Times New Roman" w:cs="Times New Roman"/>
          <w:szCs w:val="21"/>
        </w:rPr>
      </w:pPr>
      <w:r w:rsidRPr="00E65B13">
        <w:rPr>
          <w:rFonts w:ascii="Times New Roman" w:eastAsia="等线" w:hAnsi="Times New Roman" w:cs="Times New Roman" w:hint="eastAsia"/>
          <w:szCs w:val="21"/>
        </w:rPr>
        <w:t>C</w:t>
      </w:r>
      <w:r w:rsidRPr="00E65B13">
        <w:rPr>
          <w:rFonts w:ascii="Times New Roman" w:eastAsia="等线" w:hAnsi="Times New Roman" w:cs="Times New Roman"/>
          <w:szCs w:val="21"/>
        </w:rPr>
        <w:t>orrelation between MRS model and clinicopathologic</w:t>
      </w:r>
      <w:r w:rsidRPr="00E65B13">
        <w:rPr>
          <w:rFonts w:ascii="Times New Roman" w:eastAsia="等线" w:hAnsi="Times New Roman" w:cs="Times New Roman" w:hint="eastAsia"/>
          <w:szCs w:val="21"/>
        </w:rPr>
        <w:t>al</w:t>
      </w:r>
      <w:r w:rsidRPr="00E65B13">
        <w:rPr>
          <w:rFonts w:ascii="Times New Roman" w:eastAsia="等线" w:hAnsi="Times New Roman" w:cs="Times New Roman"/>
          <w:szCs w:val="21"/>
        </w:rPr>
        <w:t xml:space="preserve"> characteristics based on TCGA-HNSCC dataset. </w:t>
      </w:r>
      <w:r w:rsidRPr="00E65B13">
        <w:rPr>
          <w:rFonts w:ascii="Times New Roman" w:eastAsia="等线" w:hAnsi="Times New Roman" w:cs="Times New Roman"/>
          <w:b/>
          <w:bCs/>
          <w:szCs w:val="21"/>
        </w:rPr>
        <w:t>(A, B)</w:t>
      </w:r>
      <w:r w:rsidRPr="00E65B13">
        <w:rPr>
          <w:rFonts w:ascii="Times New Roman" w:eastAsia="等线" w:hAnsi="Times New Roman" w:cs="Times New Roman"/>
          <w:szCs w:val="21"/>
        </w:rPr>
        <w:t xml:space="preserve"> The heatmap and pie graphs displayed the differences in age, gender, pathological grade, and clinical stage distribution among patients in varying risk groups. </w:t>
      </w:r>
      <w:r w:rsidRPr="00E65B13">
        <w:rPr>
          <w:rFonts w:ascii="Times New Roman" w:eastAsia="等线" w:hAnsi="Times New Roman" w:cs="Times New Roman"/>
          <w:b/>
          <w:bCs/>
          <w:szCs w:val="21"/>
        </w:rPr>
        <w:t>(C)</w:t>
      </w:r>
      <w:r w:rsidRPr="00E65B13">
        <w:rPr>
          <w:rFonts w:ascii="Times New Roman" w:eastAsia="等线" w:hAnsi="Times New Roman" w:cs="Times New Roman"/>
          <w:szCs w:val="21"/>
        </w:rPr>
        <w:t xml:space="preserve"> The box plot compared the risk score between response and non-response groups underwent immunotherapy in GSE67501 dataset.</w:t>
      </w:r>
      <w:r w:rsidRPr="00E65B13">
        <w:rPr>
          <w:rFonts w:ascii="等线" w:eastAsia="等线" w:hAnsi="等线" w:cs="Times New Roman" w:hint="eastAsia"/>
          <w:szCs w:val="21"/>
        </w:rPr>
        <w:t xml:space="preserve"> </w:t>
      </w:r>
      <w:r w:rsidRPr="00E65B13">
        <w:rPr>
          <w:rFonts w:ascii="Times New Roman" w:eastAsia="等线" w:hAnsi="Times New Roman" w:cs="Times New Roman"/>
          <w:b/>
          <w:bCs/>
          <w:szCs w:val="21"/>
        </w:rPr>
        <w:t>(D)</w:t>
      </w:r>
      <w:r w:rsidRPr="00E65B13">
        <w:rPr>
          <w:rFonts w:ascii="Times New Roman" w:eastAsia="等线" w:hAnsi="Times New Roman" w:cs="Times New Roman"/>
          <w:szCs w:val="21"/>
        </w:rPr>
        <w:t xml:space="preserve"> The box plot compared the risk score between response and non-response groups underwent immunotherapy in GSE78220 dataset.</w:t>
      </w:r>
    </w:p>
    <w:p w14:paraId="60190145" w14:textId="7182E47C" w:rsidR="00D80F7D" w:rsidRDefault="00D80F7D" w:rsidP="00D80F7D">
      <w:pPr>
        <w:spacing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rFonts w:ascii="Times New Roman" w:eastAsia="等线" w:hAnsi="Times New Roman" w:cs="Times New Roman"/>
          <w:b/>
          <w:bCs/>
          <w:noProof/>
          <w:szCs w:val="21"/>
          <w14:ligatures w14:val="standardContextual"/>
        </w:rPr>
        <w:lastRenderedPageBreak/>
        <w:drawing>
          <wp:inline distT="0" distB="0" distL="0" distR="0" wp14:anchorId="45845EC2" wp14:editId="70AC8F52">
            <wp:extent cx="5642766" cy="5013325"/>
            <wp:effectExtent l="0" t="0" r="0" b="0"/>
            <wp:docPr id="14806160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616012" name="图片 148061601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2593" cy="503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5CF203" w14:textId="234318BE" w:rsidR="00D80F7D" w:rsidRPr="00E65B13" w:rsidRDefault="00D80F7D" w:rsidP="00D80F7D">
      <w:pPr>
        <w:spacing w:line="480" w:lineRule="auto"/>
        <w:rPr>
          <w:rFonts w:ascii="Times New Roman" w:eastAsia="等线" w:hAnsi="Times New Roman" w:cs="Times New Roman"/>
          <w:b/>
          <w:bCs/>
          <w:szCs w:val="21"/>
        </w:rPr>
      </w:pPr>
      <w:r w:rsidRPr="00E65B13">
        <w:rPr>
          <w:rFonts w:ascii="Times New Roman" w:eastAsia="等线" w:hAnsi="Times New Roman" w:cs="Times New Roman"/>
          <w:b/>
          <w:bCs/>
          <w:szCs w:val="21"/>
        </w:rPr>
        <w:t>Supplementary Figure S2</w:t>
      </w:r>
    </w:p>
    <w:p w14:paraId="69BD3341" w14:textId="77777777" w:rsidR="00D80F7D" w:rsidRPr="00E65B13" w:rsidRDefault="00D80F7D" w:rsidP="00D80F7D">
      <w:pPr>
        <w:spacing w:line="480" w:lineRule="auto"/>
        <w:rPr>
          <w:rFonts w:ascii="Times New Roman" w:eastAsia="等线" w:hAnsi="Times New Roman" w:cs="Times New Roman"/>
          <w:szCs w:val="21"/>
        </w:rPr>
      </w:pPr>
      <w:r w:rsidRPr="00E65B13">
        <w:rPr>
          <w:rFonts w:ascii="Times New Roman" w:eastAsia="等线" w:hAnsi="Times New Roman" w:cs="Times New Roman"/>
          <w:szCs w:val="21"/>
        </w:rPr>
        <w:t xml:space="preserve">The MRS signature was associated with the clinicopathological characteristics of patients with HNSCC. </w:t>
      </w:r>
      <w:r w:rsidRPr="00E65B13">
        <w:rPr>
          <w:rFonts w:ascii="Times New Roman" w:eastAsia="等线" w:hAnsi="Times New Roman" w:cs="Times New Roman"/>
          <w:b/>
          <w:bCs/>
          <w:szCs w:val="21"/>
        </w:rPr>
        <w:t xml:space="preserve">(A-C) </w:t>
      </w:r>
      <w:r w:rsidRPr="00E65B13">
        <w:rPr>
          <w:rFonts w:ascii="Times New Roman" w:eastAsia="等线" w:hAnsi="Times New Roman" w:cs="Times New Roman"/>
          <w:szCs w:val="21"/>
        </w:rPr>
        <w:t xml:space="preserve">The heatmap displayed the correlation between genes in MRS and clinicopathological manifestation in </w:t>
      </w:r>
      <w:r w:rsidRPr="00E65B13">
        <w:rPr>
          <w:rFonts w:ascii="Times New Roman" w:eastAsia="等线" w:hAnsi="Times New Roman" w:cs="Times New Roman"/>
          <w:color w:val="000000"/>
          <w:szCs w:val="21"/>
        </w:rPr>
        <w:t>in</w:t>
      </w:r>
      <w:r w:rsidRPr="00E65B13">
        <w:rPr>
          <w:rFonts w:ascii="Times New Roman" w:eastAsia="等线" w:hAnsi="Times New Roman" w:cs="Times New Roman" w:hint="eastAsia"/>
          <w:color w:val="000000"/>
          <w:szCs w:val="21"/>
        </w:rPr>
        <w:t xml:space="preserve"> </w:t>
      </w:r>
      <w:r w:rsidRPr="00E65B13">
        <w:rPr>
          <w:rFonts w:ascii="Times New Roman" w:eastAsia="等线" w:hAnsi="Times New Roman" w:cs="Times New Roman"/>
          <w:color w:val="000000"/>
          <w:szCs w:val="21"/>
        </w:rPr>
        <w:t xml:space="preserve">TCGA training, TCGA testing and GSE65858 cohort, respectively. </w:t>
      </w:r>
      <w:r w:rsidRPr="00E65B13">
        <w:rPr>
          <w:rFonts w:ascii="Times New Roman" w:eastAsia="等线" w:hAnsi="Times New Roman" w:cs="Times New Roman"/>
          <w:b/>
          <w:bCs/>
          <w:color w:val="000000"/>
          <w:szCs w:val="21"/>
        </w:rPr>
        <w:t>(D-J)</w:t>
      </w:r>
      <w:r w:rsidRPr="00E65B13">
        <w:rPr>
          <w:rFonts w:ascii="Times New Roman" w:eastAsia="等线" w:hAnsi="Times New Roman" w:cs="Times New Roman"/>
          <w:color w:val="000000"/>
          <w:szCs w:val="21"/>
        </w:rPr>
        <w:t xml:space="preserve"> Box plots showed the disparities of risk score in terms of age, gender, grade, pathological stage and TNM status</w:t>
      </w:r>
      <w:r w:rsidRPr="00E65B13">
        <w:rPr>
          <w:rFonts w:ascii="等线" w:eastAsia="等线" w:hAnsi="等线" w:cs="Times New Roman" w:hint="eastAsia"/>
          <w:szCs w:val="21"/>
        </w:rPr>
        <w:t xml:space="preserve"> </w:t>
      </w:r>
      <w:r w:rsidRPr="00E65B13">
        <w:rPr>
          <w:rFonts w:ascii="Times New Roman" w:eastAsia="等线" w:hAnsi="Times New Roman" w:cs="Times New Roman"/>
          <w:color w:val="000000"/>
          <w:szCs w:val="21"/>
        </w:rPr>
        <w:t>in TCGA training cohort, separately.</w:t>
      </w:r>
      <w:r w:rsidRPr="00E65B13">
        <w:rPr>
          <w:rFonts w:ascii="Times New Roman" w:eastAsia="等线" w:hAnsi="Times New Roman" w:cs="Times New Roman"/>
          <w:b/>
          <w:bCs/>
          <w:color w:val="000000"/>
          <w:szCs w:val="21"/>
        </w:rPr>
        <w:t xml:space="preserve"> (K-Q)</w:t>
      </w:r>
      <w:r w:rsidRPr="00E65B13">
        <w:rPr>
          <w:rFonts w:ascii="Times New Roman" w:eastAsia="等线" w:hAnsi="Times New Roman" w:cs="Times New Roman"/>
          <w:color w:val="000000"/>
          <w:szCs w:val="21"/>
        </w:rPr>
        <w:t xml:space="preserve"> Box plots showed the disparities of risk score in terms of age, gender, grade, pathological stage and TNM status</w:t>
      </w:r>
      <w:r w:rsidRPr="00E65B13">
        <w:rPr>
          <w:rFonts w:ascii="等线" w:eastAsia="等线" w:hAnsi="等线" w:cs="Times New Roman" w:hint="eastAsia"/>
          <w:szCs w:val="21"/>
        </w:rPr>
        <w:t xml:space="preserve"> </w:t>
      </w:r>
      <w:r w:rsidRPr="00E65B13">
        <w:rPr>
          <w:rFonts w:ascii="Times New Roman" w:eastAsia="等线" w:hAnsi="Times New Roman" w:cs="Times New Roman"/>
          <w:color w:val="000000"/>
          <w:szCs w:val="21"/>
        </w:rPr>
        <w:t xml:space="preserve">in TCGA testing cohort, separately. </w:t>
      </w:r>
      <w:r w:rsidRPr="00E65B13">
        <w:rPr>
          <w:rFonts w:ascii="Times New Roman" w:eastAsia="等线" w:hAnsi="Times New Roman" w:cs="Times New Roman"/>
          <w:b/>
          <w:bCs/>
          <w:color w:val="000000"/>
          <w:szCs w:val="21"/>
        </w:rPr>
        <w:t xml:space="preserve">(R-W) </w:t>
      </w:r>
      <w:r w:rsidRPr="00E65B13">
        <w:rPr>
          <w:rFonts w:ascii="Times New Roman" w:eastAsia="等线" w:hAnsi="Times New Roman" w:cs="Times New Roman"/>
          <w:color w:val="000000"/>
          <w:szCs w:val="21"/>
        </w:rPr>
        <w:t>Box plots showed the disparities of risk score in terms of age, gender, grade, pathological stage and TNM status in GSE65858 cohort, separately.</w:t>
      </w:r>
      <w:r w:rsidRPr="00E65B13">
        <w:rPr>
          <w:rFonts w:ascii="Times New Roman" w:eastAsia="等线" w:hAnsi="Times New Roman" w:cs="Times New Roman"/>
          <w:szCs w:val="21"/>
        </w:rPr>
        <w:t xml:space="preserve"> *</w:t>
      </w:r>
      <w:r w:rsidRPr="00E65B13">
        <w:rPr>
          <w:rFonts w:ascii="Times New Roman" w:eastAsia="等线" w:hAnsi="Times New Roman" w:cs="Times New Roman"/>
          <w:i/>
          <w:iCs/>
          <w:szCs w:val="21"/>
        </w:rPr>
        <w:t>P</w:t>
      </w:r>
      <w:r w:rsidRPr="00E65B13">
        <w:rPr>
          <w:rFonts w:ascii="Times New Roman" w:eastAsia="等线" w:hAnsi="Times New Roman" w:cs="Times New Roman"/>
          <w:szCs w:val="21"/>
        </w:rPr>
        <w:t xml:space="preserve"> &lt; 0.05; **</w:t>
      </w:r>
      <w:r w:rsidRPr="00E65B13">
        <w:rPr>
          <w:rFonts w:ascii="Times New Roman" w:eastAsia="等线" w:hAnsi="Times New Roman" w:cs="Times New Roman"/>
          <w:i/>
          <w:iCs/>
          <w:szCs w:val="21"/>
        </w:rPr>
        <w:t>P</w:t>
      </w:r>
      <w:r w:rsidRPr="00E65B13">
        <w:rPr>
          <w:rFonts w:ascii="Times New Roman" w:eastAsia="等线" w:hAnsi="Times New Roman" w:cs="Times New Roman"/>
          <w:szCs w:val="21"/>
        </w:rPr>
        <w:t xml:space="preserve"> &lt; 0.01; ***</w:t>
      </w:r>
      <w:r w:rsidRPr="00E65B13">
        <w:rPr>
          <w:rFonts w:ascii="Times New Roman" w:eastAsia="等线" w:hAnsi="Times New Roman" w:cs="Times New Roman"/>
          <w:i/>
          <w:iCs/>
          <w:szCs w:val="21"/>
        </w:rPr>
        <w:t>P</w:t>
      </w:r>
      <w:r w:rsidRPr="00E65B13">
        <w:rPr>
          <w:rFonts w:ascii="Times New Roman" w:eastAsia="等线" w:hAnsi="Times New Roman" w:cs="Times New Roman"/>
          <w:szCs w:val="21"/>
        </w:rPr>
        <w:t>&lt; 0.001.</w:t>
      </w:r>
    </w:p>
    <w:p w14:paraId="64777C59" w14:textId="4DFBFC01" w:rsidR="00D80F7D" w:rsidRDefault="00D80F7D" w:rsidP="00D80F7D">
      <w:pPr>
        <w:spacing w:line="48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rFonts w:ascii="Times New Roman" w:eastAsia="等线" w:hAnsi="Times New Roman" w:cs="Times New Roman"/>
          <w:b/>
          <w:bCs/>
          <w:noProof/>
          <w:szCs w:val="21"/>
          <w14:ligatures w14:val="standardContextual"/>
        </w:rPr>
        <w:lastRenderedPageBreak/>
        <w:drawing>
          <wp:inline distT="0" distB="0" distL="0" distR="0" wp14:anchorId="56FF9485" wp14:editId="4AD88D2B">
            <wp:extent cx="5248913" cy="5846722"/>
            <wp:effectExtent l="0" t="0" r="8890" b="1905"/>
            <wp:docPr id="80676749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6767493" name="图片 80676749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6923" cy="5855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644079" w14:textId="53BBBE11" w:rsidR="00D80F7D" w:rsidRPr="00E65B13" w:rsidRDefault="00D80F7D" w:rsidP="00D80F7D">
      <w:pPr>
        <w:spacing w:line="480" w:lineRule="auto"/>
        <w:rPr>
          <w:rFonts w:ascii="Times New Roman" w:eastAsia="等线" w:hAnsi="Times New Roman" w:cs="Times New Roman"/>
          <w:b/>
          <w:bCs/>
          <w:szCs w:val="21"/>
        </w:rPr>
      </w:pPr>
      <w:r w:rsidRPr="00E65B13">
        <w:rPr>
          <w:rFonts w:ascii="Times New Roman" w:eastAsia="等线" w:hAnsi="Times New Roman" w:cs="Times New Roman"/>
          <w:b/>
          <w:bCs/>
          <w:szCs w:val="21"/>
        </w:rPr>
        <w:t>Supplementary Figure S3</w:t>
      </w:r>
    </w:p>
    <w:p w14:paraId="1AFEBE5C" w14:textId="740771C5" w:rsidR="007A35F6" w:rsidRPr="00D80F7D" w:rsidRDefault="00D80F7D" w:rsidP="00D80F7D">
      <w:pPr>
        <w:spacing w:line="480" w:lineRule="auto"/>
        <w:rPr>
          <w:rFonts w:ascii="Times New Roman" w:eastAsia="等线" w:hAnsi="Times New Roman" w:cs="Times New Roman" w:hint="eastAsia"/>
          <w:szCs w:val="21"/>
        </w:rPr>
      </w:pPr>
      <w:r w:rsidRPr="00E65B13">
        <w:rPr>
          <w:rFonts w:ascii="Times New Roman" w:eastAsia="等线" w:hAnsi="Times New Roman" w:cs="Times New Roman"/>
          <w:szCs w:val="21"/>
        </w:rPr>
        <w:t xml:space="preserve">ROC curve analysis of the MRS model. </w:t>
      </w:r>
      <w:r w:rsidRPr="00E65B13">
        <w:rPr>
          <w:rFonts w:ascii="Times New Roman" w:eastAsia="等线" w:hAnsi="Times New Roman" w:cs="Times New Roman"/>
          <w:b/>
          <w:bCs/>
          <w:szCs w:val="21"/>
        </w:rPr>
        <w:t xml:space="preserve">(A-C) </w:t>
      </w:r>
      <w:r w:rsidRPr="00E65B13">
        <w:rPr>
          <w:rFonts w:ascii="Times New Roman" w:eastAsia="等线" w:hAnsi="Times New Roman" w:cs="Times New Roman"/>
          <w:szCs w:val="21"/>
        </w:rPr>
        <w:t>ROC analysis compared the predictive power of the MRS signature and other</w:t>
      </w:r>
      <w:r w:rsidRPr="00E65B13">
        <w:rPr>
          <w:rFonts w:ascii="Times New Roman" w:eastAsia="等线" w:hAnsi="Times New Roman" w:cs="Times New Roman" w:hint="eastAsia"/>
          <w:szCs w:val="21"/>
        </w:rPr>
        <w:t xml:space="preserve"> </w:t>
      </w:r>
      <w:r w:rsidRPr="00E65B13">
        <w:rPr>
          <w:rFonts w:ascii="Times New Roman" w:eastAsia="等线" w:hAnsi="Times New Roman" w:cs="Times New Roman"/>
          <w:szCs w:val="21"/>
        </w:rPr>
        <w:t xml:space="preserve">clinicopathological indicators in terms of 1-, 3-, and 5-year OS of patients with HNSCC in TCGA training cohort. </w:t>
      </w:r>
      <w:r w:rsidRPr="00E65B13">
        <w:rPr>
          <w:rFonts w:ascii="Times New Roman" w:eastAsia="等线" w:hAnsi="Times New Roman" w:cs="Times New Roman"/>
          <w:b/>
          <w:bCs/>
          <w:szCs w:val="21"/>
        </w:rPr>
        <w:t xml:space="preserve">(D-F) </w:t>
      </w:r>
      <w:r w:rsidRPr="00E65B13">
        <w:rPr>
          <w:rFonts w:ascii="Times New Roman" w:eastAsia="等线" w:hAnsi="Times New Roman" w:cs="Times New Roman"/>
          <w:szCs w:val="21"/>
        </w:rPr>
        <w:t>ROC analysis compared the predictive power of the MRS signature and other</w:t>
      </w:r>
      <w:r w:rsidRPr="00E65B13">
        <w:rPr>
          <w:rFonts w:ascii="Times New Roman" w:eastAsia="等线" w:hAnsi="Times New Roman" w:cs="Times New Roman" w:hint="eastAsia"/>
          <w:szCs w:val="21"/>
        </w:rPr>
        <w:t xml:space="preserve"> </w:t>
      </w:r>
      <w:r w:rsidRPr="00E65B13">
        <w:rPr>
          <w:rFonts w:ascii="Times New Roman" w:eastAsia="等线" w:hAnsi="Times New Roman" w:cs="Times New Roman"/>
          <w:szCs w:val="21"/>
        </w:rPr>
        <w:t xml:space="preserve">clinicopathological indicators in terms of 1-, 3-, and 5-year OS of patients with HNSCC in TCGA testing cohort. </w:t>
      </w:r>
      <w:r w:rsidRPr="00E65B13">
        <w:rPr>
          <w:rFonts w:ascii="Times New Roman" w:eastAsia="等线" w:hAnsi="Times New Roman" w:cs="Times New Roman"/>
          <w:b/>
          <w:bCs/>
          <w:szCs w:val="21"/>
        </w:rPr>
        <w:t>(G-I)</w:t>
      </w:r>
      <w:r w:rsidRPr="00E65B13">
        <w:rPr>
          <w:rFonts w:ascii="Times New Roman" w:eastAsia="等线" w:hAnsi="Times New Roman" w:cs="Times New Roman"/>
          <w:szCs w:val="21"/>
        </w:rPr>
        <w:t xml:space="preserve"> ROC analysis compared the predictive power of the MRS signature and other</w:t>
      </w:r>
      <w:r w:rsidRPr="00E65B13">
        <w:rPr>
          <w:rFonts w:ascii="Times New Roman" w:eastAsia="等线" w:hAnsi="Times New Roman" w:cs="Times New Roman" w:hint="eastAsia"/>
          <w:szCs w:val="21"/>
        </w:rPr>
        <w:t xml:space="preserve"> </w:t>
      </w:r>
      <w:r w:rsidRPr="00E65B13">
        <w:rPr>
          <w:rFonts w:ascii="Times New Roman" w:eastAsia="等线" w:hAnsi="Times New Roman" w:cs="Times New Roman"/>
          <w:szCs w:val="21"/>
        </w:rPr>
        <w:t xml:space="preserve">clinicopathological indicators in terms of 1-, 3-, and 5-year OS of patients with HNSCC in </w:t>
      </w:r>
      <w:r w:rsidRPr="00E65B13">
        <w:rPr>
          <w:rFonts w:ascii="Times New Roman" w:eastAsia="等线" w:hAnsi="Times New Roman" w:cs="Times New Roman"/>
          <w:color w:val="000000"/>
          <w:szCs w:val="21"/>
        </w:rPr>
        <w:t>GSE65858</w:t>
      </w:r>
      <w:r w:rsidRPr="00E65B13">
        <w:rPr>
          <w:rFonts w:ascii="Times New Roman" w:eastAsia="等线" w:hAnsi="Times New Roman" w:cs="Times New Roman"/>
          <w:szCs w:val="21"/>
        </w:rPr>
        <w:t xml:space="preserve"> cohort.</w:t>
      </w:r>
    </w:p>
    <w:sectPr w:rsidR="007A35F6" w:rsidRPr="00D80F7D" w:rsidSect="00FA423E">
      <w:headerReference w:type="default" r:id="rId9"/>
      <w:pgSz w:w="11906" w:h="16838"/>
      <w:pgMar w:top="1418" w:right="1418" w:bottom="1418" w:left="1418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ABCE0C" w14:textId="77777777" w:rsidR="00FA423E" w:rsidRDefault="00FA423E" w:rsidP="00D80F7D">
      <w:r>
        <w:separator/>
      </w:r>
    </w:p>
  </w:endnote>
  <w:endnote w:type="continuationSeparator" w:id="0">
    <w:p w14:paraId="7E00F306" w14:textId="77777777" w:rsidR="00FA423E" w:rsidRDefault="00FA423E" w:rsidP="00D80F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 宋体 Std L">
    <w:panose1 w:val="020203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068B9F" w14:textId="77777777" w:rsidR="00FA423E" w:rsidRDefault="00FA423E" w:rsidP="00D80F7D">
      <w:r>
        <w:separator/>
      </w:r>
    </w:p>
  </w:footnote>
  <w:footnote w:type="continuationSeparator" w:id="0">
    <w:p w14:paraId="7E30C4DA" w14:textId="77777777" w:rsidR="00FA423E" w:rsidRDefault="00FA423E" w:rsidP="00D80F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84679962"/>
      <w:docPartObj>
        <w:docPartGallery w:val="AutoText"/>
      </w:docPartObj>
    </w:sdtPr>
    <w:sdtContent>
      <w:p w14:paraId="74DEAFEB" w14:textId="77777777" w:rsidR="00000000" w:rsidRDefault="00000000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E0FC8ED" w14:textId="77777777" w:rsidR="00000000" w:rsidRDefault="0000000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BF4"/>
    <w:rsid w:val="007A35F6"/>
    <w:rsid w:val="00D80F7D"/>
    <w:rsid w:val="00D96BF4"/>
    <w:rsid w:val="00FA4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BF34C9"/>
  <w15:chartTrackingRefBased/>
  <w15:docId w15:val="{EB3B9E78-6814-4BCF-9806-2FF087276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dobe 宋体 Std L" w:hAnsi="Times New Roman" w:cs="Times New Roman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0F7D"/>
    <w:pPr>
      <w:widowControl w:val="0"/>
      <w:jc w:val="both"/>
    </w:pPr>
    <w:rPr>
      <w:rFonts w:asciiTheme="minorHAnsi" w:eastAsiaTheme="minorEastAsia" w:hAnsiTheme="minorHAnsi" w:cstheme="minorBidi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D80F7D"/>
    <w:pPr>
      <w:tabs>
        <w:tab w:val="center" w:pos="4153"/>
        <w:tab w:val="right" w:pos="8306"/>
      </w:tabs>
      <w:snapToGrid w:val="0"/>
      <w:jc w:val="center"/>
    </w:pPr>
    <w:rPr>
      <w:rFonts w:ascii="Times New Roman" w:eastAsia="Adobe 宋体 Std L" w:hAnsi="Times New Roman" w:cs="Times New Roman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D80F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0F7D"/>
    <w:pPr>
      <w:tabs>
        <w:tab w:val="center" w:pos="4153"/>
        <w:tab w:val="right" w:pos="8306"/>
      </w:tabs>
      <w:snapToGrid w:val="0"/>
      <w:jc w:val="left"/>
    </w:pPr>
    <w:rPr>
      <w:rFonts w:ascii="Times New Roman" w:eastAsia="Adobe 宋体 Std L" w:hAnsi="Times New Roman" w:cs="Times New Roman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D80F7D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D80F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295</Words>
  <Characters>1685</Characters>
  <Application>Microsoft Office Word</Application>
  <DocSecurity>0</DocSecurity>
  <Lines>14</Lines>
  <Paragraphs>3</Paragraphs>
  <ScaleCrop>false</ScaleCrop>
  <Company/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 小</dc:creator>
  <cp:keywords/>
  <dc:description/>
  <cp:lastModifiedBy>熊 小</cp:lastModifiedBy>
  <cp:revision>2</cp:revision>
  <dcterms:created xsi:type="dcterms:W3CDTF">2024-04-11T11:20:00Z</dcterms:created>
  <dcterms:modified xsi:type="dcterms:W3CDTF">2024-04-11T11:24:00Z</dcterms:modified>
</cp:coreProperties>
</file>