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E0506" w14:textId="77777777" w:rsidR="00EB32C1" w:rsidRPr="00E62DFC" w:rsidRDefault="00EB32C1" w:rsidP="00EB32C1">
      <w:pPr>
        <w:spacing w:line="480" w:lineRule="auto"/>
        <w:jc w:val="both"/>
        <w:rPr>
          <w:rFonts w:ascii="Arial" w:hAnsi="Arial" w:cs="Arial"/>
          <w:b/>
          <w:u w:val="single"/>
          <w:lang w:eastAsia="zh-CN"/>
        </w:rPr>
      </w:pPr>
      <w:r>
        <w:rPr>
          <w:rFonts w:ascii="Arial" w:hAnsi="Arial" w:cs="Arial"/>
          <w:b/>
          <w:u w:val="single"/>
        </w:rPr>
        <w:t xml:space="preserve">Supplemental </w:t>
      </w:r>
      <w:r w:rsidRPr="00E62DFC">
        <w:rPr>
          <w:rFonts w:ascii="Arial" w:hAnsi="Arial" w:cs="Arial"/>
          <w:b/>
          <w:u w:val="single"/>
        </w:rPr>
        <w:t xml:space="preserve">Methods </w:t>
      </w:r>
    </w:p>
    <w:p w14:paraId="52D39E48" w14:textId="77777777" w:rsidR="00EB32C1" w:rsidRDefault="00EB32C1" w:rsidP="00EB32C1">
      <w:pPr>
        <w:jc w:val="both"/>
        <w:rPr>
          <w:rFonts w:ascii="Arial" w:hAnsi="Arial" w:cs="Arial"/>
          <w:bCs/>
          <w:i/>
          <w:iCs/>
          <w:color w:val="000000" w:themeColor="text1"/>
        </w:rPr>
      </w:pPr>
      <w:r w:rsidRPr="00FF53AC">
        <w:rPr>
          <w:rFonts w:ascii="Arial" w:hAnsi="Arial" w:cs="Arial"/>
          <w:bCs/>
          <w:i/>
          <w:iCs/>
          <w:color w:val="000000" w:themeColor="text1"/>
        </w:rPr>
        <w:t xml:space="preserve">Metabolomics: </w:t>
      </w:r>
    </w:p>
    <w:p w14:paraId="1B6C079A" w14:textId="77777777" w:rsidR="00EB32C1" w:rsidRPr="00D41D25" w:rsidRDefault="00EB32C1" w:rsidP="00EB32C1">
      <w:pPr>
        <w:autoSpaceDE w:val="0"/>
        <w:autoSpaceDN w:val="0"/>
        <w:adjustRightInd w:val="0"/>
        <w:jc w:val="both"/>
        <w:rPr>
          <w:rFonts w:ascii="Arial" w:hAnsi="Arial" w:cs="Arial"/>
          <w:color w:val="000000"/>
        </w:rPr>
      </w:pPr>
      <w:r>
        <w:rPr>
          <w:rFonts w:ascii="Arial" w:hAnsi="Arial" w:cs="Arial"/>
        </w:rPr>
        <w:t>M</w:t>
      </w:r>
      <w:r w:rsidRPr="00D218DC">
        <w:rPr>
          <w:rFonts w:ascii="Arial" w:hAnsi="Arial" w:cs="Arial"/>
        </w:rPr>
        <w:t>etabolite analysis</w:t>
      </w:r>
      <w:r>
        <w:rPr>
          <w:rFonts w:ascii="Arial" w:hAnsi="Arial" w:cs="Arial"/>
        </w:rPr>
        <w:t xml:space="preserve"> was performed as described in Doty et al., 2022.  Briefly, </w:t>
      </w:r>
      <w:r w:rsidRPr="00D218DC">
        <w:rPr>
          <w:rFonts w:ascii="Arial" w:hAnsi="Arial" w:cs="Arial"/>
        </w:rPr>
        <w:t xml:space="preserve">S1 DRG samples (30–50 mg) were </w:t>
      </w:r>
      <w:r>
        <w:rPr>
          <w:rFonts w:ascii="Arial" w:hAnsi="Arial" w:cs="Arial"/>
        </w:rPr>
        <w:t xml:space="preserve">analyzed by </w:t>
      </w:r>
      <w:r w:rsidRPr="00D218DC">
        <w:rPr>
          <w:rFonts w:ascii="Arial" w:hAnsi="Arial" w:cs="Arial"/>
        </w:rPr>
        <w:t xml:space="preserve">Human Metabolome </w:t>
      </w:r>
      <w:r w:rsidRPr="00833ED8">
        <w:rPr>
          <w:rFonts w:ascii="Arial" w:hAnsi="Arial" w:cs="Arial"/>
          <w:color w:val="000000" w:themeColor="text1"/>
        </w:rPr>
        <w:t xml:space="preserve">Technologies-America, Boston, MA. </w:t>
      </w:r>
      <w:r>
        <w:rPr>
          <w:rFonts w:ascii="Arial" w:hAnsi="Arial" w:cs="Arial"/>
          <w:color w:val="000000" w:themeColor="text1"/>
        </w:rPr>
        <w:t>P</w:t>
      </w:r>
      <w:r w:rsidRPr="00833ED8">
        <w:rPr>
          <w:rFonts w:ascii="Arial" w:hAnsi="Arial" w:cs="Arial"/>
          <w:color w:val="000000" w:themeColor="text1"/>
        </w:rPr>
        <w:t xml:space="preserve">olar metabolites were </w:t>
      </w:r>
      <w:r>
        <w:rPr>
          <w:rFonts w:ascii="Arial" w:hAnsi="Arial" w:cs="Arial"/>
          <w:color w:val="000000" w:themeColor="text1"/>
        </w:rPr>
        <w:t>detected</w:t>
      </w:r>
      <w:r w:rsidRPr="00833ED8">
        <w:rPr>
          <w:rFonts w:ascii="Arial" w:hAnsi="Arial" w:cs="Arial"/>
          <w:color w:val="000000" w:themeColor="text1"/>
        </w:rPr>
        <w:t xml:space="preserve"> using </w:t>
      </w:r>
      <w:r w:rsidRPr="00833ED8">
        <w:rPr>
          <w:rFonts w:ascii="Arial" w:hAnsi="Arial" w:cs="Arial"/>
          <w:color w:val="000000" w:themeColor="text1"/>
          <w:shd w:val="clear" w:color="auto" w:fill="FFFFFF"/>
        </w:rPr>
        <w:t>capillary electrophoresis time-of-flight mass spectrometry </w:t>
      </w:r>
      <w:r w:rsidRPr="00833ED8">
        <w:rPr>
          <w:rFonts w:ascii="Arial" w:hAnsi="Arial" w:cs="Arial"/>
          <w:color w:val="000000" w:themeColor="text1"/>
        </w:rPr>
        <w:t>(carried out</w:t>
      </w:r>
      <w:r>
        <w:rPr>
          <w:rFonts w:ascii="Arial" w:hAnsi="Arial" w:cs="Arial"/>
          <w:color w:val="000000" w:themeColor="text1"/>
        </w:rPr>
        <w:t xml:space="preserve"> </w:t>
      </w:r>
      <w:r w:rsidRPr="00833ED8">
        <w:rPr>
          <w:rFonts w:ascii="Arial" w:hAnsi="Arial" w:cs="Arial"/>
          <w:color w:val="000000" w:themeColor="text1"/>
        </w:rPr>
        <w:t xml:space="preserve">using Agilent CE-TOFMS system, Agilent Technologies Inc, </w:t>
      </w:r>
      <w:proofErr w:type="spellStart"/>
      <w:r w:rsidRPr="00833ED8">
        <w:rPr>
          <w:rFonts w:ascii="Arial" w:hAnsi="Arial" w:cs="Arial"/>
          <w:color w:val="000000" w:themeColor="text1"/>
        </w:rPr>
        <w:t>Waldbronn</w:t>
      </w:r>
      <w:proofErr w:type="spellEnd"/>
      <w:r w:rsidRPr="00833ED8">
        <w:rPr>
          <w:rFonts w:ascii="Arial" w:hAnsi="Arial" w:cs="Arial"/>
          <w:color w:val="000000" w:themeColor="text1"/>
        </w:rPr>
        <w:t>, Germany)</w:t>
      </w:r>
      <w:r>
        <w:rPr>
          <w:rFonts w:ascii="Arial" w:hAnsi="Arial" w:cs="Arial"/>
          <w:color w:val="000000" w:themeColor="text1"/>
        </w:rPr>
        <w:t>, while n</w:t>
      </w:r>
      <w:r w:rsidRPr="00833ED8">
        <w:rPr>
          <w:rFonts w:ascii="Arial" w:hAnsi="Arial" w:cs="Arial"/>
          <w:color w:val="000000" w:themeColor="text1"/>
        </w:rPr>
        <w:t xml:space="preserve">on-polar metabolites were measured using </w:t>
      </w:r>
      <w:r w:rsidRPr="00833ED8">
        <w:rPr>
          <w:rFonts w:ascii="Arial" w:hAnsi="Arial" w:cs="Arial"/>
          <w:color w:val="000000" w:themeColor="text1"/>
          <w:shd w:val="clear" w:color="auto" w:fill="FFFFFF"/>
        </w:rPr>
        <w:t>liquid chromatography time-of-flight mass spectrometry</w:t>
      </w:r>
      <w:r>
        <w:rPr>
          <w:rFonts w:ascii="Arial" w:hAnsi="Arial" w:cs="Arial"/>
          <w:color w:val="000000" w:themeColor="text1"/>
        </w:rPr>
        <w:t xml:space="preserve"> </w:t>
      </w:r>
      <w:r w:rsidRPr="00D218DC">
        <w:rPr>
          <w:rFonts w:ascii="Arial" w:hAnsi="Arial" w:cs="Arial"/>
        </w:rPr>
        <w:t xml:space="preserve">LC-TOFMS </w:t>
      </w:r>
      <w:r>
        <w:rPr>
          <w:rFonts w:ascii="Arial" w:hAnsi="Arial" w:cs="Arial"/>
        </w:rPr>
        <w:t>(</w:t>
      </w:r>
      <w:r w:rsidRPr="00D218DC">
        <w:rPr>
          <w:rFonts w:ascii="Arial" w:hAnsi="Arial" w:cs="Arial"/>
        </w:rPr>
        <w:t>carried</w:t>
      </w:r>
      <w:r>
        <w:rPr>
          <w:rFonts w:ascii="Arial" w:hAnsi="Arial" w:cs="Arial"/>
        </w:rPr>
        <w:t xml:space="preserve"> </w:t>
      </w:r>
      <w:r w:rsidRPr="00D218DC">
        <w:rPr>
          <w:rFonts w:ascii="Arial" w:hAnsi="Arial" w:cs="Arial"/>
        </w:rPr>
        <w:t>out with Agilent 1200 series RRLC system SL</w:t>
      </w:r>
      <w:r>
        <w:rPr>
          <w:rFonts w:ascii="Arial" w:hAnsi="Arial" w:cs="Arial"/>
        </w:rPr>
        <w:t xml:space="preserve">, </w:t>
      </w:r>
      <w:r w:rsidRPr="00D218DC">
        <w:rPr>
          <w:rFonts w:ascii="Arial" w:hAnsi="Arial" w:cs="Arial"/>
        </w:rPr>
        <w:t xml:space="preserve">Agilent Technologies Inc, </w:t>
      </w:r>
      <w:proofErr w:type="spellStart"/>
      <w:r w:rsidRPr="00D218DC">
        <w:rPr>
          <w:rFonts w:ascii="Arial" w:hAnsi="Arial" w:cs="Arial"/>
        </w:rPr>
        <w:t>Wadbronn</w:t>
      </w:r>
      <w:proofErr w:type="spellEnd"/>
      <w:r w:rsidRPr="00D218DC">
        <w:rPr>
          <w:rFonts w:ascii="Arial" w:hAnsi="Arial" w:cs="Arial"/>
        </w:rPr>
        <w:t>, Germany)</w:t>
      </w:r>
      <w:r>
        <w:rPr>
          <w:rFonts w:ascii="Arial" w:hAnsi="Arial" w:cs="Arial"/>
        </w:rPr>
        <w:t xml:space="preserve">. </w:t>
      </w:r>
      <w:r w:rsidRPr="00D218DC">
        <w:rPr>
          <w:rFonts w:ascii="Arial" w:hAnsi="Arial" w:cs="Arial"/>
          <w:color w:val="000000"/>
        </w:rPr>
        <w:t xml:space="preserve">CE-TOFMS and LC-TOFMS data was processed with </w:t>
      </w:r>
      <w:proofErr w:type="spellStart"/>
      <w:r w:rsidRPr="00D218DC">
        <w:rPr>
          <w:rFonts w:ascii="Arial" w:hAnsi="Arial" w:cs="Arial"/>
          <w:color w:val="000000"/>
        </w:rPr>
        <w:t>MasterHands</w:t>
      </w:r>
      <w:proofErr w:type="spellEnd"/>
      <w:r w:rsidRPr="00D218DC">
        <w:rPr>
          <w:rFonts w:ascii="Arial" w:hAnsi="Arial" w:cs="Arial"/>
          <w:color w:val="000000"/>
        </w:rPr>
        <w:t xml:space="preserve"> (v2.17.1.11) for identification of peaks</w:t>
      </w:r>
      <w:r>
        <w:rPr>
          <w:rFonts w:ascii="Arial" w:hAnsi="Arial" w:cs="Arial"/>
          <w:color w:val="000000" w:themeColor="text1"/>
        </w:rPr>
        <w:t xml:space="preserve"> </w:t>
      </w:r>
      <w:r w:rsidRPr="00D218DC">
        <w:rPr>
          <w:rFonts w:ascii="Arial" w:hAnsi="Arial" w:cs="Arial"/>
          <w:color w:val="000000"/>
        </w:rPr>
        <w:t>and quantification based on internal standards. Metabolites detected in fewer than 80% of samples were excluded</w:t>
      </w:r>
      <w:r>
        <w:rPr>
          <w:rFonts w:ascii="Arial" w:hAnsi="Arial" w:cs="Arial"/>
          <w:color w:val="000000" w:themeColor="text1"/>
        </w:rPr>
        <w:t xml:space="preserve"> </w:t>
      </w:r>
      <w:r w:rsidRPr="00D218DC">
        <w:rPr>
          <w:rFonts w:ascii="Arial" w:hAnsi="Arial" w:cs="Arial"/>
          <w:color w:val="000000"/>
        </w:rPr>
        <w:t>from downstream analysis.</w:t>
      </w:r>
      <w:r>
        <w:rPr>
          <w:rFonts w:ascii="Arial" w:hAnsi="Arial" w:cs="Arial"/>
          <w:color w:val="000000"/>
        </w:rPr>
        <w:t xml:space="preserve">  </w:t>
      </w:r>
      <w:r w:rsidRPr="00D218DC">
        <w:rPr>
          <w:rFonts w:ascii="Arial" w:hAnsi="Arial" w:cs="Arial"/>
          <w:color w:val="000000"/>
        </w:rPr>
        <w:t>Human Metabolome</w:t>
      </w:r>
      <w:r>
        <w:rPr>
          <w:rFonts w:ascii="Arial" w:hAnsi="Arial" w:cs="Arial"/>
          <w:color w:val="000000"/>
        </w:rPr>
        <w:t xml:space="preserve"> </w:t>
      </w:r>
      <w:r w:rsidRPr="00D218DC">
        <w:rPr>
          <w:rFonts w:ascii="Arial" w:hAnsi="Arial" w:cs="Arial"/>
          <w:color w:val="000000"/>
        </w:rPr>
        <w:t>Database was used to identify metabolite class and directly related enzymes.</w:t>
      </w:r>
    </w:p>
    <w:p w14:paraId="1A6C5173" w14:textId="77777777" w:rsidR="00EB32C1" w:rsidRPr="00FF53AC" w:rsidRDefault="00EB32C1" w:rsidP="00EB32C1">
      <w:pPr>
        <w:spacing w:line="480" w:lineRule="auto"/>
        <w:jc w:val="both"/>
        <w:rPr>
          <w:rFonts w:ascii="Arial" w:hAnsi="Arial" w:cs="Arial"/>
          <w:bCs/>
          <w:i/>
          <w:iCs/>
          <w:color w:val="000000" w:themeColor="text1"/>
        </w:rPr>
      </w:pPr>
    </w:p>
    <w:p w14:paraId="487D6C96" w14:textId="77777777" w:rsidR="00EB32C1" w:rsidRDefault="00EB32C1" w:rsidP="00EB32C1">
      <w:pPr>
        <w:jc w:val="both"/>
        <w:rPr>
          <w:rFonts w:ascii="Arial" w:eastAsiaTheme="minorHAnsi" w:hAnsi="Arial" w:cs="Arial"/>
          <w:i/>
          <w:iCs/>
        </w:rPr>
      </w:pPr>
      <w:r w:rsidRPr="00857B70">
        <w:rPr>
          <w:rFonts w:ascii="Arial" w:hAnsi="Arial" w:cs="Arial"/>
          <w:bCs/>
          <w:i/>
          <w:iCs/>
          <w:color w:val="000000" w:themeColor="text1"/>
        </w:rPr>
        <w:t xml:space="preserve">PBMC </w:t>
      </w:r>
      <w:r w:rsidRPr="00A06102">
        <w:rPr>
          <w:rFonts w:ascii="Arial" w:eastAsiaTheme="minorHAnsi" w:hAnsi="Arial" w:cs="Arial"/>
          <w:i/>
          <w:iCs/>
        </w:rPr>
        <w:t>RNA</w:t>
      </w:r>
      <w:r>
        <w:rPr>
          <w:rFonts w:ascii="Arial" w:eastAsiaTheme="minorHAnsi" w:hAnsi="Arial" w:cs="Arial"/>
          <w:i/>
          <w:iCs/>
        </w:rPr>
        <w:t>-</w:t>
      </w:r>
      <w:r w:rsidRPr="00A06102">
        <w:rPr>
          <w:rFonts w:ascii="Arial" w:eastAsiaTheme="minorHAnsi" w:hAnsi="Arial" w:cs="Arial"/>
          <w:i/>
          <w:iCs/>
        </w:rPr>
        <w:t>seq Analysis:</w:t>
      </w:r>
    </w:p>
    <w:p w14:paraId="0EBB9F18" w14:textId="77777777" w:rsidR="00EB32C1" w:rsidRPr="00886C78" w:rsidRDefault="00EB32C1" w:rsidP="00EB32C1">
      <w:pPr>
        <w:jc w:val="both"/>
        <w:rPr>
          <w:rFonts w:ascii="Arial" w:hAnsi="Arial" w:cs="Arial"/>
          <w:color w:val="000000" w:themeColor="text1"/>
        </w:rPr>
      </w:pPr>
      <w:r>
        <w:rPr>
          <w:rFonts w:ascii="Arial" w:hAnsi="Arial" w:cs="Arial"/>
          <w:color w:val="000000"/>
        </w:rPr>
        <w:t xml:space="preserve">Blood samples from the DRG organ donors were not available, so peripheral blood mononuclear cells (PBMCs) from controls and RA patients were alternatively purchased from </w:t>
      </w:r>
      <w:r w:rsidRPr="002D0223">
        <w:rPr>
          <w:rFonts w:ascii="Arial" w:hAnsi="Arial" w:cs="Arial"/>
          <w:color w:val="000000" w:themeColor="text1"/>
        </w:rPr>
        <w:t xml:space="preserve">Precision </w:t>
      </w:r>
      <w:proofErr w:type="gramStart"/>
      <w:r w:rsidRPr="002D0223">
        <w:rPr>
          <w:rFonts w:ascii="Arial" w:hAnsi="Arial" w:cs="Arial"/>
          <w:color w:val="000000" w:themeColor="text1"/>
        </w:rPr>
        <w:t>For</w:t>
      </w:r>
      <w:proofErr w:type="gramEnd"/>
      <w:r w:rsidRPr="002D0223">
        <w:rPr>
          <w:rFonts w:ascii="Arial" w:hAnsi="Arial" w:cs="Arial"/>
          <w:color w:val="000000" w:themeColor="text1"/>
        </w:rPr>
        <w:t xml:space="preserve"> Medicine</w:t>
      </w:r>
      <w:r>
        <w:rPr>
          <w:rFonts w:ascii="Arial" w:hAnsi="Arial" w:cs="Arial"/>
          <w:color w:val="000000" w:themeColor="text1"/>
        </w:rPr>
        <w:t xml:space="preserve"> (</w:t>
      </w:r>
      <w:r w:rsidRPr="002D0223">
        <w:rPr>
          <w:rFonts w:ascii="Arial" w:hAnsi="Arial" w:cs="Arial"/>
          <w:color w:val="000000" w:themeColor="text1"/>
          <w:shd w:val="clear" w:color="auto" w:fill="FFFFFF"/>
        </w:rPr>
        <w:t>Frederick, MD</w:t>
      </w:r>
      <w:r>
        <w:rPr>
          <w:rFonts w:ascii="Arial" w:hAnsi="Arial" w:cs="Arial"/>
          <w:color w:val="000000" w:themeColor="text1"/>
          <w:shd w:val="clear" w:color="auto" w:fill="FFFFFF"/>
        </w:rPr>
        <w:t>)</w:t>
      </w:r>
      <w:r>
        <w:rPr>
          <w:rFonts w:ascii="Arial" w:hAnsi="Arial" w:cs="Arial"/>
          <w:color w:val="000000"/>
        </w:rPr>
        <w:t xml:space="preserve"> and </w:t>
      </w:r>
      <w:r w:rsidRPr="002D0223">
        <w:rPr>
          <w:rFonts w:ascii="Arial" w:hAnsi="Arial" w:cs="Arial"/>
          <w:color w:val="000000" w:themeColor="text1"/>
        </w:rPr>
        <w:t xml:space="preserve">STEMCELL Technologies </w:t>
      </w:r>
      <w:r>
        <w:rPr>
          <w:rFonts w:ascii="Arial" w:hAnsi="Arial" w:cs="Arial"/>
          <w:color w:val="000000" w:themeColor="text1"/>
        </w:rPr>
        <w:t>(</w:t>
      </w:r>
      <w:r w:rsidRPr="002D0223">
        <w:rPr>
          <w:rFonts w:ascii="Arial" w:hAnsi="Arial" w:cs="Arial"/>
          <w:color w:val="000000" w:themeColor="text1"/>
          <w:shd w:val="clear" w:color="auto" w:fill="FFFFFF"/>
        </w:rPr>
        <w:t>Cambridge, MA</w:t>
      </w:r>
      <w:r>
        <w:rPr>
          <w:rFonts w:ascii="Arial" w:hAnsi="Arial" w:cs="Arial"/>
          <w:color w:val="000000" w:themeColor="text1"/>
          <w:shd w:val="clear" w:color="auto" w:fill="FFFFFF"/>
        </w:rPr>
        <w:t xml:space="preserve">).  </w:t>
      </w:r>
      <w:r w:rsidRPr="002D0223">
        <w:rPr>
          <w:rFonts w:ascii="Arial" w:hAnsi="Arial" w:cs="Arial"/>
          <w:color w:val="000000" w:themeColor="text1"/>
          <w:shd w:val="clear" w:color="auto" w:fill="FFFFFF"/>
        </w:rPr>
        <w:t> </w:t>
      </w:r>
      <w:r>
        <w:rPr>
          <w:rFonts w:ascii="Arial" w:hAnsi="Arial" w:cs="Arial"/>
          <w:color w:val="000000" w:themeColor="text1"/>
          <w:shd w:val="clear" w:color="auto" w:fill="FFFFFF"/>
        </w:rPr>
        <w:t xml:space="preserve">PBMCs were pelleted (400xg) and RNA was extracted using the </w:t>
      </w:r>
      <w:r w:rsidRPr="00886C78">
        <w:rPr>
          <w:rFonts w:ascii="Arial" w:hAnsi="Arial" w:cs="Arial"/>
          <w:color w:val="000000" w:themeColor="text1"/>
          <w:shd w:val="clear" w:color="auto" w:fill="FFFFFF"/>
        </w:rPr>
        <w:t>RNeasy Plus Universal Mini Kit </w:t>
      </w:r>
      <w:r w:rsidRPr="00A06102">
        <w:rPr>
          <w:rFonts w:ascii="Arial" w:eastAsiaTheme="minorHAnsi" w:hAnsi="Arial" w:cs="Arial"/>
          <w:color w:val="000000" w:themeColor="text1"/>
        </w:rPr>
        <w:t>(Qiagen, Valencia, CA)</w:t>
      </w:r>
      <w:r>
        <w:rPr>
          <w:rFonts w:ascii="Arial" w:eastAsiaTheme="minorHAnsi" w:hAnsi="Arial" w:cs="Arial"/>
          <w:color w:val="000000" w:themeColor="text1"/>
        </w:rPr>
        <w:t>, according to the manufacturer’s protocol</w:t>
      </w:r>
      <w:r>
        <w:rPr>
          <w:rFonts w:ascii="Arial" w:hAnsi="Arial" w:cs="Arial"/>
          <w:color w:val="000000" w:themeColor="text1"/>
        </w:rPr>
        <w:t xml:space="preserve">.  Information about the PBMCs along with the RNA integrity number (RIN) from each sample can be found in Supplemental Table S12.  </w:t>
      </w:r>
      <w:r w:rsidRPr="00A06102">
        <w:rPr>
          <w:rFonts w:ascii="Arial" w:hAnsi="Arial" w:cs="Arial"/>
          <w:color w:val="000000" w:themeColor="text1"/>
        </w:rPr>
        <w:t xml:space="preserve">Libraries were prepared and samples were sequenced at the </w:t>
      </w:r>
      <w:r w:rsidRPr="00A06102">
        <w:rPr>
          <w:rFonts w:ascii="Arial" w:hAnsi="Arial" w:cs="Arial"/>
          <w:color w:val="000000" w:themeColor="text1"/>
          <w:shd w:val="clear" w:color="auto" w:fill="FFFFFF"/>
        </w:rPr>
        <w:t xml:space="preserve">NIH Intramural Sequencing Center (Rockville, MD) </w:t>
      </w:r>
      <w:r>
        <w:rPr>
          <w:rFonts w:ascii="Arial" w:hAnsi="Arial" w:cs="Arial"/>
          <w:color w:val="000000" w:themeColor="text1"/>
          <w:shd w:val="clear" w:color="auto" w:fill="FFFFFF"/>
        </w:rPr>
        <w:t xml:space="preserve">while RNA-seq analysis was performed as described for the DRGs and as detailed in </w:t>
      </w:r>
      <w:r w:rsidRPr="00A06102">
        <w:rPr>
          <w:rFonts w:ascii="Arial" w:hAnsi="Arial" w:cs="Arial"/>
          <w:color w:val="000000" w:themeColor="text1"/>
          <w:shd w:val="clear" w:color="auto" w:fill="FFFFFF"/>
        </w:rPr>
        <w:t>Hall et al.</w:t>
      </w:r>
      <w:r>
        <w:rPr>
          <w:rFonts w:ascii="Arial" w:hAnsi="Arial" w:cs="Arial"/>
          <w:color w:val="000000" w:themeColor="text1"/>
          <w:shd w:val="clear" w:color="auto" w:fill="FFFFFF"/>
        </w:rPr>
        <w:t>,</w:t>
      </w:r>
      <w:r w:rsidRPr="00A06102">
        <w:rPr>
          <w:rFonts w:ascii="Arial" w:hAnsi="Arial" w:cs="Arial"/>
          <w:color w:val="000000" w:themeColor="text1"/>
          <w:shd w:val="clear" w:color="auto" w:fill="FFFFFF"/>
        </w:rPr>
        <w:t xml:space="preserve"> 2022.</w:t>
      </w:r>
      <w:r>
        <w:rPr>
          <w:rFonts w:ascii="Arial" w:hAnsi="Arial" w:cs="Arial"/>
          <w:color w:val="000000" w:themeColor="text1"/>
          <w:shd w:val="clear" w:color="auto" w:fill="FFFFFF"/>
        </w:rPr>
        <w:t xml:space="preserve">  PBMC transcriptomic data is available in supplemental tables S13 and S14.</w:t>
      </w:r>
    </w:p>
    <w:p w14:paraId="4ED32513" w14:textId="77777777" w:rsidR="00EB32C1" w:rsidRPr="00A06102" w:rsidRDefault="00EB32C1" w:rsidP="00EB32C1">
      <w:pPr>
        <w:spacing w:line="480" w:lineRule="auto"/>
        <w:jc w:val="both"/>
        <w:rPr>
          <w:rFonts w:ascii="Arial" w:eastAsiaTheme="minorHAnsi" w:hAnsi="Arial" w:cs="Arial"/>
          <w:i/>
          <w:iCs/>
        </w:rPr>
      </w:pPr>
    </w:p>
    <w:p w14:paraId="113B50FF" w14:textId="77777777" w:rsidR="001C344B" w:rsidRDefault="001C344B">
      <w:pPr>
        <w:rPr>
          <w:rFonts w:ascii="Arial" w:hAnsi="Arial" w:cs="Arial"/>
          <w:b/>
          <w:bCs/>
        </w:rPr>
      </w:pPr>
      <w:r>
        <w:rPr>
          <w:rFonts w:ascii="Arial" w:hAnsi="Arial" w:cs="Arial"/>
          <w:b/>
          <w:bCs/>
        </w:rPr>
        <w:br w:type="page"/>
      </w:r>
    </w:p>
    <w:p w14:paraId="603D9593" w14:textId="63B2CE1F" w:rsidR="001C344B" w:rsidRPr="00F766A5" w:rsidRDefault="00EB32C1" w:rsidP="00F766A5">
      <w:pPr>
        <w:rPr>
          <w:rFonts w:ascii="Arial" w:hAnsi="Arial" w:cs="Arial"/>
          <w:b/>
          <w:bCs/>
        </w:rPr>
      </w:pPr>
      <w:r>
        <w:rPr>
          <w:rFonts w:ascii="Arial" w:hAnsi="Arial" w:cs="Arial"/>
          <w:b/>
          <w:bCs/>
        </w:rPr>
        <w:lastRenderedPageBreak/>
        <w:t xml:space="preserve">Supplemental </w:t>
      </w:r>
      <w:r w:rsidRPr="00E62DFC">
        <w:rPr>
          <w:rFonts w:ascii="Arial" w:hAnsi="Arial" w:cs="Arial"/>
          <w:b/>
          <w:bCs/>
        </w:rPr>
        <w:t xml:space="preserve">Figure </w:t>
      </w:r>
      <w:r>
        <w:rPr>
          <w:rFonts w:ascii="Arial" w:hAnsi="Arial" w:cs="Arial"/>
          <w:b/>
          <w:bCs/>
        </w:rPr>
        <w:t>1</w:t>
      </w:r>
    </w:p>
    <w:p w14:paraId="5A48AABE" w14:textId="4041FC6C" w:rsidR="001C344B" w:rsidRDefault="00F766A5" w:rsidP="00EB32C1">
      <w:pPr>
        <w:pStyle w:val="Default"/>
        <w:jc w:val="both"/>
        <w:rPr>
          <w:rFonts w:ascii="Arial" w:hAnsi="Arial" w:cs="Arial"/>
        </w:rPr>
      </w:pPr>
      <w:r w:rsidRPr="00F766A5">
        <w:rPr>
          <w:rFonts w:ascii="Arial" w:hAnsi="Arial" w:cs="Arial"/>
          <w:noProof/>
        </w:rPr>
        <w:drawing>
          <wp:inline distT="0" distB="0" distL="0" distR="0" wp14:anchorId="3E7DA050" wp14:editId="01F6B96F">
            <wp:extent cx="5943600" cy="3343275"/>
            <wp:effectExtent l="0" t="0" r="0" b="0"/>
            <wp:docPr id="195720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204611" name=""/>
                    <pic:cNvPicPr/>
                  </pic:nvPicPr>
                  <pic:blipFill>
                    <a:blip r:embed="rId7"/>
                    <a:stretch>
                      <a:fillRect/>
                    </a:stretch>
                  </pic:blipFill>
                  <pic:spPr>
                    <a:xfrm>
                      <a:off x="0" y="0"/>
                      <a:ext cx="5943600" cy="3343275"/>
                    </a:xfrm>
                    <a:prstGeom prst="rect">
                      <a:avLst/>
                    </a:prstGeom>
                  </pic:spPr>
                </pic:pic>
              </a:graphicData>
            </a:graphic>
          </wp:inline>
        </w:drawing>
      </w:r>
    </w:p>
    <w:p w14:paraId="4E7F610B" w14:textId="77777777" w:rsidR="001C344B" w:rsidRDefault="001C344B" w:rsidP="00EB32C1">
      <w:pPr>
        <w:pStyle w:val="Default"/>
        <w:jc w:val="both"/>
        <w:rPr>
          <w:rFonts w:ascii="Arial" w:hAnsi="Arial" w:cs="Arial"/>
        </w:rPr>
      </w:pPr>
    </w:p>
    <w:p w14:paraId="57317C60" w14:textId="657017B4" w:rsidR="00F766A5" w:rsidRDefault="00EB32C1" w:rsidP="00F766A5">
      <w:pPr>
        <w:pStyle w:val="Default"/>
        <w:jc w:val="both"/>
        <w:rPr>
          <w:rFonts w:ascii="Arial" w:hAnsi="Arial" w:cs="Arial"/>
          <w:color w:val="000000" w:themeColor="text1"/>
        </w:rPr>
      </w:pPr>
      <w:r>
        <w:rPr>
          <w:rFonts w:ascii="Arial" w:hAnsi="Arial" w:cs="Arial"/>
        </w:rPr>
        <w:t>Characterization of DEGs: A)</w:t>
      </w:r>
      <w:r w:rsidRPr="007B579F">
        <w:rPr>
          <w:rFonts w:ascii="Arial" w:hAnsi="Arial" w:cs="Arial"/>
        </w:rPr>
        <w:t xml:space="preserve"> Long noncoding RNAs (</w:t>
      </w:r>
      <w:proofErr w:type="spellStart"/>
      <w:r w:rsidRPr="007B579F">
        <w:rPr>
          <w:rFonts w:ascii="Arial" w:hAnsi="Arial" w:cs="Arial"/>
        </w:rPr>
        <w:t>lncRNAs</w:t>
      </w:r>
      <w:proofErr w:type="spellEnd"/>
      <w:r w:rsidRPr="007B579F">
        <w:rPr>
          <w:rFonts w:ascii="Arial" w:hAnsi="Arial" w:cs="Arial"/>
        </w:rPr>
        <w:t xml:space="preserve">) are a class of untranslated transcripts </w:t>
      </w:r>
      <w:r>
        <w:rPr>
          <w:rFonts w:ascii="Arial" w:hAnsi="Arial" w:cs="Arial"/>
        </w:rPr>
        <w:t>(</w:t>
      </w:r>
      <w:r w:rsidRPr="007B579F">
        <w:rPr>
          <w:rFonts w:ascii="Arial" w:hAnsi="Arial" w:cs="Arial"/>
        </w:rPr>
        <w:t>more than 200 nucleotides</w:t>
      </w:r>
      <w:r>
        <w:rPr>
          <w:rFonts w:ascii="Arial" w:hAnsi="Arial" w:cs="Arial"/>
        </w:rPr>
        <w:t>)</w:t>
      </w:r>
      <w:r w:rsidRPr="007B579F">
        <w:rPr>
          <w:rFonts w:ascii="Arial" w:hAnsi="Arial" w:cs="Arial"/>
        </w:rPr>
        <w:t xml:space="preserve"> that are thought to regulate cellular gene expression</w:t>
      </w:r>
      <w:r>
        <w:rPr>
          <w:rFonts w:ascii="Arial" w:hAnsi="Arial" w:cs="Arial"/>
        </w:rPr>
        <w:t>.  Heatmap shows a</w:t>
      </w:r>
      <w:r w:rsidRPr="007B579F">
        <w:rPr>
          <w:rFonts w:ascii="Arial" w:hAnsi="Arial" w:cs="Arial"/>
        </w:rPr>
        <w:t xml:space="preserve">bout 15 discernable </w:t>
      </w:r>
      <w:proofErr w:type="spellStart"/>
      <w:r w:rsidRPr="007B579F">
        <w:rPr>
          <w:rFonts w:ascii="Arial" w:hAnsi="Arial" w:cs="Arial"/>
        </w:rPr>
        <w:t>lncRNAs</w:t>
      </w:r>
      <w:proofErr w:type="spellEnd"/>
      <w:r w:rsidRPr="007B579F">
        <w:rPr>
          <w:rFonts w:ascii="Arial" w:hAnsi="Arial" w:cs="Arial"/>
        </w:rPr>
        <w:t xml:space="preserve"> </w:t>
      </w:r>
      <w:r>
        <w:rPr>
          <w:rFonts w:ascii="Arial" w:hAnsi="Arial" w:cs="Arial"/>
        </w:rPr>
        <w:t xml:space="preserve">that </w:t>
      </w:r>
      <w:r w:rsidRPr="007B579F">
        <w:rPr>
          <w:rFonts w:ascii="Arial" w:hAnsi="Arial" w:cs="Arial"/>
        </w:rPr>
        <w:t xml:space="preserve">were dysregulated between subjects with RA and controls.  </w:t>
      </w:r>
      <w:r>
        <w:rPr>
          <w:rFonts w:ascii="Arial" w:hAnsi="Arial" w:cs="Arial"/>
        </w:rPr>
        <w:t>Notably</w:t>
      </w:r>
      <w:r w:rsidRPr="007B579F">
        <w:rPr>
          <w:rFonts w:ascii="Arial" w:hAnsi="Arial" w:cs="Arial"/>
        </w:rPr>
        <w:t xml:space="preserve">, </w:t>
      </w:r>
      <w:r w:rsidRPr="007B579F">
        <w:rPr>
          <w:rFonts w:ascii="Arial" w:eastAsia="Times New Roman" w:hAnsi="Arial" w:cs="Arial"/>
          <w:i/>
          <w:iCs/>
        </w:rPr>
        <w:t>DOCK9-AS2</w:t>
      </w:r>
      <w:r w:rsidRPr="007B579F">
        <w:rPr>
          <w:rFonts w:ascii="Arial" w:eastAsia="Times New Roman" w:hAnsi="Arial" w:cs="Arial"/>
        </w:rPr>
        <w:t xml:space="preserve"> is upregulated in RA patients and is </w:t>
      </w:r>
      <w:r>
        <w:rPr>
          <w:rFonts w:ascii="Arial" w:eastAsia="Times New Roman" w:hAnsi="Arial" w:cs="Arial"/>
        </w:rPr>
        <w:t>implicated</w:t>
      </w:r>
      <w:r w:rsidRPr="007B579F">
        <w:rPr>
          <w:rFonts w:ascii="Arial" w:eastAsia="Times New Roman" w:hAnsi="Arial" w:cs="Arial"/>
        </w:rPr>
        <w:t xml:space="preserve"> in </w:t>
      </w:r>
      <w:r w:rsidRPr="007B579F">
        <w:rPr>
          <w:rFonts w:ascii="Arial" w:hAnsi="Arial" w:cs="Arial"/>
        </w:rPr>
        <w:t>atherosclerosis</w:t>
      </w:r>
      <w:r w:rsidR="00B77CCD" w:rsidRPr="00B77CCD">
        <w:rPr>
          <w:rFonts w:ascii="Arial" w:hAnsi="Arial" w:cs="Arial"/>
          <w:vertAlign w:val="superscript"/>
        </w:rPr>
        <w:t>4,2</w:t>
      </w:r>
      <w:r w:rsidRPr="007B579F">
        <w:rPr>
          <w:rFonts w:ascii="Arial" w:hAnsi="Arial" w:cs="Arial"/>
        </w:rPr>
        <w:t xml:space="preserve">, </w:t>
      </w:r>
      <w:r>
        <w:rPr>
          <w:rFonts w:ascii="Arial" w:hAnsi="Arial" w:cs="Arial"/>
        </w:rPr>
        <w:t xml:space="preserve">while </w:t>
      </w:r>
      <w:r w:rsidRPr="007B579F">
        <w:rPr>
          <w:rFonts w:ascii="Arial" w:hAnsi="Arial" w:cs="Arial"/>
          <w:i/>
          <w:iCs/>
        </w:rPr>
        <w:t>LINC01876</w:t>
      </w:r>
      <w:r w:rsidRPr="007B579F">
        <w:rPr>
          <w:rFonts w:ascii="Arial" w:hAnsi="Arial" w:cs="Arial"/>
        </w:rPr>
        <w:t>,</w:t>
      </w:r>
      <w:r>
        <w:rPr>
          <w:rFonts w:ascii="Arial" w:hAnsi="Arial" w:cs="Arial"/>
        </w:rPr>
        <w:t xml:space="preserve"> also upregulated,</w:t>
      </w:r>
      <w:r w:rsidRPr="007B579F">
        <w:rPr>
          <w:rFonts w:ascii="Arial" w:hAnsi="Arial" w:cs="Arial"/>
        </w:rPr>
        <w:t xml:space="preserve"> is a human-specific transcript </w:t>
      </w:r>
      <w:r>
        <w:rPr>
          <w:rFonts w:ascii="Arial" w:hAnsi="Arial" w:cs="Arial"/>
        </w:rPr>
        <w:t>that is linked to</w:t>
      </w:r>
      <w:r w:rsidRPr="007B579F">
        <w:rPr>
          <w:rFonts w:ascii="Arial" w:hAnsi="Arial" w:cs="Arial"/>
        </w:rPr>
        <w:t xml:space="preserve"> brain development</w:t>
      </w:r>
      <w:r w:rsidR="00B77CCD" w:rsidRPr="00B77CCD">
        <w:rPr>
          <w:rFonts w:ascii="Arial" w:hAnsi="Arial" w:cs="Arial"/>
          <w:vertAlign w:val="superscript"/>
        </w:rPr>
        <w:t>1</w:t>
      </w:r>
      <w:r>
        <w:rPr>
          <w:rFonts w:ascii="Arial" w:hAnsi="Arial" w:cs="Arial"/>
        </w:rPr>
        <w:t>.  Of the 128 significantly DEGs</w:t>
      </w:r>
      <w:r w:rsidRPr="001675DF">
        <w:rPr>
          <w:rFonts w:ascii="Arial" w:hAnsi="Arial" w:cs="Arial"/>
        </w:rPr>
        <w:t xml:space="preserve"> </w:t>
      </w:r>
      <w:r>
        <w:rPr>
          <w:rFonts w:ascii="Arial" w:hAnsi="Arial" w:cs="Arial"/>
        </w:rPr>
        <w:t xml:space="preserve">between the RA donors and the controls, 52 were protein-coding.  </w:t>
      </w:r>
      <w:r w:rsidRPr="00C1689D">
        <w:rPr>
          <w:rFonts w:ascii="Arial" w:hAnsi="Arial" w:cs="Arial"/>
        </w:rPr>
        <w:t>PANTHER Analysis</w:t>
      </w:r>
      <w:r w:rsidR="00B77CCD" w:rsidRPr="00B77CCD">
        <w:rPr>
          <w:rFonts w:ascii="Arial" w:hAnsi="Arial" w:cs="Arial"/>
          <w:vertAlign w:val="superscript"/>
        </w:rPr>
        <w:t>3</w:t>
      </w:r>
      <w:r>
        <w:rPr>
          <w:rFonts w:ascii="Arial" w:hAnsi="Arial" w:cs="Arial"/>
        </w:rPr>
        <w:t xml:space="preserve"> was used to characterize these dysregulated protein-coding genes by B) protein class and C) molecular function.  Of the characterized protein classes, t</w:t>
      </w:r>
      <w:r w:rsidRPr="001675DF">
        <w:rPr>
          <w:rFonts w:ascii="Arial" w:hAnsi="Arial" w:cs="Arial"/>
        </w:rPr>
        <w:t>ransmembrane</w:t>
      </w:r>
      <w:r>
        <w:rPr>
          <w:rFonts w:ascii="Arial" w:hAnsi="Arial" w:cs="Arial"/>
        </w:rPr>
        <w:t xml:space="preserve"> s</w:t>
      </w:r>
      <w:r w:rsidRPr="001675DF">
        <w:rPr>
          <w:rFonts w:ascii="Arial" w:hAnsi="Arial" w:cs="Arial"/>
        </w:rPr>
        <w:t>ignal</w:t>
      </w:r>
      <w:r>
        <w:rPr>
          <w:rFonts w:ascii="Arial" w:hAnsi="Arial" w:cs="Arial"/>
        </w:rPr>
        <w:t>ing</w:t>
      </w:r>
      <w:r w:rsidRPr="001675DF">
        <w:rPr>
          <w:rFonts w:ascii="Arial" w:hAnsi="Arial" w:cs="Arial"/>
        </w:rPr>
        <w:t xml:space="preserve"> </w:t>
      </w:r>
      <w:r>
        <w:rPr>
          <w:rFonts w:ascii="Arial" w:hAnsi="Arial" w:cs="Arial"/>
        </w:rPr>
        <w:t>r</w:t>
      </w:r>
      <w:r w:rsidRPr="001675DF">
        <w:rPr>
          <w:rFonts w:ascii="Arial" w:hAnsi="Arial" w:cs="Arial"/>
        </w:rPr>
        <w:t>ecepto</w:t>
      </w:r>
      <w:r>
        <w:rPr>
          <w:rFonts w:ascii="Arial" w:hAnsi="Arial" w:cs="Arial"/>
        </w:rPr>
        <w:t xml:space="preserve">rs and intercellular signaling molecules together appear to be mostly affected with RA.  D) Overall, </w:t>
      </w:r>
      <w:r w:rsidRPr="00EA51DD">
        <w:rPr>
          <w:rFonts w:ascii="Arial" w:hAnsi="Arial" w:cs="Arial"/>
          <w:color w:val="000000" w:themeColor="text1"/>
        </w:rPr>
        <w:t xml:space="preserve">9 cell </w:t>
      </w:r>
      <w:r>
        <w:rPr>
          <w:rFonts w:ascii="Arial" w:hAnsi="Arial" w:cs="Arial"/>
          <w:color w:val="000000" w:themeColor="text1"/>
        </w:rPr>
        <w:t xml:space="preserve">surface </w:t>
      </w:r>
      <w:r w:rsidRPr="00EA51DD">
        <w:rPr>
          <w:rFonts w:ascii="Arial" w:hAnsi="Arial" w:cs="Arial"/>
          <w:color w:val="000000" w:themeColor="text1"/>
        </w:rPr>
        <w:t>receptors</w:t>
      </w:r>
      <w:r>
        <w:rPr>
          <w:rFonts w:ascii="Arial" w:hAnsi="Arial" w:cs="Arial"/>
          <w:color w:val="000000" w:themeColor="text1"/>
        </w:rPr>
        <w:t xml:space="preserve"> (~17% of the protein-coding transcripts) were </w:t>
      </w:r>
      <w:r w:rsidRPr="00EA51DD">
        <w:rPr>
          <w:rFonts w:ascii="Arial" w:hAnsi="Arial" w:cs="Arial"/>
          <w:color w:val="000000" w:themeColor="text1"/>
        </w:rPr>
        <w:t xml:space="preserve">differentially </w:t>
      </w:r>
      <w:r w:rsidRPr="006225E0">
        <w:rPr>
          <w:rFonts w:ascii="Arial" w:hAnsi="Arial" w:cs="Arial"/>
          <w:color w:val="000000" w:themeColor="text1"/>
        </w:rPr>
        <w:t>expressed</w:t>
      </w:r>
      <w:r>
        <w:rPr>
          <w:rFonts w:ascii="Arial" w:hAnsi="Arial" w:cs="Arial"/>
          <w:color w:val="000000" w:themeColor="text1"/>
        </w:rPr>
        <w:t xml:space="preserve"> between RA and the controls</w:t>
      </w:r>
      <w:r w:rsidRPr="006225E0">
        <w:rPr>
          <w:rFonts w:ascii="Arial" w:hAnsi="Arial" w:cs="Arial"/>
          <w:color w:val="000000" w:themeColor="text1"/>
        </w:rPr>
        <w:t xml:space="preserve">. </w:t>
      </w:r>
    </w:p>
    <w:p w14:paraId="04D0BE53" w14:textId="77777777" w:rsidR="00F766A5" w:rsidRDefault="00F766A5" w:rsidP="00F766A5">
      <w:pPr>
        <w:pStyle w:val="Default"/>
        <w:jc w:val="both"/>
        <w:rPr>
          <w:rFonts w:ascii="Arial" w:hAnsi="Arial" w:cs="Arial"/>
          <w:color w:val="000000" w:themeColor="text1"/>
        </w:rPr>
      </w:pPr>
    </w:p>
    <w:p w14:paraId="22C16AC1" w14:textId="77777777" w:rsidR="00F766A5" w:rsidRDefault="00F766A5" w:rsidP="00F766A5">
      <w:pPr>
        <w:pStyle w:val="Default"/>
        <w:numPr>
          <w:ilvl w:val="0"/>
          <w:numId w:val="2"/>
        </w:numPr>
        <w:jc w:val="both"/>
        <w:rPr>
          <w:rStyle w:val="docsum-journal-citation"/>
          <w:rFonts w:ascii="Arial" w:hAnsi="Arial" w:cs="Arial"/>
          <w:color w:val="000000" w:themeColor="text1"/>
          <w:shd w:val="clear" w:color="auto" w:fill="FFFFFF"/>
        </w:rPr>
      </w:pPr>
      <w:r w:rsidRPr="001C344B">
        <w:rPr>
          <w:rStyle w:val="docsum-authors"/>
          <w:rFonts w:ascii="Arial" w:hAnsi="Arial" w:cs="Arial"/>
          <w:color w:val="000000" w:themeColor="text1"/>
          <w:shd w:val="clear" w:color="auto" w:fill="FFFFFF"/>
        </w:rPr>
        <w:t xml:space="preserve">Garza R, </w:t>
      </w:r>
      <w:proofErr w:type="spellStart"/>
      <w:r w:rsidRPr="001C344B">
        <w:rPr>
          <w:rStyle w:val="docsum-authors"/>
          <w:rFonts w:ascii="Arial" w:hAnsi="Arial" w:cs="Arial"/>
          <w:color w:val="000000" w:themeColor="text1"/>
          <w:shd w:val="clear" w:color="auto" w:fill="FFFFFF"/>
        </w:rPr>
        <w:t>Atacho</w:t>
      </w:r>
      <w:proofErr w:type="spellEnd"/>
      <w:r w:rsidRPr="001C344B">
        <w:rPr>
          <w:rStyle w:val="docsum-authors"/>
          <w:rFonts w:ascii="Arial" w:hAnsi="Arial" w:cs="Arial"/>
          <w:color w:val="000000" w:themeColor="text1"/>
          <w:shd w:val="clear" w:color="auto" w:fill="FFFFFF"/>
        </w:rPr>
        <w:t xml:space="preserve"> DAM, </w:t>
      </w:r>
      <w:proofErr w:type="spellStart"/>
      <w:r w:rsidRPr="001C344B">
        <w:rPr>
          <w:rStyle w:val="docsum-authors"/>
          <w:rFonts w:ascii="Arial" w:hAnsi="Arial" w:cs="Arial"/>
          <w:color w:val="000000" w:themeColor="text1"/>
          <w:shd w:val="clear" w:color="auto" w:fill="FFFFFF"/>
        </w:rPr>
        <w:t>Adami</w:t>
      </w:r>
      <w:proofErr w:type="spellEnd"/>
      <w:r w:rsidRPr="001C344B">
        <w:rPr>
          <w:rStyle w:val="docsum-authors"/>
          <w:rFonts w:ascii="Arial" w:hAnsi="Arial" w:cs="Arial"/>
          <w:color w:val="000000" w:themeColor="text1"/>
          <w:shd w:val="clear" w:color="auto" w:fill="FFFFFF"/>
        </w:rPr>
        <w:t xml:space="preserve"> A, Gerdes P, Vinod M, Hsieh P, Karlsson O, Horvath V, Johansson PA, </w:t>
      </w:r>
      <w:proofErr w:type="spellStart"/>
      <w:r w:rsidRPr="001C344B">
        <w:rPr>
          <w:rStyle w:val="docsum-authors"/>
          <w:rFonts w:ascii="Arial" w:hAnsi="Arial" w:cs="Arial"/>
          <w:color w:val="000000" w:themeColor="text1"/>
          <w:shd w:val="clear" w:color="auto" w:fill="FFFFFF"/>
        </w:rPr>
        <w:t>Pandiloski</w:t>
      </w:r>
      <w:proofErr w:type="spellEnd"/>
      <w:r w:rsidRPr="001C344B">
        <w:rPr>
          <w:rStyle w:val="docsum-authors"/>
          <w:rFonts w:ascii="Arial" w:hAnsi="Arial" w:cs="Arial"/>
          <w:color w:val="000000" w:themeColor="text1"/>
          <w:shd w:val="clear" w:color="auto" w:fill="FFFFFF"/>
        </w:rPr>
        <w:t xml:space="preserve"> N, </w:t>
      </w:r>
      <w:proofErr w:type="spellStart"/>
      <w:r w:rsidRPr="001C344B">
        <w:rPr>
          <w:rStyle w:val="docsum-authors"/>
          <w:rFonts w:ascii="Arial" w:hAnsi="Arial" w:cs="Arial"/>
          <w:color w:val="000000" w:themeColor="text1"/>
          <w:shd w:val="clear" w:color="auto" w:fill="FFFFFF"/>
        </w:rPr>
        <w:t>Matas</w:t>
      </w:r>
      <w:proofErr w:type="spellEnd"/>
      <w:r w:rsidRPr="001C344B">
        <w:rPr>
          <w:rStyle w:val="docsum-authors"/>
          <w:rFonts w:ascii="Arial" w:hAnsi="Arial" w:cs="Arial"/>
          <w:color w:val="000000" w:themeColor="text1"/>
          <w:shd w:val="clear" w:color="auto" w:fill="FFFFFF"/>
        </w:rPr>
        <w:t xml:space="preserve">-Fuentes J, </w:t>
      </w:r>
      <w:proofErr w:type="spellStart"/>
      <w:r w:rsidRPr="001C344B">
        <w:rPr>
          <w:rStyle w:val="docsum-authors"/>
          <w:rFonts w:ascii="Arial" w:hAnsi="Arial" w:cs="Arial"/>
          <w:color w:val="000000" w:themeColor="text1"/>
          <w:shd w:val="clear" w:color="auto" w:fill="FFFFFF"/>
        </w:rPr>
        <w:t>Quaegebeur</w:t>
      </w:r>
      <w:proofErr w:type="spellEnd"/>
      <w:r w:rsidRPr="001C344B">
        <w:rPr>
          <w:rStyle w:val="docsum-authors"/>
          <w:rFonts w:ascii="Arial" w:hAnsi="Arial" w:cs="Arial"/>
          <w:color w:val="000000" w:themeColor="text1"/>
          <w:shd w:val="clear" w:color="auto" w:fill="FFFFFF"/>
        </w:rPr>
        <w:t xml:space="preserve"> A, </w:t>
      </w:r>
      <w:proofErr w:type="spellStart"/>
      <w:r w:rsidRPr="001C344B">
        <w:rPr>
          <w:rStyle w:val="docsum-authors"/>
          <w:rFonts w:ascii="Arial" w:hAnsi="Arial" w:cs="Arial"/>
          <w:color w:val="000000" w:themeColor="text1"/>
          <w:shd w:val="clear" w:color="auto" w:fill="FFFFFF"/>
        </w:rPr>
        <w:t>Kouli</w:t>
      </w:r>
      <w:proofErr w:type="spellEnd"/>
      <w:r w:rsidRPr="001C344B">
        <w:rPr>
          <w:rStyle w:val="docsum-authors"/>
          <w:rFonts w:ascii="Arial" w:hAnsi="Arial" w:cs="Arial"/>
          <w:color w:val="000000" w:themeColor="text1"/>
          <w:shd w:val="clear" w:color="auto" w:fill="FFFFFF"/>
        </w:rPr>
        <w:t xml:space="preserve"> A, Sharma Y, </w:t>
      </w:r>
      <w:proofErr w:type="spellStart"/>
      <w:r w:rsidRPr="001C344B">
        <w:rPr>
          <w:rStyle w:val="docsum-authors"/>
          <w:rFonts w:ascii="Arial" w:hAnsi="Arial" w:cs="Arial"/>
          <w:color w:val="000000" w:themeColor="text1"/>
          <w:shd w:val="clear" w:color="auto" w:fill="FFFFFF"/>
        </w:rPr>
        <w:t>Jönsson</w:t>
      </w:r>
      <w:proofErr w:type="spellEnd"/>
      <w:r w:rsidRPr="001C344B">
        <w:rPr>
          <w:rStyle w:val="docsum-authors"/>
          <w:rFonts w:ascii="Arial" w:hAnsi="Arial" w:cs="Arial"/>
          <w:color w:val="000000" w:themeColor="text1"/>
          <w:shd w:val="clear" w:color="auto" w:fill="FFFFFF"/>
        </w:rPr>
        <w:t xml:space="preserve"> ME, </w:t>
      </w:r>
      <w:proofErr w:type="spellStart"/>
      <w:r w:rsidRPr="001C344B">
        <w:rPr>
          <w:rStyle w:val="docsum-authors"/>
          <w:rFonts w:ascii="Arial" w:hAnsi="Arial" w:cs="Arial"/>
          <w:color w:val="000000" w:themeColor="text1"/>
          <w:shd w:val="clear" w:color="auto" w:fill="FFFFFF"/>
        </w:rPr>
        <w:t>Monni</w:t>
      </w:r>
      <w:proofErr w:type="spellEnd"/>
      <w:r w:rsidRPr="001C344B">
        <w:rPr>
          <w:rStyle w:val="docsum-authors"/>
          <w:rFonts w:ascii="Arial" w:hAnsi="Arial" w:cs="Arial"/>
          <w:color w:val="000000" w:themeColor="text1"/>
          <w:shd w:val="clear" w:color="auto" w:fill="FFFFFF"/>
        </w:rPr>
        <w:t xml:space="preserve"> E, Englund E, Eichler EE, Gale </w:t>
      </w:r>
      <w:proofErr w:type="spellStart"/>
      <w:r w:rsidRPr="001C344B">
        <w:rPr>
          <w:rStyle w:val="docsum-authors"/>
          <w:rFonts w:ascii="Arial" w:hAnsi="Arial" w:cs="Arial"/>
          <w:color w:val="000000" w:themeColor="text1"/>
          <w:shd w:val="clear" w:color="auto" w:fill="FFFFFF"/>
        </w:rPr>
        <w:t>Hammell</w:t>
      </w:r>
      <w:proofErr w:type="spellEnd"/>
      <w:r w:rsidRPr="001C344B">
        <w:rPr>
          <w:rStyle w:val="docsum-authors"/>
          <w:rFonts w:ascii="Arial" w:hAnsi="Arial" w:cs="Arial"/>
          <w:color w:val="000000" w:themeColor="text1"/>
          <w:shd w:val="clear" w:color="auto" w:fill="FFFFFF"/>
        </w:rPr>
        <w:t xml:space="preserve"> M, Barker RA, </w:t>
      </w:r>
      <w:proofErr w:type="spellStart"/>
      <w:r w:rsidRPr="001C344B">
        <w:rPr>
          <w:rStyle w:val="docsum-authors"/>
          <w:rFonts w:ascii="Arial" w:hAnsi="Arial" w:cs="Arial"/>
          <w:color w:val="000000" w:themeColor="text1"/>
          <w:shd w:val="clear" w:color="auto" w:fill="FFFFFF"/>
        </w:rPr>
        <w:t>Kokaia</w:t>
      </w:r>
      <w:proofErr w:type="spellEnd"/>
      <w:r w:rsidRPr="001C344B">
        <w:rPr>
          <w:rStyle w:val="docsum-authors"/>
          <w:rFonts w:ascii="Arial" w:hAnsi="Arial" w:cs="Arial"/>
          <w:color w:val="000000" w:themeColor="text1"/>
          <w:shd w:val="clear" w:color="auto" w:fill="FFFFFF"/>
        </w:rPr>
        <w:t xml:space="preserve"> Z, Douse CH, Jakobsson J</w:t>
      </w:r>
      <w:r w:rsidRPr="001C344B">
        <w:rPr>
          <w:rStyle w:val="docsum-journal-citation"/>
          <w:rFonts w:ascii="Arial" w:hAnsi="Arial" w:cs="Arial"/>
          <w:color w:val="000000" w:themeColor="text1"/>
          <w:shd w:val="clear" w:color="auto" w:fill="FFFFFF"/>
        </w:rPr>
        <w:t xml:space="preserve">. </w:t>
      </w:r>
      <w:r w:rsidRPr="001C344B">
        <w:rPr>
          <w:rFonts w:ascii="Arial" w:hAnsi="Arial" w:cs="Arial"/>
          <w:color w:val="000000" w:themeColor="text1"/>
        </w:rPr>
        <w:t xml:space="preserve">LINE-1 retrotransposons drive human neuronal transcriptome complexity and functional diversification. </w:t>
      </w:r>
      <w:r w:rsidRPr="001C344B">
        <w:rPr>
          <w:rStyle w:val="docsum-journal-citation"/>
          <w:rFonts w:ascii="Arial" w:hAnsi="Arial" w:cs="Arial"/>
          <w:color w:val="000000" w:themeColor="text1"/>
          <w:shd w:val="clear" w:color="auto" w:fill="FFFFFF"/>
        </w:rPr>
        <w:t>Sci Adv. 2023;9(44</w:t>
      </w:r>
      <w:proofErr w:type="gramStart"/>
      <w:r w:rsidRPr="001C344B">
        <w:rPr>
          <w:rStyle w:val="docsum-journal-citation"/>
          <w:rFonts w:ascii="Arial" w:hAnsi="Arial" w:cs="Arial"/>
          <w:color w:val="000000" w:themeColor="text1"/>
          <w:shd w:val="clear" w:color="auto" w:fill="FFFFFF"/>
        </w:rPr>
        <w:t>):eadh</w:t>
      </w:r>
      <w:proofErr w:type="gramEnd"/>
      <w:r w:rsidRPr="001C344B">
        <w:rPr>
          <w:rStyle w:val="docsum-journal-citation"/>
          <w:rFonts w:ascii="Arial" w:hAnsi="Arial" w:cs="Arial"/>
          <w:color w:val="000000" w:themeColor="text1"/>
          <w:shd w:val="clear" w:color="auto" w:fill="FFFFFF"/>
        </w:rPr>
        <w:t>9543. </w:t>
      </w:r>
    </w:p>
    <w:p w14:paraId="54708C07" w14:textId="77777777" w:rsidR="00F766A5" w:rsidRDefault="00F766A5" w:rsidP="00F766A5">
      <w:pPr>
        <w:pStyle w:val="Default"/>
        <w:ind w:left="720"/>
        <w:jc w:val="both"/>
        <w:rPr>
          <w:rStyle w:val="docsum-journal-citation"/>
          <w:rFonts w:ascii="Arial" w:hAnsi="Arial" w:cs="Arial"/>
          <w:color w:val="000000" w:themeColor="text1"/>
          <w:shd w:val="clear" w:color="auto" w:fill="FFFFFF"/>
        </w:rPr>
      </w:pPr>
    </w:p>
    <w:p w14:paraId="70EBF862" w14:textId="77777777" w:rsidR="00F766A5" w:rsidRPr="00824BE4" w:rsidRDefault="00F766A5" w:rsidP="00F766A5">
      <w:pPr>
        <w:pStyle w:val="Default"/>
        <w:numPr>
          <w:ilvl w:val="0"/>
          <w:numId w:val="2"/>
        </w:numPr>
        <w:jc w:val="both"/>
        <w:rPr>
          <w:rStyle w:val="docsum-journal-citation"/>
          <w:rFonts w:ascii="Arial" w:hAnsi="Arial" w:cs="Arial"/>
          <w:color w:val="000000" w:themeColor="text1"/>
        </w:rPr>
      </w:pPr>
      <w:r w:rsidRPr="001C344B">
        <w:rPr>
          <w:rStyle w:val="docsum-authors"/>
          <w:rFonts w:ascii="Arial" w:hAnsi="Arial" w:cs="Arial"/>
          <w:color w:val="000000" w:themeColor="text1"/>
          <w:shd w:val="clear" w:color="auto" w:fill="FFFFFF"/>
        </w:rPr>
        <w:t xml:space="preserve">Shi J, Zhou B, Tian Z. </w:t>
      </w:r>
      <w:r w:rsidRPr="001C344B">
        <w:rPr>
          <w:rFonts w:ascii="Arial" w:hAnsi="Arial" w:cs="Arial"/>
          <w:color w:val="000000" w:themeColor="text1"/>
        </w:rPr>
        <w:t xml:space="preserve">DOCK9 antisense RNA2 interacts with LIN28B to stabilize Wnt5a and boosts proliferation and migration of oxidized low </w:t>
      </w:r>
      <w:proofErr w:type="spellStart"/>
      <w:r w:rsidRPr="001C344B">
        <w:rPr>
          <w:rFonts w:ascii="Arial" w:hAnsi="Arial" w:cs="Arial"/>
          <w:color w:val="000000" w:themeColor="text1"/>
        </w:rPr>
        <w:t>densitylipoprotein</w:t>
      </w:r>
      <w:proofErr w:type="spellEnd"/>
      <w:r w:rsidRPr="001C344B">
        <w:rPr>
          <w:rFonts w:ascii="Arial" w:hAnsi="Arial" w:cs="Arial"/>
          <w:color w:val="000000" w:themeColor="text1"/>
        </w:rPr>
        <w:t xml:space="preserve">-induced vascular smooth muscle cells. </w:t>
      </w:r>
      <w:r w:rsidRPr="001C344B">
        <w:rPr>
          <w:rStyle w:val="docsum-journal-citation"/>
          <w:rFonts w:ascii="Arial" w:hAnsi="Arial" w:cs="Arial"/>
          <w:color w:val="000000" w:themeColor="text1"/>
          <w:shd w:val="clear" w:color="auto" w:fill="FFFFFF"/>
        </w:rPr>
        <w:t xml:space="preserve">Bioengineered. </w:t>
      </w:r>
      <w:r w:rsidRPr="001C344B">
        <w:rPr>
          <w:rStyle w:val="docsum-authors"/>
          <w:rFonts w:ascii="Arial" w:hAnsi="Arial" w:cs="Arial"/>
          <w:color w:val="000000" w:themeColor="text1"/>
          <w:shd w:val="clear" w:color="auto" w:fill="FFFFFF"/>
        </w:rPr>
        <w:t>2022;</w:t>
      </w:r>
      <w:r w:rsidRPr="001C344B">
        <w:rPr>
          <w:rStyle w:val="docsum-journal-citation"/>
          <w:rFonts w:ascii="Arial" w:hAnsi="Arial" w:cs="Arial"/>
          <w:color w:val="000000" w:themeColor="text1"/>
          <w:shd w:val="clear" w:color="auto" w:fill="FFFFFF"/>
        </w:rPr>
        <w:t>13(3):7564-7578.</w:t>
      </w:r>
    </w:p>
    <w:p w14:paraId="19806887" w14:textId="77777777" w:rsidR="00824BE4" w:rsidRDefault="00824BE4" w:rsidP="00824BE4">
      <w:pPr>
        <w:pStyle w:val="ListParagraph"/>
        <w:rPr>
          <w:rStyle w:val="docsum-journal-citation"/>
          <w:rFonts w:ascii="Arial" w:hAnsi="Arial" w:cs="Arial"/>
          <w:color w:val="000000" w:themeColor="text1"/>
        </w:rPr>
      </w:pPr>
    </w:p>
    <w:p w14:paraId="456D9F2D" w14:textId="3174F05A" w:rsidR="00824BE4" w:rsidRPr="00F766A5" w:rsidRDefault="00824BE4" w:rsidP="00F766A5">
      <w:pPr>
        <w:pStyle w:val="Default"/>
        <w:numPr>
          <w:ilvl w:val="0"/>
          <w:numId w:val="2"/>
        </w:numPr>
        <w:jc w:val="both"/>
        <w:rPr>
          <w:rStyle w:val="docsum-journal-citation"/>
          <w:rFonts w:ascii="Arial" w:hAnsi="Arial" w:cs="Arial"/>
          <w:color w:val="000000" w:themeColor="text1"/>
        </w:rPr>
      </w:pPr>
      <w:r w:rsidRPr="007240A0">
        <w:rPr>
          <w:rFonts w:ascii="Arial" w:hAnsi="Arial" w:cs="Arial"/>
          <w:color w:val="000000" w:themeColor="text1"/>
          <w:shd w:val="clear" w:color="auto" w:fill="FFFFFF"/>
        </w:rPr>
        <w:lastRenderedPageBreak/>
        <w:t xml:space="preserve">Thomas PD, Ebert D, </w:t>
      </w:r>
      <w:proofErr w:type="spellStart"/>
      <w:r w:rsidRPr="007240A0">
        <w:rPr>
          <w:rFonts w:ascii="Arial" w:hAnsi="Arial" w:cs="Arial"/>
          <w:color w:val="000000" w:themeColor="text1"/>
          <w:shd w:val="clear" w:color="auto" w:fill="FFFFFF"/>
        </w:rPr>
        <w:t>Muruganujan</w:t>
      </w:r>
      <w:proofErr w:type="spellEnd"/>
      <w:r w:rsidRPr="007240A0">
        <w:rPr>
          <w:rFonts w:ascii="Arial" w:hAnsi="Arial" w:cs="Arial"/>
          <w:color w:val="000000" w:themeColor="text1"/>
          <w:shd w:val="clear" w:color="auto" w:fill="FFFFFF"/>
        </w:rPr>
        <w:t xml:space="preserve"> A, </w:t>
      </w:r>
      <w:proofErr w:type="spellStart"/>
      <w:r w:rsidRPr="007240A0">
        <w:rPr>
          <w:rFonts w:ascii="Arial" w:hAnsi="Arial" w:cs="Arial"/>
          <w:color w:val="000000" w:themeColor="text1"/>
          <w:shd w:val="clear" w:color="auto" w:fill="FFFFFF"/>
        </w:rPr>
        <w:t>Mushayahama</w:t>
      </w:r>
      <w:proofErr w:type="spellEnd"/>
      <w:r w:rsidRPr="007240A0">
        <w:rPr>
          <w:rFonts w:ascii="Arial" w:hAnsi="Arial" w:cs="Arial"/>
          <w:color w:val="000000" w:themeColor="text1"/>
          <w:shd w:val="clear" w:color="auto" w:fill="FFFFFF"/>
        </w:rPr>
        <w:t xml:space="preserve"> T, </w:t>
      </w:r>
      <w:proofErr w:type="spellStart"/>
      <w:r w:rsidRPr="007240A0">
        <w:rPr>
          <w:rFonts w:ascii="Arial" w:hAnsi="Arial" w:cs="Arial"/>
          <w:color w:val="000000" w:themeColor="text1"/>
          <w:shd w:val="clear" w:color="auto" w:fill="FFFFFF"/>
        </w:rPr>
        <w:t>Albou</w:t>
      </w:r>
      <w:proofErr w:type="spellEnd"/>
      <w:r w:rsidRPr="007240A0">
        <w:rPr>
          <w:rFonts w:ascii="Arial" w:hAnsi="Arial" w:cs="Arial"/>
          <w:color w:val="000000" w:themeColor="text1"/>
          <w:shd w:val="clear" w:color="auto" w:fill="FFFFFF"/>
        </w:rPr>
        <w:t xml:space="preserve"> LP, Mi H. </w:t>
      </w:r>
      <w:r w:rsidRPr="007240A0">
        <w:rPr>
          <w:rFonts w:ascii="Arial" w:hAnsi="Arial" w:cs="Arial"/>
          <w:color w:val="000000" w:themeColor="text1"/>
        </w:rPr>
        <w:t xml:space="preserve">PANTHER: Making genome-scale phylogenetics accessible to all. </w:t>
      </w:r>
      <w:r w:rsidRPr="007240A0">
        <w:rPr>
          <w:rFonts w:ascii="Arial" w:hAnsi="Arial" w:cs="Arial"/>
          <w:color w:val="000000" w:themeColor="text1"/>
          <w:shd w:val="clear" w:color="auto" w:fill="FFFFFF"/>
        </w:rPr>
        <w:t>Protein Sci. 2022;31(1):8-22.</w:t>
      </w:r>
    </w:p>
    <w:p w14:paraId="5A5CAA99" w14:textId="77777777" w:rsidR="00F766A5" w:rsidRDefault="00F766A5" w:rsidP="00F766A5">
      <w:pPr>
        <w:pStyle w:val="Default"/>
        <w:ind w:left="720"/>
        <w:jc w:val="both"/>
        <w:rPr>
          <w:rStyle w:val="docsum-journal-citation"/>
          <w:rFonts w:ascii="Arial" w:hAnsi="Arial" w:cs="Arial"/>
          <w:color w:val="000000" w:themeColor="text1"/>
        </w:rPr>
      </w:pPr>
    </w:p>
    <w:p w14:paraId="5BB7A7CC" w14:textId="250FF9B9" w:rsidR="00F766A5" w:rsidRDefault="00F766A5" w:rsidP="00F766A5">
      <w:pPr>
        <w:pStyle w:val="Default"/>
        <w:numPr>
          <w:ilvl w:val="0"/>
          <w:numId w:val="2"/>
        </w:numPr>
        <w:jc w:val="both"/>
        <w:rPr>
          <w:rFonts w:ascii="Arial" w:hAnsi="Arial" w:cs="Arial"/>
          <w:color w:val="000000" w:themeColor="text1"/>
        </w:rPr>
      </w:pPr>
      <w:r w:rsidRPr="001C344B">
        <w:rPr>
          <w:rStyle w:val="docsum-authors"/>
          <w:rFonts w:ascii="Arial" w:hAnsi="Arial" w:cs="Arial"/>
          <w:color w:val="000000" w:themeColor="text1"/>
          <w:shd w:val="clear" w:color="auto" w:fill="FFFFFF"/>
        </w:rPr>
        <w:t xml:space="preserve">Wang CH, Shi HH, Chen LH, Li XL, Cao GL, Hu XF. </w:t>
      </w:r>
      <w:r w:rsidRPr="001C344B">
        <w:rPr>
          <w:rFonts w:ascii="Arial" w:hAnsi="Arial" w:cs="Arial"/>
          <w:color w:val="000000" w:themeColor="text1"/>
        </w:rPr>
        <w:t xml:space="preserve">Identification of Key </w:t>
      </w:r>
      <w:proofErr w:type="spellStart"/>
      <w:r w:rsidRPr="001C344B">
        <w:rPr>
          <w:rFonts w:ascii="Arial" w:hAnsi="Arial" w:cs="Arial"/>
          <w:color w:val="000000" w:themeColor="text1"/>
        </w:rPr>
        <w:t>lncRNAs</w:t>
      </w:r>
      <w:proofErr w:type="spellEnd"/>
      <w:r w:rsidRPr="001C344B">
        <w:rPr>
          <w:rFonts w:ascii="Arial" w:hAnsi="Arial" w:cs="Arial"/>
          <w:color w:val="000000" w:themeColor="text1"/>
        </w:rPr>
        <w:t xml:space="preserve"> Associated </w:t>
      </w:r>
      <w:proofErr w:type="gramStart"/>
      <w:r w:rsidRPr="001C344B">
        <w:rPr>
          <w:rFonts w:ascii="Arial" w:hAnsi="Arial" w:cs="Arial"/>
          <w:color w:val="000000" w:themeColor="text1"/>
        </w:rPr>
        <w:t>With</w:t>
      </w:r>
      <w:proofErr w:type="gramEnd"/>
      <w:r w:rsidRPr="001C344B">
        <w:rPr>
          <w:rFonts w:ascii="Arial" w:hAnsi="Arial" w:cs="Arial"/>
          <w:color w:val="000000" w:themeColor="text1"/>
        </w:rPr>
        <w:t xml:space="preserve"> Atherosclerosis Progression Based on Public Datasets. </w:t>
      </w:r>
      <w:r w:rsidRPr="001C344B">
        <w:rPr>
          <w:rStyle w:val="docsum-journal-citation"/>
          <w:rFonts w:ascii="Arial" w:hAnsi="Arial" w:cs="Arial"/>
          <w:color w:val="000000" w:themeColor="text1"/>
          <w:shd w:val="clear" w:color="auto" w:fill="FFFFFF"/>
        </w:rPr>
        <w:t xml:space="preserve">Front Genet. </w:t>
      </w:r>
      <w:proofErr w:type="gramStart"/>
      <w:r w:rsidRPr="001C344B">
        <w:rPr>
          <w:rStyle w:val="docsum-authors"/>
          <w:rFonts w:ascii="Arial" w:hAnsi="Arial" w:cs="Arial"/>
          <w:color w:val="000000" w:themeColor="text1"/>
          <w:shd w:val="clear" w:color="auto" w:fill="FFFFFF"/>
        </w:rPr>
        <w:t>2019;</w:t>
      </w:r>
      <w:r w:rsidRPr="001C344B">
        <w:rPr>
          <w:rStyle w:val="docsum-journal-citation"/>
          <w:rFonts w:ascii="Arial" w:hAnsi="Arial" w:cs="Arial"/>
          <w:color w:val="000000" w:themeColor="text1"/>
          <w:shd w:val="clear" w:color="auto" w:fill="FFFFFF"/>
        </w:rPr>
        <w:t>10:123</w:t>
      </w:r>
      <w:proofErr w:type="gramEnd"/>
    </w:p>
    <w:p w14:paraId="5E245478" w14:textId="77777777" w:rsidR="00F766A5" w:rsidRDefault="00F766A5" w:rsidP="00EB32C1">
      <w:pPr>
        <w:pStyle w:val="Default"/>
        <w:jc w:val="both"/>
        <w:rPr>
          <w:rFonts w:ascii="Arial" w:hAnsi="Arial" w:cs="Arial"/>
          <w:color w:val="000000" w:themeColor="text1"/>
        </w:rPr>
      </w:pPr>
    </w:p>
    <w:p w14:paraId="56CDC6EB" w14:textId="77777777" w:rsidR="00F766A5" w:rsidRDefault="00F766A5">
      <w:pPr>
        <w:rPr>
          <w:rFonts w:ascii="Arial" w:hAnsi="Arial" w:cs="Arial"/>
          <w:b/>
          <w:bCs/>
        </w:rPr>
      </w:pPr>
      <w:r>
        <w:rPr>
          <w:rFonts w:ascii="Arial" w:hAnsi="Arial" w:cs="Arial"/>
          <w:b/>
          <w:bCs/>
        </w:rPr>
        <w:br w:type="page"/>
      </w:r>
    </w:p>
    <w:p w14:paraId="74753C3A" w14:textId="2B7C336E" w:rsidR="00EB32C1" w:rsidRDefault="00EB32C1" w:rsidP="00EB32C1">
      <w:pPr>
        <w:rPr>
          <w:rFonts w:ascii="Arial" w:hAnsi="Arial" w:cs="Arial"/>
          <w:b/>
          <w:bCs/>
        </w:rPr>
      </w:pPr>
      <w:r w:rsidRPr="001C344B">
        <w:rPr>
          <w:rFonts w:ascii="Arial" w:hAnsi="Arial" w:cs="Arial"/>
          <w:b/>
          <w:bCs/>
        </w:rPr>
        <w:lastRenderedPageBreak/>
        <w:t>Supplemental Figure 2</w:t>
      </w:r>
    </w:p>
    <w:p w14:paraId="7AE66550" w14:textId="6EC4E025" w:rsidR="00F766A5" w:rsidRPr="001C344B" w:rsidRDefault="00F766A5" w:rsidP="00EB32C1">
      <w:pPr>
        <w:rPr>
          <w:rFonts w:ascii="Arial" w:hAnsi="Arial" w:cs="Arial"/>
          <w:b/>
          <w:bCs/>
        </w:rPr>
      </w:pPr>
      <w:r w:rsidRPr="00F766A5">
        <w:rPr>
          <w:rFonts w:ascii="Arial" w:hAnsi="Arial" w:cs="Arial"/>
          <w:b/>
          <w:bCs/>
          <w:noProof/>
        </w:rPr>
        <w:drawing>
          <wp:inline distT="0" distB="0" distL="0" distR="0" wp14:anchorId="4084B608" wp14:editId="7814F6C9">
            <wp:extent cx="5943600" cy="3343275"/>
            <wp:effectExtent l="0" t="0" r="0" b="0"/>
            <wp:docPr id="1946412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412874" name=""/>
                    <pic:cNvPicPr/>
                  </pic:nvPicPr>
                  <pic:blipFill>
                    <a:blip r:embed="rId8"/>
                    <a:stretch>
                      <a:fillRect/>
                    </a:stretch>
                  </pic:blipFill>
                  <pic:spPr>
                    <a:xfrm>
                      <a:off x="0" y="0"/>
                      <a:ext cx="5943600" cy="3343275"/>
                    </a:xfrm>
                    <a:prstGeom prst="rect">
                      <a:avLst/>
                    </a:prstGeom>
                  </pic:spPr>
                </pic:pic>
              </a:graphicData>
            </a:graphic>
          </wp:inline>
        </w:drawing>
      </w:r>
    </w:p>
    <w:p w14:paraId="509483DE" w14:textId="77777777" w:rsidR="00EB32C1" w:rsidRPr="001C344B" w:rsidRDefault="00EB32C1" w:rsidP="00EB32C1">
      <w:pPr>
        <w:pStyle w:val="Default"/>
        <w:rPr>
          <w:rFonts w:ascii="Helvetica" w:hAnsi="Helvetica" w:cs="Helvetica"/>
        </w:rPr>
      </w:pPr>
      <w:r w:rsidRPr="001C344B">
        <w:rPr>
          <w:rFonts w:ascii="Arial" w:hAnsi="Arial" w:cs="Arial"/>
          <w:bCs/>
        </w:rPr>
        <w:t>Evaluation of Neuronal Genes in RA donors. A) Heatmap of dysregulated genes that are characterized as neuronal (</w:t>
      </w:r>
      <w:r w:rsidRPr="001C344B">
        <w:rPr>
          <w:rFonts w:ascii="Arial" w:hAnsi="Arial" w:cs="Arial"/>
        </w:rPr>
        <w:t xml:space="preserve">GO:0097458).  B) Semi-quantitative scoring of strongly expressing </w:t>
      </w:r>
      <w:r w:rsidRPr="001C344B">
        <w:rPr>
          <w:rFonts w:ascii="Arial" w:hAnsi="Arial" w:cs="Arial"/>
          <w:i/>
          <w:iCs/>
          <w:color w:val="000000" w:themeColor="text1"/>
        </w:rPr>
        <w:t>SLC17A7</w:t>
      </w:r>
      <w:r w:rsidRPr="001C344B">
        <w:rPr>
          <w:rFonts w:ascii="Arial" w:hAnsi="Arial" w:cs="Arial"/>
          <w:color w:val="000000" w:themeColor="text1"/>
        </w:rPr>
        <w:t xml:space="preserve"> </w:t>
      </w:r>
      <w:r w:rsidRPr="001C344B">
        <w:rPr>
          <w:rFonts w:ascii="Arial" w:hAnsi="Arial" w:cs="Arial"/>
        </w:rPr>
        <w:t xml:space="preserve">cells (&gt;15 dots/neuron).  </w:t>
      </w:r>
    </w:p>
    <w:p w14:paraId="6C93ACCB" w14:textId="77777777" w:rsidR="00EB32C1" w:rsidRPr="001C344B" w:rsidRDefault="00EB32C1" w:rsidP="00EB32C1">
      <w:pPr>
        <w:rPr>
          <w:rFonts w:ascii="Arial" w:hAnsi="Arial" w:cs="Arial"/>
          <w:bCs/>
        </w:rPr>
      </w:pPr>
    </w:p>
    <w:p w14:paraId="2432C236" w14:textId="77777777" w:rsidR="00F766A5" w:rsidRDefault="00F766A5">
      <w:pPr>
        <w:rPr>
          <w:rFonts w:ascii="Arial" w:hAnsi="Arial" w:cs="Arial"/>
          <w:b/>
          <w:bCs/>
        </w:rPr>
      </w:pPr>
      <w:r>
        <w:rPr>
          <w:rFonts w:ascii="Arial" w:hAnsi="Arial" w:cs="Arial"/>
          <w:b/>
          <w:bCs/>
        </w:rPr>
        <w:br w:type="page"/>
      </w:r>
    </w:p>
    <w:p w14:paraId="7858DD15" w14:textId="11D7F084" w:rsidR="00EB32C1" w:rsidRDefault="00EB32C1" w:rsidP="00EB32C1">
      <w:pPr>
        <w:rPr>
          <w:rFonts w:ascii="Arial" w:hAnsi="Arial" w:cs="Arial"/>
          <w:b/>
          <w:bCs/>
        </w:rPr>
      </w:pPr>
      <w:r w:rsidRPr="001C344B">
        <w:rPr>
          <w:rFonts w:ascii="Arial" w:hAnsi="Arial" w:cs="Arial"/>
          <w:b/>
          <w:bCs/>
        </w:rPr>
        <w:lastRenderedPageBreak/>
        <w:t>Supplemental Figure 3</w:t>
      </w:r>
    </w:p>
    <w:p w14:paraId="2ADD1B01" w14:textId="4D45F629" w:rsidR="00F766A5" w:rsidRPr="001C344B" w:rsidRDefault="00F766A5" w:rsidP="00EB32C1">
      <w:pPr>
        <w:rPr>
          <w:rFonts w:ascii="Arial" w:hAnsi="Arial" w:cs="Arial"/>
          <w:b/>
          <w:bCs/>
        </w:rPr>
      </w:pPr>
      <w:r w:rsidRPr="00F766A5">
        <w:rPr>
          <w:rFonts w:ascii="Arial" w:hAnsi="Arial" w:cs="Arial"/>
          <w:b/>
          <w:bCs/>
          <w:noProof/>
        </w:rPr>
        <w:drawing>
          <wp:inline distT="0" distB="0" distL="0" distR="0" wp14:anchorId="1001632E" wp14:editId="0D4901EB">
            <wp:extent cx="5943600" cy="3343275"/>
            <wp:effectExtent l="0" t="0" r="0" b="0"/>
            <wp:docPr id="2139058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58144" name=""/>
                    <pic:cNvPicPr/>
                  </pic:nvPicPr>
                  <pic:blipFill>
                    <a:blip r:embed="rId9"/>
                    <a:stretch>
                      <a:fillRect/>
                    </a:stretch>
                  </pic:blipFill>
                  <pic:spPr>
                    <a:xfrm>
                      <a:off x="0" y="0"/>
                      <a:ext cx="5943600" cy="3343275"/>
                    </a:xfrm>
                    <a:prstGeom prst="rect">
                      <a:avLst/>
                    </a:prstGeom>
                  </pic:spPr>
                </pic:pic>
              </a:graphicData>
            </a:graphic>
          </wp:inline>
        </w:drawing>
      </w:r>
    </w:p>
    <w:p w14:paraId="042659DB" w14:textId="77777777" w:rsidR="00EB32C1" w:rsidRPr="001C344B" w:rsidRDefault="00EB32C1" w:rsidP="00EB32C1">
      <w:pPr>
        <w:jc w:val="both"/>
        <w:rPr>
          <w:rFonts w:ascii="Arial" w:hAnsi="Arial" w:cs="Arial"/>
          <w:color w:val="000000"/>
        </w:rPr>
      </w:pPr>
      <w:r w:rsidRPr="001C344B">
        <w:rPr>
          <w:rFonts w:ascii="Arial" w:hAnsi="Arial" w:cs="Arial"/>
          <w:bCs/>
        </w:rPr>
        <w:t>RNA-seq analysis of peripheral blood mononuclear cells (PBMCs) from patients with RA: A) 8 DEGS were common between the bulk sequencing performed on the DRGs and the PBMCs, of which only 3 were dysregulated in the same direction (</w:t>
      </w:r>
      <w:r w:rsidRPr="001C344B">
        <w:rPr>
          <w:rFonts w:ascii="Arial" w:hAnsi="Arial" w:cs="Arial"/>
          <w:i/>
          <w:iCs/>
          <w:color w:val="212121"/>
        </w:rPr>
        <w:t xml:space="preserve">IGLV1-40, </w:t>
      </w:r>
      <w:r w:rsidRPr="001C344B">
        <w:rPr>
          <w:rFonts w:ascii="Arial" w:hAnsi="Arial" w:cs="Arial"/>
          <w:i/>
          <w:iCs/>
          <w:color w:val="202124"/>
          <w:shd w:val="clear" w:color="auto" w:fill="FFFFFF"/>
        </w:rPr>
        <w:t>SNX15, and SEC62</w:t>
      </w:r>
      <w:r w:rsidRPr="001C344B">
        <w:rPr>
          <w:rFonts w:ascii="Arial" w:hAnsi="Arial" w:cs="Arial"/>
          <w:bCs/>
        </w:rPr>
        <w:t>).  B) Nonetheless, both datasets show the overall upregulation in immunoglobulin genes.  The heatmap shows genes primarily linked with immunoglobulin complexes (GO:0019814).  C) Heatmap with predominately upregulated immune response genes (</w:t>
      </w:r>
      <w:r w:rsidRPr="001C344B">
        <w:rPr>
          <w:rFonts w:ascii="Arial" w:hAnsi="Arial" w:cs="Arial"/>
          <w:color w:val="000000"/>
        </w:rPr>
        <w:t xml:space="preserve">GO:0006955) in the PBMCs of patients with RA. </w:t>
      </w:r>
    </w:p>
    <w:p w14:paraId="4E51D756" w14:textId="77777777" w:rsidR="00EB32C1" w:rsidRPr="001C344B" w:rsidRDefault="00EB32C1" w:rsidP="00EB32C1">
      <w:pPr>
        <w:jc w:val="both"/>
        <w:rPr>
          <w:rFonts w:ascii="Arial" w:hAnsi="Arial" w:cs="Arial"/>
          <w:color w:val="000000"/>
        </w:rPr>
      </w:pPr>
    </w:p>
    <w:p w14:paraId="5718AE79" w14:textId="77777777" w:rsidR="00F766A5" w:rsidRDefault="00F766A5">
      <w:pPr>
        <w:rPr>
          <w:rFonts w:ascii="Arial" w:hAnsi="Arial" w:cs="Arial"/>
          <w:b/>
          <w:bCs/>
        </w:rPr>
      </w:pPr>
      <w:r>
        <w:rPr>
          <w:rFonts w:ascii="Arial" w:hAnsi="Arial" w:cs="Arial"/>
          <w:b/>
          <w:bCs/>
        </w:rPr>
        <w:br w:type="page"/>
      </w:r>
    </w:p>
    <w:p w14:paraId="34BEE199" w14:textId="3EC2ED5C" w:rsidR="00EB32C1" w:rsidRDefault="00EB32C1" w:rsidP="00EB32C1">
      <w:pPr>
        <w:rPr>
          <w:rFonts w:ascii="Arial" w:hAnsi="Arial" w:cs="Arial"/>
          <w:b/>
          <w:bCs/>
        </w:rPr>
      </w:pPr>
      <w:r>
        <w:rPr>
          <w:rFonts w:ascii="Arial" w:hAnsi="Arial" w:cs="Arial"/>
          <w:b/>
          <w:bCs/>
        </w:rPr>
        <w:lastRenderedPageBreak/>
        <w:t xml:space="preserve">Supplemental </w:t>
      </w:r>
      <w:r w:rsidRPr="00E62DFC">
        <w:rPr>
          <w:rFonts w:ascii="Arial" w:hAnsi="Arial" w:cs="Arial"/>
          <w:b/>
          <w:bCs/>
        </w:rPr>
        <w:t xml:space="preserve">Figure </w:t>
      </w:r>
      <w:r>
        <w:rPr>
          <w:rFonts w:ascii="Arial" w:hAnsi="Arial" w:cs="Arial"/>
          <w:b/>
          <w:bCs/>
        </w:rPr>
        <w:t>4</w:t>
      </w:r>
    </w:p>
    <w:p w14:paraId="7D9EB898" w14:textId="277FE5B8" w:rsidR="00F766A5" w:rsidRDefault="00F766A5" w:rsidP="00EB32C1">
      <w:pPr>
        <w:rPr>
          <w:rFonts w:ascii="Arial" w:hAnsi="Arial" w:cs="Arial"/>
          <w:b/>
          <w:bCs/>
        </w:rPr>
      </w:pPr>
      <w:r w:rsidRPr="00F766A5">
        <w:rPr>
          <w:rFonts w:ascii="Arial" w:hAnsi="Arial" w:cs="Arial"/>
          <w:b/>
          <w:bCs/>
          <w:noProof/>
        </w:rPr>
        <w:drawing>
          <wp:inline distT="0" distB="0" distL="0" distR="0" wp14:anchorId="709C816F" wp14:editId="346BB359">
            <wp:extent cx="5943600" cy="3343275"/>
            <wp:effectExtent l="0" t="0" r="0" b="0"/>
            <wp:docPr id="115994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94218" name=""/>
                    <pic:cNvPicPr/>
                  </pic:nvPicPr>
                  <pic:blipFill>
                    <a:blip r:embed="rId10"/>
                    <a:stretch>
                      <a:fillRect/>
                    </a:stretch>
                  </pic:blipFill>
                  <pic:spPr>
                    <a:xfrm>
                      <a:off x="0" y="0"/>
                      <a:ext cx="5943600" cy="3343275"/>
                    </a:xfrm>
                    <a:prstGeom prst="rect">
                      <a:avLst/>
                    </a:prstGeom>
                  </pic:spPr>
                </pic:pic>
              </a:graphicData>
            </a:graphic>
          </wp:inline>
        </w:drawing>
      </w:r>
    </w:p>
    <w:p w14:paraId="19E17EE1" w14:textId="77777777" w:rsidR="00EB32C1" w:rsidRPr="00915967" w:rsidRDefault="00EB32C1" w:rsidP="00EB32C1">
      <w:pPr>
        <w:jc w:val="both"/>
        <w:rPr>
          <w:rFonts w:ascii="Arial" w:hAnsi="Arial" w:cs="Arial"/>
          <w:bCs/>
        </w:rPr>
      </w:pPr>
      <w:r>
        <w:rPr>
          <w:rFonts w:ascii="Arial" w:hAnsi="Arial" w:cs="Arial"/>
          <w:bCs/>
        </w:rPr>
        <w:t xml:space="preserve">Characterization of PBMC RNA-seq data through </w:t>
      </w:r>
      <w:proofErr w:type="spellStart"/>
      <w:r w:rsidRPr="00915967">
        <w:rPr>
          <w:rFonts w:ascii="Arial" w:hAnsi="Arial" w:cs="Arial"/>
          <w:bCs/>
        </w:rPr>
        <w:t>DisGeNET</w:t>
      </w:r>
      <w:proofErr w:type="spellEnd"/>
      <w:r>
        <w:rPr>
          <w:rFonts w:ascii="Arial" w:hAnsi="Arial" w:cs="Arial"/>
          <w:bCs/>
        </w:rPr>
        <w:t>: Heatmaps of genes linked with A) autoimmune diseases (</w:t>
      </w:r>
      <w:r w:rsidRPr="00915967">
        <w:rPr>
          <w:rFonts w:ascii="Arial" w:hAnsi="Arial" w:cs="Arial"/>
          <w:bCs/>
        </w:rPr>
        <w:t>C0004364</w:t>
      </w:r>
      <w:r>
        <w:rPr>
          <w:rFonts w:ascii="Arial" w:hAnsi="Arial" w:cs="Arial"/>
          <w:bCs/>
        </w:rPr>
        <w:t>), B) pain (</w:t>
      </w:r>
      <w:r w:rsidRPr="00915967">
        <w:rPr>
          <w:rFonts w:ascii="Arial" w:hAnsi="Arial" w:cs="Arial"/>
          <w:bCs/>
        </w:rPr>
        <w:t>C0030193</w:t>
      </w:r>
      <w:r>
        <w:rPr>
          <w:rFonts w:ascii="Arial" w:hAnsi="Arial" w:cs="Arial"/>
          <w:bCs/>
        </w:rPr>
        <w:t>), and C) a</w:t>
      </w:r>
      <w:r w:rsidRPr="00915967">
        <w:rPr>
          <w:rFonts w:ascii="Arial" w:hAnsi="Arial" w:cs="Arial"/>
          <w:bCs/>
        </w:rPr>
        <w:t>rthritis</w:t>
      </w:r>
      <w:r>
        <w:rPr>
          <w:rFonts w:ascii="Arial" w:hAnsi="Arial" w:cs="Arial"/>
          <w:bCs/>
        </w:rPr>
        <w:t xml:space="preserve"> (</w:t>
      </w:r>
      <w:r w:rsidRPr="00915967">
        <w:rPr>
          <w:rFonts w:ascii="Arial" w:hAnsi="Arial" w:cs="Arial"/>
          <w:bCs/>
        </w:rPr>
        <w:t>C0003864</w:t>
      </w:r>
      <w:r>
        <w:rPr>
          <w:rFonts w:ascii="Arial" w:hAnsi="Arial" w:cs="Arial"/>
          <w:bCs/>
        </w:rPr>
        <w:t xml:space="preserve">).  Although upregulated inflammatory mediator signaling is a shared feature to these diseases, only about 12.7% of the selected </w:t>
      </w:r>
      <w:proofErr w:type="spellStart"/>
      <w:r w:rsidRPr="00915967">
        <w:rPr>
          <w:rFonts w:ascii="Arial" w:hAnsi="Arial" w:cs="Arial"/>
          <w:bCs/>
        </w:rPr>
        <w:t>DisGeNET</w:t>
      </w:r>
      <w:proofErr w:type="spellEnd"/>
      <w:r>
        <w:rPr>
          <w:rFonts w:ascii="Arial" w:hAnsi="Arial" w:cs="Arial"/>
          <w:bCs/>
        </w:rPr>
        <w:t xml:space="preserve"> genes (17 out of 134) were common to all 3 conditions.  </w:t>
      </w:r>
    </w:p>
    <w:p w14:paraId="7ACD3E79" w14:textId="77777777" w:rsidR="00EB32C1" w:rsidRDefault="00EB32C1" w:rsidP="00EB32C1">
      <w:pPr>
        <w:jc w:val="both"/>
        <w:rPr>
          <w:rFonts w:ascii="Arial" w:hAnsi="Arial" w:cs="Arial"/>
          <w:color w:val="000000"/>
        </w:rPr>
      </w:pPr>
    </w:p>
    <w:p w14:paraId="255BC8D2" w14:textId="77777777" w:rsidR="00F766A5" w:rsidRDefault="00F766A5" w:rsidP="00EB32C1">
      <w:pPr>
        <w:rPr>
          <w:rFonts w:ascii="Arial" w:hAnsi="Arial" w:cs="Arial"/>
          <w:b/>
          <w:bCs/>
        </w:rPr>
      </w:pPr>
    </w:p>
    <w:p w14:paraId="5B358D83" w14:textId="77777777" w:rsidR="00F766A5" w:rsidRDefault="00F766A5">
      <w:pPr>
        <w:rPr>
          <w:rFonts w:ascii="Arial" w:hAnsi="Arial" w:cs="Arial"/>
          <w:b/>
          <w:bCs/>
        </w:rPr>
      </w:pPr>
      <w:r>
        <w:rPr>
          <w:rFonts w:ascii="Arial" w:hAnsi="Arial" w:cs="Arial"/>
          <w:b/>
          <w:bCs/>
        </w:rPr>
        <w:br w:type="page"/>
      </w:r>
    </w:p>
    <w:p w14:paraId="2EE2A5C3" w14:textId="4D33E719" w:rsidR="00EB32C1" w:rsidRDefault="00EB32C1" w:rsidP="00EB32C1">
      <w:pPr>
        <w:rPr>
          <w:rFonts w:ascii="Arial" w:hAnsi="Arial" w:cs="Arial"/>
          <w:b/>
          <w:bCs/>
        </w:rPr>
      </w:pPr>
      <w:r>
        <w:rPr>
          <w:rFonts w:ascii="Arial" w:hAnsi="Arial" w:cs="Arial"/>
          <w:b/>
          <w:bCs/>
        </w:rPr>
        <w:lastRenderedPageBreak/>
        <w:t xml:space="preserve">Supplemental </w:t>
      </w:r>
      <w:r w:rsidRPr="00E62DFC">
        <w:rPr>
          <w:rFonts w:ascii="Arial" w:hAnsi="Arial" w:cs="Arial"/>
          <w:b/>
          <w:bCs/>
        </w:rPr>
        <w:t xml:space="preserve">Figure </w:t>
      </w:r>
      <w:r>
        <w:rPr>
          <w:rFonts w:ascii="Arial" w:hAnsi="Arial" w:cs="Arial"/>
          <w:b/>
          <w:bCs/>
        </w:rPr>
        <w:t>5</w:t>
      </w:r>
    </w:p>
    <w:p w14:paraId="21874F2E" w14:textId="38A40CDB" w:rsidR="00F766A5" w:rsidRDefault="00F766A5" w:rsidP="00EB32C1">
      <w:pPr>
        <w:rPr>
          <w:rFonts w:ascii="Arial" w:hAnsi="Arial" w:cs="Arial"/>
          <w:b/>
          <w:bCs/>
        </w:rPr>
      </w:pPr>
      <w:r w:rsidRPr="00F766A5">
        <w:rPr>
          <w:rFonts w:ascii="Arial" w:hAnsi="Arial" w:cs="Arial"/>
          <w:b/>
          <w:bCs/>
          <w:noProof/>
        </w:rPr>
        <w:drawing>
          <wp:inline distT="0" distB="0" distL="0" distR="0" wp14:anchorId="088E0CA5" wp14:editId="40FD46CD">
            <wp:extent cx="5943600" cy="3343275"/>
            <wp:effectExtent l="0" t="0" r="0" b="0"/>
            <wp:docPr id="200880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80160" name=""/>
                    <pic:cNvPicPr/>
                  </pic:nvPicPr>
                  <pic:blipFill>
                    <a:blip r:embed="rId11"/>
                    <a:stretch>
                      <a:fillRect/>
                    </a:stretch>
                  </pic:blipFill>
                  <pic:spPr>
                    <a:xfrm>
                      <a:off x="0" y="0"/>
                      <a:ext cx="5943600" cy="3343275"/>
                    </a:xfrm>
                    <a:prstGeom prst="rect">
                      <a:avLst/>
                    </a:prstGeom>
                  </pic:spPr>
                </pic:pic>
              </a:graphicData>
            </a:graphic>
          </wp:inline>
        </w:drawing>
      </w:r>
    </w:p>
    <w:p w14:paraId="47FE02C8" w14:textId="77777777" w:rsidR="00EB32C1" w:rsidRPr="00473654" w:rsidRDefault="00EB32C1" w:rsidP="00EB32C1">
      <w:pPr>
        <w:jc w:val="both"/>
        <w:rPr>
          <w:rFonts w:ascii="Arial" w:hAnsi="Arial" w:cs="Arial"/>
          <w:b/>
          <w:bCs/>
          <w:color w:val="000000" w:themeColor="text1"/>
        </w:rPr>
      </w:pPr>
      <w:r>
        <w:rPr>
          <w:rFonts w:ascii="Arial" w:hAnsi="Arial" w:cs="Arial"/>
          <w:bCs/>
        </w:rPr>
        <w:t>Overlap genes in both diabetic painful neuropathy (DPN) and RA:  10 gene are dysregulated in both DPN and RA, of which 5 are immunoglobulin related genes (</w:t>
      </w:r>
      <w:r w:rsidRPr="00857B70">
        <w:rPr>
          <w:rFonts w:ascii="Arial" w:hAnsi="Arial" w:cs="Arial"/>
          <w:bCs/>
          <w:i/>
          <w:iCs/>
        </w:rPr>
        <w:t>IGHG2</w:t>
      </w:r>
      <w:r>
        <w:rPr>
          <w:rFonts w:ascii="Arial" w:hAnsi="Arial" w:cs="Arial"/>
          <w:bCs/>
        </w:rPr>
        <w:t xml:space="preserve">, </w:t>
      </w:r>
      <w:r w:rsidRPr="00857B70">
        <w:rPr>
          <w:rFonts w:ascii="Arial" w:hAnsi="Arial" w:cs="Arial"/>
          <w:bCs/>
          <w:i/>
          <w:iCs/>
        </w:rPr>
        <w:t>IGHG3</w:t>
      </w:r>
      <w:r>
        <w:rPr>
          <w:rFonts w:ascii="Arial" w:hAnsi="Arial" w:cs="Arial"/>
          <w:bCs/>
        </w:rPr>
        <w:t xml:space="preserve">, </w:t>
      </w:r>
      <w:r w:rsidRPr="00857B70">
        <w:rPr>
          <w:rFonts w:ascii="Arial" w:hAnsi="Arial" w:cs="Arial"/>
          <w:bCs/>
          <w:i/>
          <w:iCs/>
        </w:rPr>
        <w:t>IGLC2</w:t>
      </w:r>
      <w:r>
        <w:rPr>
          <w:rFonts w:ascii="Arial" w:hAnsi="Arial" w:cs="Arial"/>
          <w:bCs/>
        </w:rPr>
        <w:t xml:space="preserve">, and </w:t>
      </w:r>
      <w:r w:rsidRPr="00857B70">
        <w:rPr>
          <w:rFonts w:ascii="Arial" w:hAnsi="Arial" w:cs="Arial"/>
          <w:bCs/>
          <w:i/>
          <w:iCs/>
        </w:rPr>
        <w:t>IGKV1-33</w:t>
      </w:r>
      <w:r>
        <w:rPr>
          <w:rFonts w:ascii="Arial" w:hAnsi="Arial" w:cs="Arial"/>
          <w:bCs/>
        </w:rPr>
        <w:t xml:space="preserve">, with </w:t>
      </w:r>
      <w:r w:rsidRPr="00857B70">
        <w:rPr>
          <w:rFonts w:ascii="Arial" w:hAnsi="Arial" w:cs="Arial"/>
          <w:bCs/>
          <w:i/>
          <w:iCs/>
        </w:rPr>
        <w:t>IGHGP</w:t>
      </w:r>
      <w:r>
        <w:rPr>
          <w:rFonts w:ascii="Arial" w:hAnsi="Arial" w:cs="Arial"/>
          <w:bCs/>
        </w:rPr>
        <w:t xml:space="preserve"> being a pseudogene).  </w:t>
      </w:r>
      <w:r w:rsidRPr="00857B70">
        <w:rPr>
          <w:rFonts w:ascii="Arial" w:hAnsi="Arial" w:cs="Arial"/>
          <w:bCs/>
          <w:i/>
          <w:iCs/>
        </w:rPr>
        <w:t>CRYGN</w:t>
      </w:r>
      <w:r>
        <w:rPr>
          <w:rFonts w:ascii="Arial" w:hAnsi="Arial" w:cs="Arial"/>
          <w:bCs/>
        </w:rPr>
        <w:t xml:space="preserve"> is upregulated in RA while downregulated in DPN, but </w:t>
      </w:r>
      <w:r w:rsidRPr="00857B70">
        <w:rPr>
          <w:rFonts w:ascii="Arial" w:hAnsi="Arial" w:cs="Arial"/>
          <w:bCs/>
          <w:i/>
          <w:iCs/>
        </w:rPr>
        <w:t>G6PC2</w:t>
      </w:r>
      <w:r>
        <w:rPr>
          <w:rFonts w:ascii="Arial" w:hAnsi="Arial" w:cs="Arial"/>
          <w:bCs/>
        </w:rPr>
        <w:t xml:space="preserve">, </w:t>
      </w:r>
      <w:r w:rsidRPr="00857B70">
        <w:rPr>
          <w:rFonts w:ascii="Arial" w:hAnsi="Arial" w:cs="Arial"/>
          <w:bCs/>
          <w:i/>
          <w:iCs/>
        </w:rPr>
        <w:t>HAP1</w:t>
      </w:r>
      <w:r>
        <w:rPr>
          <w:rFonts w:ascii="Arial" w:hAnsi="Arial" w:cs="Arial"/>
          <w:bCs/>
        </w:rPr>
        <w:t xml:space="preserve">, </w:t>
      </w:r>
      <w:r w:rsidRPr="00857B70">
        <w:rPr>
          <w:rFonts w:ascii="Arial" w:hAnsi="Arial" w:cs="Arial"/>
          <w:bCs/>
          <w:i/>
          <w:iCs/>
        </w:rPr>
        <w:t>KCNJ8</w:t>
      </w:r>
      <w:r>
        <w:rPr>
          <w:rFonts w:ascii="Arial" w:hAnsi="Arial" w:cs="Arial"/>
          <w:bCs/>
        </w:rPr>
        <w:t xml:space="preserve">, and </w:t>
      </w:r>
      <w:r w:rsidRPr="00857B70">
        <w:rPr>
          <w:rFonts w:ascii="Arial" w:hAnsi="Arial" w:cs="Arial"/>
          <w:bCs/>
          <w:i/>
          <w:iCs/>
        </w:rPr>
        <w:t>TRIM17</w:t>
      </w:r>
      <w:r>
        <w:rPr>
          <w:rFonts w:ascii="Arial" w:hAnsi="Arial" w:cs="Arial"/>
          <w:bCs/>
        </w:rPr>
        <w:t xml:space="preserve"> show fold changes in the same direction in both chronic pain disorders.  A) Table with base mean, log2 fold change, and p adjusted value.  B) Heatmap of RA donors and corresponding controls and C) heatmap of DPN donors with data from Hall et. al. 2022.  As seen in the heatmaps, there may be gender differences related to dysregulated gene expression within the chronic pain donors.</w:t>
      </w:r>
    </w:p>
    <w:p w14:paraId="48661749" w14:textId="77777777" w:rsidR="002A6264" w:rsidRDefault="002A6264"/>
    <w:sectPr w:rsidR="002A6264" w:rsidSect="009C2FB9">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00EE0" w14:textId="77777777" w:rsidR="009C2FB9" w:rsidRDefault="009C2FB9">
      <w:r>
        <w:separator/>
      </w:r>
    </w:p>
  </w:endnote>
  <w:endnote w:type="continuationSeparator" w:id="0">
    <w:p w14:paraId="2DC48B3B" w14:textId="77777777" w:rsidR="009C2FB9" w:rsidRDefault="009C2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Helvetica">
    <w:altName w:val="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D7D6F" w14:textId="77777777" w:rsidR="002A6264" w:rsidRPr="00295AC2" w:rsidRDefault="00000000">
    <w:pPr>
      <w:pStyle w:val="Footer"/>
      <w:tabs>
        <w:tab w:val="clear" w:pos="4680"/>
        <w:tab w:val="clear" w:pos="9360"/>
      </w:tabs>
      <w:jc w:val="center"/>
      <w:rPr>
        <w:rFonts w:ascii="Arial" w:hAnsi="Arial" w:cs="Arial"/>
        <w:caps/>
        <w:noProof/>
        <w:color w:val="BFBFBF" w:themeColor="background1" w:themeShade="BF"/>
      </w:rPr>
    </w:pPr>
    <w:r w:rsidRPr="00295AC2">
      <w:rPr>
        <w:rFonts w:ascii="Arial" w:hAnsi="Arial" w:cs="Arial"/>
        <w:caps/>
        <w:color w:val="BFBFBF" w:themeColor="background1" w:themeShade="BF"/>
      </w:rPr>
      <w:fldChar w:fldCharType="begin"/>
    </w:r>
    <w:r w:rsidRPr="00295AC2">
      <w:rPr>
        <w:rFonts w:ascii="Arial" w:hAnsi="Arial" w:cs="Arial"/>
        <w:caps/>
        <w:color w:val="BFBFBF" w:themeColor="background1" w:themeShade="BF"/>
      </w:rPr>
      <w:instrText xml:space="preserve"> PAGE   \* MERGEFORMAT </w:instrText>
    </w:r>
    <w:r w:rsidRPr="00295AC2">
      <w:rPr>
        <w:rFonts w:ascii="Arial" w:hAnsi="Arial" w:cs="Arial"/>
        <w:caps/>
        <w:color w:val="BFBFBF" w:themeColor="background1" w:themeShade="BF"/>
      </w:rPr>
      <w:fldChar w:fldCharType="separate"/>
    </w:r>
    <w:r w:rsidRPr="00295AC2">
      <w:rPr>
        <w:rFonts w:ascii="Arial" w:hAnsi="Arial" w:cs="Arial"/>
        <w:caps/>
        <w:noProof/>
        <w:color w:val="BFBFBF" w:themeColor="background1" w:themeShade="BF"/>
      </w:rPr>
      <w:t>2</w:t>
    </w:r>
    <w:r w:rsidRPr="00295AC2">
      <w:rPr>
        <w:rFonts w:ascii="Arial" w:hAnsi="Arial" w:cs="Arial"/>
        <w:caps/>
        <w:noProof/>
        <w:color w:val="BFBFBF" w:themeColor="background1" w:themeShade="BF"/>
      </w:rPr>
      <w:fldChar w:fldCharType="end"/>
    </w:r>
  </w:p>
  <w:p w14:paraId="5E81EFCD" w14:textId="77777777" w:rsidR="002A6264" w:rsidRDefault="002A6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84AB2" w14:textId="77777777" w:rsidR="009C2FB9" w:rsidRDefault="009C2FB9">
      <w:r>
        <w:separator/>
      </w:r>
    </w:p>
  </w:footnote>
  <w:footnote w:type="continuationSeparator" w:id="0">
    <w:p w14:paraId="46662CAB" w14:textId="77777777" w:rsidR="009C2FB9" w:rsidRDefault="009C2F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513E7"/>
    <w:multiLevelType w:val="hybridMultilevel"/>
    <w:tmpl w:val="848450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504633"/>
    <w:multiLevelType w:val="hybridMultilevel"/>
    <w:tmpl w:val="948894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0735352">
    <w:abstractNumId w:val="0"/>
  </w:num>
  <w:num w:numId="2" w16cid:durableId="2094165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2C1"/>
    <w:rsid w:val="000B1A72"/>
    <w:rsid w:val="001C344B"/>
    <w:rsid w:val="00226BA8"/>
    <w:rsid w:val="002A6264"/>
    <w:rsid w:val="00465C48"/>
    <w:rsid w:val="00683972"/>
    <w:rsid w:val="0082311D"/>
    <w:rsid w:val="00824BE4"/>
    <w:rsid w:val="009C2FB9"/>
    <w:rsid w:val="00AF549F"/>
    <w:rsid w:val="00B77CCD"/>
    <w:rsid w:val="00D24D65"/>
    <w:rsid w:val="00EB32C1"/>
    <w:rsid w:val="00F76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2D1C1E"/>
  <w15:chartTrackingRefBased/>
  <w15:docId w15:val="{FDAF967D-794E-B84B-9F3C-E857C743A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C1"/>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1"/>
    <w:qFormat/>
    <w:rsid w:val="00EB32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32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32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32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32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32C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32C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32C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32C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B32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32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32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32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32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32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32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32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32C1"/>
    <w:rPr>
      <w:rFonts w:eastAsiaTheme="majorEastAsia" w:cstheme="majorBidi"/>
      <w:color w:val="272727" w:themeColor="text1" w:themeTint="D8"/>
    </w:rPr>
  </w:style>
  <w:style w:type="paragraph" w:styleId="Title">
    <w:name w:val="Title"/>
    <w:basedOn w:val="Normal"/>
    <w:next w:val="Normal"/>
    <w:link w:val="TitleChar"/>
    <w:uiPriority w:val="10"/>
    <w:qFormat/>
    <w:rsid w:val="00EB32C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32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32C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32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32C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B32C1"/>
    <w:rPr>
      <w:i/>
      <w:iCs/>
      <w:color w:val="404040" w:themeColor="text1" w:themeTint="BF"/>
    </w:rPr>
  </w:style>
  <w:style w:type="paragraph" w:styleId="ListParagraph">
    <w:name w:val="List Paragraph"/>
    <w:basedOn w:val="Normal"/>
    <w:uiPriority w:val="34"/>
    <w:qFormat/>
    <w:rsid w:val="00EB32C1"/>
    <w:pPr>
      <w:ind w:left="720"/>
      <w:contextualSpacing/>
    </w:pPr>
  </w:style>
  <w:style w:type="character" w:styleId="IntenseEmphasis">
    <w:name w:val="Intense Emphasis"/>
    <w:basedOn w:val="DefaultParagraphFont"/>
    <w:uiPriority w:val="21"/>
    <w:qFormat/>
    <w:rsid w:val="00EB32C1"/>
    <w:rPr>
      <w:i/>
      <w:iCs/>
      <w:color w:val="0F4761" w:themeColor="accent1" w:themeShade="BF"/>
    </w:rPr>
  </w:style>
  <w:style w:type="paragraph" w:styleId="IntenseQuote">
    <w:name w:val="Intense Quote"/>
    <w:basedOn w:val="Normal"/>
    <w:next w:val="Normal"/>
    <w:link w:val="IntenseQuoteChar"/>
    <w:uiPriority w:val="30"/>
    <w:qFormat/>
    <w:rsid w:val="00EB32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32C1"/>
    <w:rPr>
      <w:i/>
      <w:iCs/>
      <w:color w:val="0F4761" w:themeColor="accent1" w:themeShade="BF"/>
    </w:rPr>
  </w:style>
  <w:style w:type="character" w:styleId="IntenseReference">
    <w:name w:val="Intense Reference"/>
    <w:basedOn w:val="DefaultParagraphFont"/>
    <w:uiPriority w:val="32"/>
    <w:qFormat/>
    <w:rsid w:val="00EB32C1"/>
    <w:rPr>
      <w:b/>
      <w:bCs/>
      <w:smallCaps/>
      <w:color w:val="0F4761" w:themeColor="accent1" w:themeShade="BF"/>
      <w:spacing w:val="5"/>
    </w:rPr>
  </w:style>
  <w:style w:type="character" w:customStyle="1" w:styleId="docsum-authors">
    <w:name w:val="docsum-authors"/>
    <w:basedOn w:val="DefaultParagraphFont"/>
    <w:rsid w:val="00EB32C1"/>
  </w:style>
  <w:style w:type="character" w:customStyle="1" w:styleId="docsum-journal-citation">
    <w:name w:val="docsum-journal-citation"/>
    <w:basedOn w:val="DefaultParagraphFont"/>
    <w:rsid w:val="00EB32C1"/>
  </w:style>
  <w:style w:type="paragraph" w:customStyle="1" w:styleId="Default">
    <w:name w:val="Default"/>
    <w:rsid w:val="00EB32C1"/>
    <w:pPr>
      <w:autoSpaceDE w:val="0"/>
      <w:autoSpaceDN w:val="0"/>
      <w:adjustRightInd w:val="0"/>
    </w:pPr>
    <w:rPr>
      <w:rFonts w:ascii="Gill Sans MT" w:hAnsi="Gill Sans MT" w:cs="Gill Sans MT"/>
      <w:color w:val="000000"/>
      <w:kern w:val="0"/>
      <w14:ligatures w14:val="none"/>
    </w:rPr>
  </w:style>
  <w:style w:type="paragraph" w:styleId="Footer">
    <w:name w:val="footer"/>
    <w:basedOn w:val="Normal"/>
    <w:link w:val="FooterChar"/>
    <w:uiPriority w:val="99"/>
    <w:unhideWhenUsed/>
    <w:rsid w:val="00EB32C1"/>
    <w:pPr>
      <w:tabs>
        <w:tab w:val="center" w:pos="4680"/>
        <w:tab w:val="right" w:pos="9360"/>
      </w:tabs>
    </w:pPr>
  </w:style>
  <w:style w:type="character" w:customStyle="1" w:styleId="FooterChar">
    <w:name w:val="Footer Char"/>
    <w:basedOn w:val="DefaultParagraphFont"/>
    <w:link w:val="Footer"/>
    <w:uiPriority w:val="99"/>
    <w:rsid w:val="00EB32C1"/>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852</Words>
  <Characters>4861</Characters>
  <Application>Microsoft Office Word</Application>
  <DocSecurity>0</DocSecurity>
  <Lines>40</Lines>
  <Paragraphs>11</Paragraphs>
  <ScaleCrop>false</ScaleCrop>
  <Company/>
  <LinksUpToDate>false</LinksUpToDate>
  <CharactersWithSpaces>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Bradford E (NIH/NIDCR) [E]</dc:creator>
  <cp:keywords/>
  <dc:description/>
  <cp:lastModifiedBy>Hall, Bradford E (NIH/NIDCR) [E]</cp:lastModifiedBy>
  <cp:revision>2</cp:revision>
  <dcterms:created xsi:type="dcterms:W3CDTF">2024-03-22T22:17:00Z</dcterms:created>
  <dcterms:modified xsi:type="dcterms:W3CDTF">2024-03-22T22:17:00Z</dcterms:modified>
</cp:coreProperties>
</file>