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FD8" w:rsidRPr="004B0FD8" w:rsidRDefault="004B0FD8" w:rsidP="004B0FD8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B0FD8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Suppl</w:t>
      </w:r>
      <w:r w:rsidR="003F1BBA">
        <w:rPr>
          <w:rFonts w:ascii="Times New Roman" w:eastAsia="宋体" w:hAnsi="Times New Roman" w:cs="Times New Roman"/>
          <w:b/>
          <w:kern w:val="0"/>
          <w:sz w:val="24"/>
          <w:szCs w:val="24"/>
        </w:rPr>
        <w:t>ementary Material</w:t>
      </w:r>
      <w:bookmarkStart w:id="0" w:name="_GoBack"/>
      <w:bookmarkEnd w:id="0"/>
    </w:p>
    <w:p w:rsidR="004B0FD8" w:rsidRPr="004B0FD8" w:rsidRDefault="004B0FD8" w:rsidP="004B0FD8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2"/>
          <w:szCs w:val="24"/>
        </w:rPr>
      </w:pPr>
      <w:r w:rsidRPr="004B0FD8">
        <w:rPr>
          <w:rFonts w:ascii="Times New Roman" w:eastAsia="宋体" w:hAnsi="Times New Roman" w:cs="Times New Roman"/>
          <w:kern w:val="0"/>
          <w:sz w:val="22"/>
          <w:szCs w:val="24"/>
        </w:rPr>
        <w:t xml:space="preserve">Table s1 Hydrologic and water quality parameters in the TGR basin in seasonal and periodic variations. 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34"/>
        <w:gridCol w:w="983"/>
        <w:gridCol w:w="861"/>
        <w:gridCol w:w="1003"/>
        <w:gridCol w:w="598"/>
        <w:gridCol w:w="693"/>
        <w:gridCol w:w="598"/>
        <w:gridCol w:w="791"/>
        <w:gridCol w:w="791"/>
        <w:gridCol w:w="671"/>
        <w:gridCol w:w="886"/>
        <w:gridCol w:w="693"/>
        <w:gridCol w:w="701"/>
        <w:gridCol w:w="794"/>
        <w:gridCol w:w="795"/>
        <w:gridCol w:w="669"/>
        <w:gridCol w:w="669"/>
        <w:gridCol w:w="728"/>
      </w:tblGrid>
      <w:tr w:rsidR="004B0FD8" w:rsidRPr="004B0FD8" w:rsidTr="00163BA1">
        <w:trPr>
          <w:trHeight w:val="336"/>
        </w:trPr>
        <w:tc>
          <w:tcPr>
            <w:tcW w:w="37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1" w:name="OLE_LINK277"/>
          </w:p>
        </w:tc>
        <w:tc>
          <w:tcPr>
            <w:tcW w:w="34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</w:p>
        </w:tc>
        <w:tc>
          <w:tcPr>
            <w:tcW w:w="36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</w:t>
            </w:r>
          </w:p>
        </w:tc>
        <w:tc>
          <w:tcPr>
            <w:tcW w:w="215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24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WT</w:t>
            </w:r>
          </w:p>
        </w:tc>
        <w:tc>
          <w:tcPr>
            <w:tcW w:w="215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28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EC</w:t>
            </w:r>
          </w:p>
        </w:tc>
        <w:tc>
          <w:tcPr>
            <w:tcW w:w="28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ORP</w:t>
            </w:r>
          </w:p>
        </w:tc>
        <w:tc>
          <w:tcPr>
            <w:tcW w:w="2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−</w:t>
            </w:r>
          </w:p>
        </w:tc>
        <w:tc>
          <w:tcPr>
            <w:tcW w:w="31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SS</w:t>
            </w:r>
          </w:p>
        </w:tc>
        <w:tc>
          <w:tcPr>
            <w:tcW w:w="24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−</w:t>
            </w:r>
          </w:p>
        </w:tc>
        <w:tc>
          <w:tcPr>
            <w:tcW w:w="25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eastAsianLayout w:id="-1832209408" w:combine="1"/>
              </w:rPr>
              <w:t>2− 4</w:t>
            </w:r>
          </w:p>
        </w:tc>
        <w:tc>
          <w:tcPr>
            <w:tcW w:w="285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</w:t>
            </w:r>
          </w:p>
        </w:tc>
        <w:tc>
          <w:tcPr>
            <w:tcW w:w="285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WA</w:t>
            </w:r>
          </w:p>
        </w:tc>
        <w:tc>
          <w:tcPr>
            <w:tcW w:w="24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PI</w:t>
            </w:r>
          </w:p>
        </w:tc>
        <w:tc>
          <w:tcPr>
            <w:tcW w:w="24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DO</w:t>
            </w:r>
          </w:p>
        </w:tc>
        <w:tc>
          <w:tcPr>
            <w:tcW w:w="26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bookmarkStart w:id="2" w:name="OLE_LINK283"/>
            <w:bookmarkStart w:id="3" w:name="OLE_LINK331"/>
            <w:r w:rsidRPr="004B0FD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BOD</w:t>
            </w:r>
            <w:r w:rsidRPr="004B0FD8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bscript"/>
              </w:rPr>
              <w:t>5</w:t>
            </w:r>
            <w:bookmarkEnd w:id="2"/>
            <w:bookmarkEnd w:id="3"/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6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m3/s</w:t>
            </w:r>
          </w:p>
        </w:tc>
        <w:tc>
          <w:tcPr>
            <w:tcW w:w="21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m/s</w:t>
            </w:r>
          </w:p>
        </w:tc>
        <w:tc>
          <w:tcPr>
            <w:tcW w:w="24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°C</w:t>
            </w:r>
          </w:p>
        </w:tc>
        <w:tc>
          <w:tcPr>
            <w:tcW w:w="21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84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μS/cm</w:t>
            </w:r>
          </w:p>
        </w:tc>
        <w:tc>
          <w:tcPr>
            <w:tcW w:w="284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mv</w:t>
            </w:r>
          </w:p>
        </w:tc>
        <w:tc>
          <w:tcPr>
            <w:tcW w:w="241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mg/L</w:t>
            </w:r>
          </w:p>
        </w:tc>
        <w:tc>
          <w:tcPr>
            <w:tcW w:w="318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mg/L</w:t>
            </w:r>
          </w:p>
        </w:tc>
        <w:tc>
          <w:tcPr>
            <w:tcW w:w="24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mg/L</w:t>
            </w:r>
          </w:p>
        </w:tc>
        <w:tc>
          <w:tcPr>
            <w:tcW w:w="252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mg/L</w:t>
            </w:r>
          </w:p>
        </w:tc>
        <w:tc>
          <w:tcPr>
            <w:tcW w:w="28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mg/L</w:t>
            </w:r>
          </w:p>
        </w:tc>
        <w:tc>
          <w:tcPr>
            <w:tcW w:w="28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mg/L</w:t>
            </w:r>
          </w:p>
        </w:tc>
        <w:tc>
          <w:tcPr>
            <w:tcW w:w="24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mg/L</w:t>
            </w:r>
          </w:p>
        </w:tc>
        <w:tc>
          <w:tcPr>
            <w:tcW w:w="24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mg/L</w:t>
            </w:r>
          </w:p>
        </w:tc>
        <w:tc>
          <w:tcPr>
            <w:tcW w:w="261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mg/L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Upstream</w:t>
            </w:r>
          </w:p>
        </w:tc>
        <w:tc>
          <w:tcPr>
            <w:tcW w:w="34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Oct-Feb</w:t>
            </w:r>
          </w:p>
        </w:tc>
        <w:tc>
          <w:tcPr>
            <w:tcW w:w="30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181.66 </w:t>
            </w:r>
          </w:p>
        </w:tc>
        <w:tc>
          <w:tcPr>
            <w:tcW w:w="36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2805.72 </w:t>
            </w:r>
          </w:p>
        </w:tc>
        <w:tc>
          <w:tcPr>
            <w:tcW w:w="215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24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15.61 </w:t>
            </w:r>
          </w:p>
        </w:tc>
        <w:tc>
          <w:tcPr>
            <w:tcW w:w="215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8.07 </w:t>
            </w:r>
          </w:p>
        </w:tc>
        <w:tc>
          <w:tcPr>
            <w:tcW w:w="28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357.36 </w:t>
            </w:r>
          </w:p>
        </w:tc>
        <w:tc>
          <w:tcPr>
            <w:tcW w:w="28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466.71 </w:t>
            </w:r>
          </w:p>
        </w:tc>
        <w:tc>
          <w:tcPr>
            <w:tcW w:w="241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31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45.88 </w:t>
            </w:r>
          </w:p>
        </w:tc>
        <w:tc>
          <w:tcPr>
            <w:tcW w:w="24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10.52 </w:t>
            </w:r>
          </w:p>
        </w:tc>
        <w:tc>
          <w:tcPr>
            <w:tcW w:w="252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48.78 </w:t>
            </w:r>
          </w:p>
        </w:tc>
        <w:tc>
          <w:tcPr>
            <w:tcW w:w="285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177.43 </w:t>
            </w:r>
          </w:p>
        </w:tc>
        <w:tc>
          <w:tcPr>
            <w:tcW w:w="285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124.18 </w:t>
            </w:r>
          </w:p>
        </w:tc>
        <w:tc>
          <w:tcPr>
            <w:tcW w:w="24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1.95 </w:t>
            </w:r>
          </w:p>
        </w:tc>
        <w:tc>
          <w:tcPr>
            <w:tcW w:w="24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9.30 </w:t>
            </w:r>
          </w:p>
        </w:tc>
        <w:tc>
          <w:tcPr>
            <w:tcW w:w="261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Mar-May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179.92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1847.16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16.40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8.08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382.56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473.80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30.24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10.40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50.48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183.04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124.94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1.94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8.91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Jun-Sep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183.42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7135.57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1.61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23.82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8.07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347.08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467.13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195.06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9.97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42.08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162.41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112.60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4.02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7.79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Ⅰ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184.13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4489.00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18.51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8.15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343.09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497.38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197.56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8.40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35.07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157.63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114.84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3.51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8.79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Ⅱ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182.51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4024.98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1.23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18.63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8.03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362.23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454.13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139.02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8.25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46.13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175.23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118.57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8.43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Ⅲ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181.22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3950.44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18.55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8.08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361.89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470.35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59.30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11.36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48.93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175.50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122.18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2.32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8.78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 w:val="restart"/>
            <w:shd w:val="clear" w:color="auto" w:fill="auto"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Inner region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Oct-Feb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167.38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7564.72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15.76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8.08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346.95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466.64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58.10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14.98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43.58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163.27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113.83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2.18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9.00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Mar-May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159.53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5925.66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16.81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8.07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375.34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471.83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34.45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13.68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46.92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172.77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117.22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2.09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8.73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Jun-Sep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157.38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20554.30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1.49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24.03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8.09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343.62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466.78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388.62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13.81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38.62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149.62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103.76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6.14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7.70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Ⅰ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149.11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13453.06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1.34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18.71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8.05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340.87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494.11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322.72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11.59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28.89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143.75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105.46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4.38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8.69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Ⅱ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158.32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13026.67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18.87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8.11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341.89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448.03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276.73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11.79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39.63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155.94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109.50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4.75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8.17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Ⅲ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165.28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10664.12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18.79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8.08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358.93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472.27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97.31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15.58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45.89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165.47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113.01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2.73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8.59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 w:val="restar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Output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Oct-Feb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64.78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8166.20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18.06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8.04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362.27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388.28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28.51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15.12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148.76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116.22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7.83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Mar-May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64.75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7921.33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14.04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8.00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388.78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394.48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21.08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14.72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160.71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121.12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8.35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Jun-Sep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64.95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20025.00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24.14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7.96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358.45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378.75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94.67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14.16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149.21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113.15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7.17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Ⅰ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Ⅱ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65.18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13170.00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18.70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8.00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356.48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390.86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75.79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12.28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152.71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119.46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7.87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4B0FD8" w:rsidRPr="004B0FD8" w:rsidTr="00163BA1">
        <w:trPr>
          <w:trHeight w:val="276"/>
        </w:trPr>
        <w:tc>
          <w:tcPr>
            <w:tcW w:w="371" w:type="pct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Period Ⅲ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64.70 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11636.09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19.23 </w:t>
            </w:r>
          </w:p>
        </w:tc>
        <w:tc>
          <w:tcPr>
            <w:tcW w:w="21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8.01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371.85 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385.05 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18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38.43 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15.62 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151.59 </w:t>
            </w:r>
          </w:p>
        </w:tc>
        <w:tc>
          <w:tcPr>
            <w:tcW w:w="285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115.27 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4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7.69 </w:t>
            </w:r>
          </w:p>
        </w:tc>
        <w:tc>
          <w:tcPr>
            <w:tcW w:w="261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</w:tbl>
    <w:p w:rsidR="004B0FD8" w:rsidRPr="004B0FD8" w:rsidRDefault="004B0FD8" w:rsidP="004B0FD8">
      <w:pPr>
        <w:widowControl/>
        <w:rPr>
          <w:rFonts w:ascii="Times New Roman" w:hAnsi="Times New Roman" w:cs="Times New Roman"/>
          <w:kern w:val="0"/>
          <w:sz w:val="20"/>
          <w:szCs w:val="20"/>
        </w:rPr>
        <w:sectPr w:rsidR="004B0FD8" w:rsidRPr="004B0FD8" w:rsidSect="002C2B84">
          <w:pgSz w:w="16838" w:h="11906" w:orient="landscape"/>
          <w:pgMar w:top="1800" w:right="1440" w:bottom="1800" w:left="1440" w:header="851" w:footer="992" w:gutter="0"/>
          <w:lnNumType w:countBy="1"/>
          <w:cols w:space="425"/>
          <w:docGrid w:type="lines" w:linePitch="326"/>
        </w:sectPr>
      </w:pPr>
      <w:bookmarkStart w:id="4" w:name="OLE_LINK332"/>
      <w:bookmarkEnd w:id="1"/>
      <w:r w:rsidRPr="004B0FD8">
        <w:rPr>
          <w:rFonts w:ascii="Times New Roman" w:hAnsi="Times New Roman" w:cs="Times New Roman"/>
          <w:kern w:val="0"/>
          <w:sz w:val="20"/>
          <w:szCs w:val="20"/>
        </w:rPr>
        <w:t>NA means</w:t>
      </w:r>
      <w:r w:rsidRPr="004B0FD8">
        <w:rPr>
          <w:rFonts w:ascii="Times New Roman" w:eastAsia="等线" w:hAnsi="Times New Roman" w:cs="Times New Roman"/>
          <w:kern w:val="0"/>
          <w:sz w:val="20"/>
          <w:szCs w:val="20"/>
        </w:rPr>
        <w:t xml:space="preserve"> data are not available. </w:t>
      </w:r>
      <w:r w:rsidRPr="004B0FD8">
        <w:rPr>
          <w:rFonts w:ascii="Times New Roman" w:hAnsi="Times New Roman" w:cs="Times New Roman"/>
          <w:kern w:val="0"/>
          <w:sz w:val="20"/>
          <w:szCs w:val="20"/>
        </w:rPr>
        <w:t xml:space="preserve">  </w:t>
      </w:r>
      <w:bookmarkEnd w:id="4"/>
      <w:r w:rsidRPr="004B0FD8">
        <w:rPr>
          <w:rFonts w:ascii="Times New Roman" w:hAnsi="Times New Roman" w:cs="Times New Roman"/>
          <w:kern w:val="0"/>
          <w:sz w:val="20"/>
          <w:szCs w:val="20"/>
        </w:rPr>
        <w:t xml:space="preserve">     </w:t>
      </w:r>
    </w:p>
    <w:p w:rsidR="004B0FD8" w:rsidRPr="004B0FD8" w:rsidRDefault="004B0FD8" w:rsidP="004B0FD8">
      <w:pPr>
        <w:widowControl/>
        <w:jc w:val="left"/>
        <w:rPr>
          <w:rFonts w:ascii="Times New Roman" w:hAnsi="Times New Roman" w:cs="Times New Roman"/>
          <w:kern w:val="0"/>
          <w:sz w:val="22"/>
          <w:szCs w:val="24"/>
        </w:rPr>
      </w:pPr>
      <w:r w:rsidRPr="004B0FD8">
        <w:rPr>
          <w:rFonts w:ascii="Times New Roman" w:hAnsi="Times New Roman" w:cs="Times New Roman"/>
          <w:kern w:val="0"/>
          <w:sz w:val="22"/>
          <w:szCs w:val="24"/>
        </w:rPr>
        <w:lastRenderedPageBreak/>
        <w:t>Table s2 ANOVA analysis of hydrologic and water quality parameters at different temporal stages.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6179"/>
      </w:tblGrid>
      <w:tr w:rsidR="004B0FD8" w:rsidRPr="004B0FD8" w:rsidTr="00163BA1">
        <w:trPr>
          <w:trHeight w:val="285"/>
        </w:trPr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Temporal stages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Sites</w:t>
            </w:r>
          </w:p>
        </w:tc>
        <w:tc>
          <w:tcPr>
            <w:tcW w:w="617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P&lt;0.05</w:t>
            </w:r>
          </w:p>
        </w:tc>
      </w:tr>
      <w:tr w:rsidR="004B0FD8" w:rsidRPr="004B0FD8" w:rsidTr="00163BA1">
        <w:trPr>
          <w:trHeight w:val="323"/>
        </w:trPr>
        <w:tc>
          <w:tcPr>
            <w:tcW w:w="1418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Periodic variation</w:t>
            </w:r>
          </w:p>
        </w:tc>
        <w:tc>
          <w:tcPr>
            <w:tcW w:w="709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WL</w:t>
            </w:r>
          </w:p>
        </w:tc>
        <w:tc>
          <w:tcPr>
            <w:tcW w:w="6179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ORP,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PI,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BB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pH,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DO,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</w:p>
        </w:tc>
      </w:tr>
      <w:tr w:rsidR="004B0FD8" w:rsidRPr="004B0FD8" w:rsidTr="00163BA1">
        <w:trPr>
          <w:trHeight w:val="315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ZT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ORP,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PI, DO,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</w:p>
        </w:tc>
      </w:tr>
      <w:tr w:rsidR="004B0FD8" w:rsidRPr="004B0FD8" w:rsidTr="00163BA1">
        <w:trPr>
          <w:trHeight w:val="30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U, ORP,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PI, DO,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</w:p>
        </w:tc>
      </w:tr>
      <w:tr w:rsidR="004B0FD8" w:rsidRPr="004B0FD8" w:rsidTr="00163BA1">
        <w:trPr>
          <w:trHeight w:val="285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QXC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U, ORP,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PI,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</w:p>
        </w:tc>
      </w:tr>
      <w:tr w:rsidR="004B0FD8" w:rsidRPr="004B0FD8" w:rsidTr="00163BA1">
        <w:trPr>
          <w:trHeight w:val="293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WX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U, EC, ORP,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PI,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TN</w:t>
            </w:r>
          </w:p>
        </w:tc>
      </w:tr>
      <w:tr w:rsidR="004B0FD8" w:rsidRPr="004B0FD8" w:rsidTr="00163BA1">
        <w:trPr>
          <w:trHeight w:val="293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YC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EC,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WA,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,TN</w:t>
            </w:r>
          </w:p>
        </w:tc>
      </w:tr>
      <w:tr w:rsidR="004B0FD8" w:rsidRPr="004B0FD8" w:rsidTr="00163BA1">
        <w:trPr>
          <w:trHeight w:val="293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B0FD8" w:rsidRPr="004B0FD8" w:rsidTr="00163BA1">
        <w:trPr>
          <w:trHeight w:val="293"/>
        </w:trPr>
        <w:tc>
          <w:tcPr>
            <w:tcW w:w="1418" w:type="dxa"/>
            <w:vMerge w:val="restar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Annual variation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WL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pH, EC, ORP,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PI,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,TN</w:t>
            </w:r>
          </w:p>
        </w:tc>
      </w:tr>
      <w:tr w:rsidR="004B0FD8" w:rsidRPr="004B0FD8" w:rsidTr="00163BA1">
        <w:trPr>
          <w:trHeight w:val="293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BB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pH, EC, ORP,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</w:p>
        </w:tc>
      </w:tr>
      <w:tr w:rsidR="004B0FD8" w:rsidRPr="004B0FD8" w:rsidTr="00163BA1">
        <w:trPr>
          <w:trHeight w:val="293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ZT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Z, pH, EC, ORP, </w:t>
            </w:r>
            <w:bookmarkStart w:id="5" w:name="OLE_LINK349"/>
            <w:bookmarkStart w:id="6" w:name="OLE_LINK350"/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bookmarkEnd w:id="5"/>
            <w:bookmarkEnd w:id="6"/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PI,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TN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U, pH, EC, ORP,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QXC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pH, EC, ORP,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WX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EC, ORP,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DO,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TN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YC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pH, EC, ORP,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WH, WA,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,TN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 w:val="restar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Seasonal variation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WL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Q, U, WT,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59200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WA, PI, DO,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TN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BB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Q, U, WT, EC,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Cl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PI, DO,BOD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,TN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ZT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Q, U, WT, EC,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PI, DO,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TN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Q, U, WT, EC,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PI, DO,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TN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QXC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Q, U, WT, EC,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PI, DO,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WX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Z, Q, U, WT, EC, 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−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SS, SO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eastAsianLayout w:id="-1837463808" w:combine="1"/>
              </w:rPr>
              <w:t>2− 4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WH, WA, PI, DO, 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 TN</w:t>
            </w:r>
          </w:p>
        </w:tc>
      </w:tr>
      <w:tr w:rsidR="004B0FD8" w:rsidRPr="004B0FD8" w:rsidTr="00163BA1">
        <w:trPr>
          <w:trHeight w:val="278"/>
        </w:trPr>
        <w:tc>
          <w:tcPr>
            <w:tcW w:w="1418" w:type="dxa"/>
            <w:vMerge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YC</w:t>
            </w:r>
          </w:p>
        </w:tc>
        <w:tc>
          <w:tcPr>
            <w:tcW w:w="6179" w:type="dxa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Q, WT, pH, EC, ORP, SS, WH, WA, DO,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 xml:space="preserve"> NH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6" w:combine="1"/>
              </w:rPr>
              <w:t>+ 4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7135" w:combine="1"/>
              </w:rPr>
              <w:t>− 2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,NO</w:t>
            </w:r>
            <w:r w:rsidRPr="004B0FD8">
              <w:rPr>
                <w:rFonts w:ascii="Times New Roman" w:hAnsi="Times New Roman" w:cs="Times New Roman"/>
                <w:sz w:val="18"/>
                <w:szCs w:val="18"/>
                <w:eastAsianLayout w:id="-1935866880" w:combine="1"/>
              </w:rPr>
              <w:t>− 3</w:t>
            </w:r>
            <w:r w:rsidRPr="004B0FD8">
              <w:rPr>
                <w:rFonts w:ascii="Times New Roman" w:hAnsi="Times New Roman" w:cs="Times New Roman"/>
                <w:sz w:val="18"/>
                <w:szCs w:val="18"/>
              </w:rPr>
              <w:t>,TN</w:t>
            </w:r>
          </w:p>
        </w:tc>
      </w:tr>
    </w:tbl>
    <w:p w:rsidR="004B0FD8" w:rsidRPr="004B0FD8" w:rsidRDefault="004B0FD8" w:rsidP="004B0FD8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0"/>
          <w:szCs w:val="24"/>
        </w:rPr>
      </w:pPr>
    </w:p>
    <w:p w:rsidR="004B0FD8" w:rsidRPr="004B0FD8" w:rsidRDefault="004B0FD8" w:rsidP="004B0FD8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2"/>
        </w:rPr>
      </w:pPr>
      <w:r w:rsidRPr="004B0FD8">
        <w:rPr>
          <w:rFonts w:ascii="Times New Roman" w:eastAsia="宋体" w:hAnsi="Times New Roman" w:cs="Times New Roman" w:hint="eastAsia"/>
          <w:kern w:val="0"/>
          <w:sz w:val="22"/>
        </w:rPr>
        <w:t>T</w:t>
      </w:r>
      <w:r w:rsidRPr="004B0FD8">
        <w:rPr>
          <w:rFonts w:ascii="Times New Roman" w:eastAsia="宋体" w:hAnsi="Times New Roman" w:cs="Times New Roman"/>
          <w:kern w:val="0"/>
          <w:sz w:val="22"/>
        </w:rPr>
        <w:t xml:space="preserve">able s3 Pearson </w:t>
      </w:r>
      <w:r w:rsidRPr="004B0FD8">
        <w:rPr>
          <w:rFonts w:ascii="Times New Roman" w:hAnsi="Times New Roman" w:cs="Times New Roman"/>
          <w:kern w:val="0"/>
          <w:sz w:val="22"/>
        </w:rPr>
        <w:t>c</w:t>
      </w:r>
      <w:r w:rsidRPr="004B0FD8">
        <w:rPr>
          <w:rFonts w:ascii="Times New Roman" w:hAnsi="Times New Roman" w:cs="Times New Roman" w:hint="eastAsia"/>
          <w:kern w:val="0"/>
          <w:sz w:val="22"/>
        </w:rPr>
        <w:t xml:space="preserve">orrelation matrix among </w:t>
      </w:r>
      <w:r w:rsidRPr="004B0FD8">
        <w:rPr>
          <w:rFonts w:ascii="Times New Roman" w:hAnsi="Times New Roman" w:cs="Times New Roman"/>
          <w:kern w:val="0"/>
          <w:sz w:val="22"/>
        </w:rPr>
        <w:t>N</w:t>
      </w:r>
      <w:r w:rsidRPr="004B0FD8">
        <w:rPr>
          <w:rFonts w:ascii="Times New Roman" w:hAnsi="Times New Roman" w:cs="Times New Roman" w:hint="eastAsia"/>
          <w:kern w:val="0"/>
          <w:sz w:val="22"/>
        </w:rPr>
        <w:t xml:space="preserve"> concentrations</w:t>
      </w:r>
      <w:r w:rsidRPr="004B0FD8">
        <w:rPr>
          <w:rFonts w:ascii="Times New Roman" w:hAnsi="Times New Roman" w:cs="Times New Roman"/>
          <w:kern w:val="0"/>
          <w:sz w:val="22"/>
        </w:rPr>
        <w:t xml:space="preserve"> and environmental variables.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16"/>
        <w:gridCol w:w="575"/>
        <w:gridCol w:w="575"/>
        <w:gridCol w:w="576"/>
        <w:gridCol w:w="576"/>
        <w:gridCol w:w="576"/>
        <w:gridCol w:w="576"/>
        <w:gridCol w:w="576"/>
        <w:gridCol w:w="643"/>
        <w:gridCol w:w="542"/>
        <w:gridCol w:w="487"/>
        <w:gridCol w:w="576"/>
        <w:gridCol w:w="576"/>
        <w:gridCol w:w="426"/>
        <w:gridCol w:w="510"/>
      </w:tblGrid>
      <w:tr w:rsidR="004B0FD8" w:rsidRPr="004B0FD8" w:rsidTr="00163BA1">
        <w:trPr>
          <w:trHeight w:val="300"/>
        </w:trPr>
        <w:tc>
          <w:tcPr>
            <w:tcW w:w="311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hAnsi="Times New Roman" w:cs="Times New Roman"/>
                <w:sz w:val="12"/>
                <w:szCs w:val="12"/>
              </w:rPr>
              <w:t>NH</w:t>
            </w:r>
            <w:r w:rsidRPr="004B0FD8">
              <w:rPr>
                <w:rFonts w:ascii="Times New Roman" w:hAnsi="Times New Roman" w:cs="Times New Roman"/>
                <w:sz w:val="12"/>
                <w:szCs w:val="12"/>
                <w:eastAsianLayout w:id="-1935867136" w:combine="1"/>
              </w:rPr>
              <w:t>+ 4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  <w:r w:rsidRPr="004B0FD8">
              <w:rPr>
                <w:rFonts w:ascii="Times New Roman" w:hAnsi="Times New Roman" w:cs="Times New Roman"/>
                <w:sz w:val="12"/>
                <w:szCs w:val="12"/>
                <w:eastAsianLayout w:id="-1935867135" w:combine="1"/>
              </w:rPr>
              <w:t>− 2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  <w:r w:rsidRPr="004B0FD8">
              <w:rPr>
                <w:rFonts w:ascii="Times New Roman" w:hAnsi="Times New Roman" w:cs="Times New Roman"/>
                <w:sz w:val="12"/>
                <w:szCs w:val="12"/>
                <w:eastAsianLayout w:id="-1935866880" w:combine="1"/>
              </w:rPr>
              <w:t>− 3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TN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  <w:t>Z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  <w:t>Q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  <w:t>U</w:t>
            </w:r>
          </w:p>
        </w:tc>
        <w:tc>
          <w:tcPr>
            <w:tcW w:w="38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  <w:t>WT</w:t>
            </w:r>
          </w:p>
        </w:tc>
        <w:tc>
          <w:tcPr>
            <w:tcW w:w="32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PH</w:t>
            </w:r>
          </w:p>
        </w:tc>
        <w:tc>
          <w:tcPr>
            <w:tcW w:w="293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−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Css</w:t>
            </w:r>
          </w:p>
        </w:tc>
        <w:tc>
          <w:tcPr>
            <w:tcW w:w="34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PI</w:t>
            </w:r>
          </w:p>
        </w:tc>
        <w:tc>
          <w:tcPr>
            <w:tcW w:w="256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DO</w:t>
            </w:r>
          </w:p>
        </w:tc>
        <w:tc>
          <w:tcPr>
            <w:tcW w:w="307" w:type="pct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bscript"/>
              </w:rPr>
              <w:t>5</w:t>
            </w: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tcBorders>
              <w:top w:val="single" w:sz="6" w:space="0" w:color="auto"/>
            </w:tcBorders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hAnsi="Times New Roman" w:cs="Times New Roman"/>
                <w:sz w:val="12"/>
                <w:szCs w:val="12"/>
              </w:rPr>
              <w:t>NH</w:t>
            </w:r>
            <w:r w:rsidRPr="004B0FD8">
              <w:rPr>
                <w:rFonts w:ascii="Times New Roman" w:hAnsi="Times New Roman" w:cs="Times New Roman"/>
                <w:sz w:val="12"/>
                <w:szCs w:val="12"/>
                <w:eastAsianLayout w:id="-1935867136" w:combine="1"/>
              </w:rPr>
              <w:t>+ 4</w:t>
            </w: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8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2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93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tcBorders>
              <w:top w:val="single" w:sz="6" w:space="0" w:color="auto"/>
            </w:tcBorders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  <w:r w:rsidRPr="004B0FD8">
              <w:rPr>
                <w:rFonts w:ascii="Times New Roman" w:hAnsi="Times New Roman" w:cs="Times New Roman"/>
                <w:sz w:val="12"/>
                <w:szCs w:val="12"/>
                <w:eastAsianLayout w:id="-1935867135" w:combine="1"/>
              </w:rPr>
              <w:t>− 2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hAnsi="Times New Roman" w:cs="Times New Roman"/>
                <w:sz w:val="12"/>
                <w:szCs w:val="12"/>
              </w:rPr>
              <w:t>NO</w:t>
            </w:r>
            <w:r w:rsidRPr="004B0FD8">
              <w:rPr>
                <w:rFonts w:ascii="Times New Roman" w:hAnsi="Times New Roman" w:cs="Times New Roman"/>
                <w:sz w:val="12"/>
                <w:szCs w:val="12"/>
                <w:eastAsianLayout w:id="-1935866880" w:combine="1"/>
              </w:rPr>
              <w:t>− 3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0.23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TN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0.23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  <w:t>Z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-0.31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-0.36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-0.32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  <w:t>Q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-0.05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0.11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  <w:t>U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0.07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-0.16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0.31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  <w:t>WT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0.04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-.124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0.48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pH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-0.11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-0.07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0.002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0.04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0.07</w:t>
            </w: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0.03</w:t>
            </w: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F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−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0.28**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0.19**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0.15**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0.14**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-0.10*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-0.07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-0.10*</w:t>
            </w: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-0.19**</w:t>
            </w: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-0.09*</w:t>
            </w: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C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bscript"/>
              </w:rPr>
              <w:t>SS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0.05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-0.002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-0.05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0.03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0.04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0.71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0.58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0.08</w:t>
            </w: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0.03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PI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0.05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0.06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0.05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0.04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0.67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0.59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0.46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0.11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0.92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DO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0.04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0.005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-0.01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-0.39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-0.24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-0.57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-0.04</w:t>
            </w: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0.09*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-0.25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-0.27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4B0FD8" w:rsidRPr="004B0FD8" w:rsidTr="00163BA1">
        <w:trPr>
          <w:trHeight w:val="300"/>
        </w:trPr>
        <w:tc>
          <w:tcPr>
            <w:tcW w:w="311" w:type="pct"/>
            <w:shd w:val="clear" w:color="000000" w:fill="FFFFFF"/>
            <w:vAlign w:val="center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BOD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bscript"/>
              </w:rPr>
              <w:t>5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0.12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-0.02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0.04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0.04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0.03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0.23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38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0.05</w:t>
            </w:r>
          </w:p>
        </w:tc>
        <w:tc>
          <w:tcPr>
            <w:tcW w:w="32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-0.02</w:t>
            </w:r>
          </w:p>
        </w:tc>
        <w:tc>
          <w:tcPr>
            <w:tcW w:w="293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-0.06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0.11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34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256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0.06</w:t>
            </w:r>
          </w:p>
        </w:tc>
        <w:tc>
          <w:tcPr>
            <w:tcW w:w="307" w:type="pct"/>
            <w:shd w:val="clear" w:color="000000" w:fill="FFFFFF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12"/>
                <w:szCs w:val="12"/>
              </w:rPr>
              <w:t>1</w:t>
            </w:r>
          </w:p>
        </w:tc>
      </w:tr>
    </w:tbl>
    <w:p w:rsidR="004B0FD8" w:rsidRPr="004B0FD8" w:rsidRDefault="004B0FD8" w:rsidP="004B0FD8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4B0FD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The parameters involved are consistent with those of the RDA. </w:t>
      </w:r>
    </w:p>
    <w:p w:rsidR="004B0FD8" w:rsidRPr="004B0FD8" w:rsidRDefault="004B0FD8" w:rsidP="004B0FD8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4B0FD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lastRenderedPageBreak/>
        <w:t xml:space="preserve">** </w:t>
      </w:r>
      <w:r w:rsidRPr="004B0FD8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at</w:t>
      </w:r>
      <w:r w:rsidRPr="004B0FD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0.01 significance level, * </w:t>
      </w:r>
      <w:r w:rsidRPr="004B0FD8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a</w:t>
      </w:r>
      <w:r w:rsidRPr="004B0FD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t 0.05 </w:t>
      </w:r>
      <w:r w:rsidRPr="004B0FD8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s</w:t>
      </w:r>
      <w:r w:rsidRPr="004B0FD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ignificance level. Sample capacity </w:t>
      </w:r>
      <w:r w:rsidRPr="004B0FD8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n=</w:t>
      </w:r>
      <w:r w:rsidRPr="004B0FD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514.</w:t>
      </w:r>
    </w:p>
    <w:p w:rsidR="004B0FD8" w:rsidRPr="004B0FD8" w:rsidRDefault="004B0FD8" w:rsidP="004B0FD8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0"/>
        </w:rPr>
      </w:pPr>
    </w:p>
    <w:p w:rsidR="004B0FD8" w:rsidRPr="004B0FD8" w:rsidRDefault="004B0FD8" w:rsidP="004B0FD8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  <w:szCs w:val="20"/>
        </w:rPr>
      </w:pPr>
      <w:r w:rsidRPr="004B0FD8">
        <w:rPr>
          <w:rFonts w:ascii="Times New Roman" w:eastAsia="等线" w:hAnsi="Times New Roman" w:cs="Times New Roman" w:hint="cs"/>
          <w:color w:val="000000"/>
          <w:kern w:val="0"/>
          <w:sz w:val="22"/>
          <w:szCs w:val="20"/>
        </w:rPr>
        <w:t>T</w:t>
      </w:r>
      <w:r w:rsidRPr="004B0FD8">
        <w:rPr>
          <w:rFonts w:ascii="Times New Roman" w:eastAsia="等线" w:hAnsi="Times New Roman" w:cs="Times New Roman"/>
          <w:color w:val="000000"/>
          <w:kern w:val="0"/>
          <w:sz w:val="22"/>
          <w:szCs w:val="20"/>
        </w:rPr>
        <w:t>able s4</w:t>
      </w:r>
      <w:bookmarkStart w:id="7" w:name="OLE_LINK386"/>
      <w:r w:rsidRPr="004B0FD8">
        <w:rPr>
          <w:rFonts w:ascii="Times New Roman" w:eastAsia="等线" w:hAnsi="Times New Roman" w:cs="Times New Roman"/>
          <w:color w:val="000000"/>
          <w:kern w:val="0"/>
          <w:sz w:val="22"/>
          <w:szCs w:val="20"/>
        </w:rPr>
        <w:t xml:space="preserve"> Parameters in the calculation of retention rate</w:t>
      </w:r>
      <w:bookmarkEnd w:id="7"/>
      <w:r w:rsidRPr="004B0FD8">
        <w:rPr>
          <w:rFonts w:ascii="Times New Roman" w:eastAsia="等线" w:hAnsi="Times New Roman" w:cs="Times New Roman"/>
          <w:color w:val="000000"/>
          <w:kern w:val="0"/>
          <w:sz w:val="22"/>
          <w:szCs w:val="20"/>
        </w:rPr>
        <w:t xml:space="preserve">. </w:t>
      </w:r>
    </w:p>
    <w:tbl>
      <w:tblPr>
        <w:tblW w:w="874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60"/>
        <w:gridCol w:w="1040"/>
        <w:gridCol w:w="1220"/>
        <w:gridCol w:w="980"/>
        <w:gridCol w:w="1520"/>
        <w:gridCol w:w="1520"/>
        <w:gridCol w:w="1500"/>
      </w:tblGrid>
      <w:tr w:rsidR="004B0FD8" w:rsidRPr="004B0FD8" w:rsidTr="00163BA1">
        <w:trPr>
          <w:trHeight w:val="276"/>
        </w:trPr>
        <w:tc>
          <w:tcPr>
            <w:tcW w:w="960" w:type="dxa"/>
            <w:tcBorders>
              <w:bottom w:val="nil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Year</w:t>
            </w:r>
          </w:p>
        </w:tc>
        <w:tc>
          <w:tcPr>
            <w:tcW w:w="1040" w:type="dxa"/>
            <w:tcBorders>
              <w:bottom w:val="nil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Annual discharge </w:t>
            </w:r>
          </w:p>
        </w:tc>
        <w:tc>
          <w:tcPr>
            <w:tcW w:w="1220" w:type="dxa"/>
            <w:tcBorders>
              <w:bottom w:val="nil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Reservoir volume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Water area</w:t>
            </w:r>
          </w:p>
        </w:tc>
        <w:tc>
          <w:tcPr>
            <w:tcW w:w="1520" w:type="dxa"/>
            <w:tcBorders>
              <w:bottom w:val="nil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Mean depth</w:t>
            </w:r>
          </w:p>
        </w:tc>
        <w:tc>
          <w:tcPr>
            <w:tcW w:w="1520" w:type="dxa"/>
            <w:tcBorders>
              <w:bottom w:val="nil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Water residence time</w:t>
            </w:r>
          </w:p>
        </w:tc>
        <w:tc>
          <w:tcPr>
            <w:tcW w:w="1500" w:type="dxa"/>
            <w:tcBorders>
              <w:bottom w:val="nil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Annual retention rate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(m3/s)</w:t>
            </w:r>
          </w:p>
        </w:tc>
        <w:tc>
          <w:tcPr>
            <w:tcW w:w="122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(10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  <w:vertAlign w:val="superscript"/>
              </w:rPr>
              <w:t>8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 m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  <w:vertAlign w:val="superscript"/>
              </w:rPr>
              <w:t>3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8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(10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  <w:vertAlign w:val="superscript"/>
              </w:rPr>
              <w:t>6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 m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  <w:vertAlign w:val="superscript"/>
              </w:rPr>
              <w:t>2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52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(m)</w:t>
            </w:r>
          </w:p>
        </w:tc>
        <w:tc>
          <w:tcPr>
            <w:tcW w:w="152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(yr)</w:t>
            </w:r>
          </w:p>
        </w:tc>
        <w:tc>
          <w:tcPr>
            <w:tcW w:w="150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Cs w:val="20"/>
              </w:rPr>
              <w:t>（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%</w:t>
            </w:r>
            <w:r w:rsidRPr="004B0FD8">
              <w:rPr>
                <w:rFonts w:ascii="Times New Roman" w:eastAsia="等线" w:hAnsi="Times New Roman" w:cs="Times New Roman" w:hint="eastAsia"/>
                <w:color w:val="000000"/>
                <w:kern w:val="0"/>
                <w:szCs w:val="20"/>
              </w:rPr>
              <w:t>）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2004</w:t>
            </w:r>
          </w:p>
        </w:tc>
        <w:tc>
          <w:tcPr>
            <w:tcW w:w="1040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13087.64 </w:t>
            </w:r>
          </w:p>
        </w:tc>
        <w:tc>
          <w:tcPr>
            <w:tcW w:w="1220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140.16 </w:t>
            </w:r>
          </w:p>
        </w:tc>
        <w:tc>
          <w:tcPr>
            <w:tcW w:w="980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441.46 </w:t>
            </w:r>
          </w:p>
        </w:tc>
        <w:tc>
          <w:tcPr>
            <w:tcW w:w="1520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31.75 </w:t>
            </w:r>
          </w:p>
        </w:tc>
        <w:tc>
          <w:tcPr>
            <w:tcW w:w="1520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1500" w:type="dxa"/>
            <w:tcBorders>
              <w:top w:val="single" w:sz="6" w:space="0" w:color="auto"/>
            </w:tcBorders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7.15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2005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14448.22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141.03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443.64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31.79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6.91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2006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9028.33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152.72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472.97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32.29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8.41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2007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12192.50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196.66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583.34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33.71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8.13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2008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13105.00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227.34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660.37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34.43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8.29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2009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12730.83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249.72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716.57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34.85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8.63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2010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11794.17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253.51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726.07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34.91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8.92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2011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10749.03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275.13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780.37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35.26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9.48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2012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9466.67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275.28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780.74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35.26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0.09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9.93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2013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11437.50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266.37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758.38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35.12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9.17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2014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14235.00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268.26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763.12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35.15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8.48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2015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11708.33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270.17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767.92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35.18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9.13 </w:t>
            </w:r>
          </w:p>
        </w:tc>
      </w:tr>
      <w:tr w:rsidR="004B0FD8" w:rsidRPr="004B0FD8" w:rsidTr="00163BA1">
        <w:trPr>
          <w:trHeight w:val="276"/>
        </w:trPr>
        <w:tc>
          <w:tcPr>
            <w:tcW w:w="96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>2016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14442.50 </w:t>
            </w:r>
          </w:p>
        </w:tc>
        <w:tc>
          <w:tcPr>
            <w:tcW w:w="12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258.00 </w:t>
            </w:r>
          </w:p>
        </w:tc>
        <w:tc>
          <w:tcPr>
            <w:tcW w:w="98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737.34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34.99 </w:t>
            </w:r>
          </w:p>
        </w:tc>
        <w:tc>
          <w:tcPr>
            <w:tcW w:w="152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Cs w:val="20"/>
              </w:rPr>
              <w:t xml:space="preserve">8.33 </w:t>
            </w:r>
          </w:p>
        </w:tc>
      </w:tr>
    </w:tbl>
    <w:p w:rsidR="004B0FD8" w:rsidRPr="004B0FD8" w:rsidRDefault="004B0FD8" w:rsidP="004B0FD8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0"/>
        </w:rPr>
      </w:pPr>
    </w:p>
    <w:p w:rsidR="004B0FD8" w:rsidRPr="004B0FD8" w:rsidRDefault="004B0FD8" w:rsidP="004B0FD8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  <w:szCs w:val="20"/>
        </w:rPr>
      </w:pPr>
      <w:r w:rsidRPr="004B0FD8">
        <w:rPr>
          <w:rFonts w:ascii="Times New Roman" w:eastAsia="等线" w:hAnsi="Times New Roman" w:cs="Times New Roman" w:hint="eastAsia"/>
          <w:color w:val="000000"/>
          <w:kern w:val="0"/>
          <w:sz w:val="22"/>
          <w:szCs w:val="20"/>
        </w:rPr>
        <w:t>T</w:t>
      </w:r>
      <w:r w:rsidRPr="004B0FD8">
        <w:rPr>
          <w:rFonts w:ascii="Times New Roman" w:eastAsia="等线" w:hAnsi="Times New Roman" w:cs="Times New Roman"/>
          <w:color w:val="000000"/>
          <w:kern w:val="0"/>
          <w:sz w:val="22"/>
          <w:szCs w:val="20"/>
        </w:rPr>
        <w:t xml:space="preserve">able s5 Main </w:t>
      </w:r>
      <w:bookmarkStart w:id="8" w:name="OLE_LINK427"/>
      <w:bookmarkStart w:id="9" w:name="OLE_LINK428"/>
      <w:r w:rsidRPr="004B0FD8">
        <w:rPr>
          <w:rFonts w:ascii="Times New Roman" w:eastAsia="等线" w:hAnsi="Times New Roman" w:cs="Times New Roman"/>
          <w:color w:val="000000"/>
          <w:kern w:val="0"/>
          <w:sz w:val="22"/>
          <w:szCs w:val="20"/>
        </w:rPr>
        <w:t>point and non-point source pollution</w:t>
      </w:r>
      <w:bookmarkEnd w:id="8"/>
      <w:bookmarkEnd w:id="9"/>
      <w:r w:rsidRPr="004B0FD8">
        <w:rPr>
          <w:rFonts w:ascii="Times New Roman" w:eastAsia="等线" w:hAnsi="Times New Roman" w:cs="Times New Roman"/>
          <w:color w:val="000000"/>
          <w:kern w:val="0"/>
          <w:sz w:val="22"/>
          <w:szCs w:val="20"/>
        </w:rPr>
        <w:t xml:space="preserve"> in the TGR.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60"/>
        <w:gridCol w:w="1934"/>
        <w:gridCol w:w="1975"/>
        <w:gridCol w:w="1366"/>
        <w:gridCol w:w="2171"/>
      </w:tblGrid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kern w:val="0"/>
                <w:sz w:val="20"/>
                <w:szCs w:val="20"/>
              </w:rPr>
              <w:t>Y</w:t>
            </w:r>
            <w:r w:rsidRPr="004B0FD8">
              <w:rPr>
                <w:rFonts w:ascii="Times New Roman" w:eastAsia="黑体" w:hAnsi="Times New Roman" w:cs="Times New Roman" w:hint="eastAsia"/>
                <w:kern w:val="0"/>
                <w:sz w:val="20"/>
                <w:szCs w:val="20"/>
              </w:rPr>
              <w:t>ear</w:t>
            </w:r>
          </w:p>
        </w:tc>
        <w:tc>
          <w:tcPr>
            <w:tcW w:w="2353" w:type="pct"/>
            <w:gridSpan w:val="2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Point source pollution</w:t>
            </w:r>
          </w:p>
        </w:tc>
        <w:tc>
          <w:tcPr>
            <w:tcW w:w="2129" w:type="pct"/>
            <w:gridSpan w:val="2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Non-point source pollution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4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Industrial wastewater</w:t>
            </w:r>
          </w:p>
        </w:tc>
        <w:tc>
          <w:tcPr>
            <w:tcW w:w="1189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Domestic wastewater</w:t>
            </w:r>
          </w:p>
        </w:tc>
        <w:tc>
          <w:tcPr>
            <w:tcW w:w="822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Net fertilizer</w:t>
            </w:r>
          </w:p>
        </w:tc>
        <w:tc>
          <w:tcPr>
            <w:tcW w:w="1307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Atmospheric deposition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4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(10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6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 kg)</w:t>
            </w:r>
          </w:p>
        </w:tc>
        <w:tc>
          <w:tcPr>
            <w:tcW w:w="118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(10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6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 kg)</w:t>
            </w:r>
          </w:p>
        </w:tc>
        <w:tc>
          <w:tcPr>
            <w:tcW w:w="822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(10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6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 kg)</w:t>
            </w:r>
          </w:p>
        </w:tc>
        <w:tc>
          <w:tcPr>
            <w:tcW w:w="1307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(10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6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 kg)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2004</w:t>
            </w:r>
          </w:p>
        </w:tc>
        <w:tc>
          <w:tcPr>
            <w:tcW w:w="1164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8.40 </w:t>
            </w:r>
          </w:p>
        </w:tc>
        <w:tc>
          <w:tcPr>
            <w:tcW w:w="1189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7.49 </w:t>
            </w:r>
          </w:p>
        </w:tc>
        <w:tc>
          <w:tcPr>
            <w:tcW w:w="822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4B0FD8">
              <w:rPr>
                <w:rFonts w:ascii="Times New Roman" w:eastAsia="黑体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highlight w:val="yellow"/>
              </w:rPr>
            </w:pPr>
            <w:r w:rsidRPr="004B0FD8">
              <w:rPr>
                <w:rFonts w:ascii="Times New Roman" w:eastAsia="黑体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2005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8.61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6.14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4B0FD8">
              <w:rPr>
                <w:rFonts w:ascii="Times New Roman" w:eastAsia="黑体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  <w:highlight w:val="yellow"/>
              </w:rPr>
            </w:pPr>
            <w:r w:rsidRPr="004B0FD8">
              <w:rPr>
                <w:rFonts w:ascii="Times New Roman" w:eastAsia="黑体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2006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8.58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6.87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293.99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147.81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2007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7.11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7.17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300.44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151.08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8.37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8.90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315.59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154.41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2009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7.29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9.35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325.62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157.73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4.79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9.23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322.77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161.00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2.87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10.59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332.21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164.27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2012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2.60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10.97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329.95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167.59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2.85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11.81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332.22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170.86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3.18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11.91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330.60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174.13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3.18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12.23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325.55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177.45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2.04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18.18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316.22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180.72 </w:t>
            </w:r>
          </w:p>
        </w:tc>
      </w:tr>
      <w:tr w:rsidR="004B0FD8" w:rsidRPr="004B0FD8" w:rsidTr="00163BA1">
        <w:trPr>
          <w:trHeight w:val="276"/>
        </w:trPr>
        <w:tc>
          <w:tcPr>
            <w:tcW w:w="518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16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5.37 </w:t>
            </w:r>
          </w:p>
        </w:tc>
        <w:tc>
          <w:tcPr>
            <w:tcW w:w="118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10.06 </w:t>
            </w:r>
          </w:p>
        </w:tc>
        <w:tc>
          <w:tcPr>
            <w:tcW w:w="822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320.47 </w:t>
            </w:r>
          </w:p>
        </w:tc>
        <w:tc>
          <w:tcPr>
            <w:tcW w:w="1307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B0FD8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 xml:space="preserve">164.28 </w:t>
            </w:r>
          </w:p>
        </w:tc>
      </w:tr>
    </w:tbl>
    <w:p w:rsidR="004B0FD8" w:rsidRPr="004B0FD8" w:rsidRDefault="004B0FD8" w:rsidP="004B0FD8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4B0FD8">
        <w:rPr>
          <w:rFonts w:ascii="Times New Roman" w:eastAsia="宋体" w:hAnsi="Times New Roman" w:cs="Times New Roman"/>
          <w:kern w:val="0"/>
          <w:sz w:val="20"/>
          <w:szCs w:val="20"/>
        </w:rPr>
        <w:t>NA means data are not available. The net N fertilizer included the N fertilizer and net N in compound fertilizer, assuming that the N content in compound fertilizer is 32.2%. For detailed data on N and compound fertilizer, please refer to the yearbooks of each county. The reported data of atmospheric deposition referenced to the work by Ding et al. (2020).</w:t>
      </w:r>
    </w:p>
    <w:p w:rsidR="004B0FD8" w:rsidRPr="004B0FD8" w:rsidRDefault="004B0FD8" w:rsidP="004B0FD8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0"/>
        </w:rPr>
      </w:pPr>
    </w:p>
    <w:p w:rsidR="004B0FD8" w:rsidRPr="004B0FD8" w:rsidRDefault="004B0FD8" w:rsidP="004B0FD8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2"/>
          <w:szCs w:val="20"/>
        </w:rPr>
      </w:pPr>
      <w:r w:rsidRPr="004B0FD8">
        <w:rPr>
          <w:rFonts w:ascii="Times New Roman" w:eastAsia="宋体" w:hAnsi="Times New Roman" w:cs="Times New Roman" w:hint="eastAsia"/>
          <w:kern w:val="0"/>
          <w:sz w:val="22"/>
          <w:szCs w:val="20"/>
        </w:rPr>
        <w:t xml:space="preserve">Table </w:t>
      </w:r>
      <w:r w:rsidRPr="004B0FD8">
        <w:rPr>
          <w:rFonts w:ascii="Times New Roman" w:eastAsia="宋体" w:hAnsi="Times New Roman" w:cs="Times New Roman"/>
          <w:kern w:val="0"/>
          <w:sz w:val="22"/>
          <w:szCs w:val="20"/>
        </w:rPr>
        <w:t>s6 Sown area, population and pollution emission in Chongqing from 2004 to 2016.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61"/>
        <w:gridCol w:w="1441"/>
        <w:gridCol w:w="1550"/>
        <w:gridCol w:w="2093"/>
        <w:gridCol w:w="2061"/>
      </w:tblGrid>
      <w:tr w:rsidR="004B0FD8" w:rsidRPr="004B0FD8" w:rsidTr="00163BA1">
        <w:trPr>
          <w:trHeight w:val="276"/>
        </w:trPr>
        <w:tc>
          <w:tcPr>
            <w:tcW w:w="810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10" w:name="OLE_LINK276"/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979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Sown Area</w:t>
            </w:r>
          </w:p>
        </w:tc>
        <w:tc>
          <w:tcPr>
            <w:tcW w:w="1044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</w:t>
            </w:r>
          </w:p>
        </w:tc>
        <w:tc>
          <w:tcPr>
            <w:tcW w:w="1255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 Consumption</w:t>
            </w:r>
          </w:p>
        </w:tc>
        <w:tc>
          <w:tcPr>
            <w:tcW w:w="913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Industrial Waste Gas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×10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km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044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×10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6</w:t>
            </w:r>
          </w:p>
        </w:tc>
        <w:tc>
          <w:tcPr>
            <w:tcW w:w="1255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×10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kg</w:t>
            </w:r>
          </w:p>
        </w:tc>
        <w:tc>
          <w:tcPr>
            <w:tcW w:w="913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×10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2004</w:t>
            </w:r>
          </w:p>
        </w:tc>
        <w:tc>
          <w:tcPr>
            <w:tcW w:w="979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34.36</w:t>
            </w:r>
          </w:p>
        </w:tc>
        <w:tc>
          <w:tcPr>
            <w:tcW w:w="1044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31.44</w:t>
            </w:r>
          </w:p>
        </w:tc>
        <w:tc>
          <w:tcPr>
            <w:tcW w:w="1255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33.68</w:t>
            </w:r>
          </w:p>
        </w:tc>
        <w:tc>
          <w:tcPr>
            <w:tcW w:w="913" w:type="pct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354.09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2005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34.45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31.69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35.27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365.46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2006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30.74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31.99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38.91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506.70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2007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31.35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32.35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45.08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761.66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2008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32.15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32.57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47.07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735.07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2009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33.08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32.76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51.25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1258.65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2010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33.59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33.03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58.11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1094.31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2011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34.13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33.30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64.27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912.11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2012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34.78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33.43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67.98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835.99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2013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35.16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33.58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72.54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953.24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2014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35.40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33.75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76.94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928.96</w:t>
            </w:r>
          </w:p>
        </w:tc>
      </w:tr>
      <w:tr w:rsidR="004B0FD8" w:rsidRPr="004B0FD8" w:rsidTr="00163BA1">
        <w:trPr>
          <w:trHeight w:val="276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2015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35.76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33.72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80.68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992.81</w:t>
            </w:r>
          </w:p>
        </w:tc>
      </w:tr>
      <w:tr w:rsidR="004B0FD8" w:rsidRPr="004B0FD8" w:rsidTr="00163BA1">
        <w:trPr>
          <w:trHeight w:val="288"/>
        </w:trPr>
        <w:tc>
          <w:tcPr>
            <w:tcW w:w="810" w:type="pct"/>
            <w:shd w:val="clear" w:color="auto" w:fill="auto"/>
            <w:noWrap/>
            <w:vAlign w:val="center"/>
            <w:hideMark/>
          </w:tcPr>
          <w:p w:rsidR="004B0FD8" w:rsidRPr="004B0FD8" w:rsidRDefault="004B0FD8" w:rsidP="004B0FD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kern w:val="0"/>
                <w:sz w:val="22"/>
              </w:rPr>
              <w:t>2016</w:t>
            </w:r>
          </w:p>
        </w:tc>
        <w:tc>
          <w:tcPr>
            <w:tcW w:w="979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36.01</w:t>
            </w:r>
          </w:p>
        </w:tc>
        <w:tc>
          <w:tcPr>
            <w:tcW w:w="1044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33.92</w:t>
            </w:r>
          </w:p>
        </w:tc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82.72</w:t>
            </w:r>
          </w:p>
        </w:tc>
        <w:tc>
          <w:tcPr>
            <w:tcW w:w="913" w:type="pct"/>
            <w:shd w:val="clear" w:color="auto" w:fill="auto"/>
            <w:noWrap/>
            <w:vAlign w:val="bottom"/>
            <w:hideMark/>
          </w:tcPr>
          <w:p w:rsidR="004B0FD8" w:rsidRPr="004B0FD8" w:rsidRDefault="004B0FD8" w:rsidP="004B0F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B0F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1216.12</w:t>
            </w:r>
          </w:p>
        </w:tc>
      </w:tr>
    </w:tbl>
    <w:bookmarkEnd w:id="10"/>
    <w:p w:rsidR="004B0FD8" w:rsidRPr="004B0FD8" w:rsidRDefault="004B0FD8" w:rsidP="004B0FD8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4B0FD8">
        <w:rPr>
          <w:rFonts w:ascii="Times New Roman" w:eastAsia="宋体" w:hAnsi="Times New Roman" w:cs="Times New Roman"/>
          <w:kern w:val="0"/>
          <w:sz w:val="20"/>
          <w:szCs w:val="20"/>
        </w:rPr>
        <w:t>T</w:t>
      </w:r>
      <w:r w:rsidRPr="004B0FD8">
        <w:rPr>
          <w:rFonts w:ascii="Times New Roman" w:eastAsia="宋体" w:hAnsi="Times New Roman" w:cs="Times New Roman" w:hint="eastAsia"/>
          <w:kern w:val="0"/>
          <w:sz w:val="20"/>
          <w:szCs w:val="20"/>
        </w:rPr>
        <w:t>h</w:t>
      </w:r>
      <w:r w:rsidRPr="004B0FD8">
        <w:rPr>
          <w:rFonts w:ascii="Times New Roman" w:eastAsia="宋体" w:hAnsi="Times New Roman" w:cs="Times New Roman"/>
          <w:kern w:val="0"/>
          <w:sz w:val="20"/>
          <w:szCs w:val="20"/>
        </w:rPr>
        <w:t xml:space="preserve">e reported data referred to the Statistical yearbook of Chongqing. </w:t>
      </w:r>
    </w:p>
    <w:p w:rsidR="004B0FD8" w:rsidRPr="004B0FD8" w:rsidRDefault="004B0FD8" w:rsidP="004B0FD8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B0FD8">
        <w:rPr>
          <w:rFonts w:ascii="Times New Roman" w:eastAsia="宋体" w:hAnsi="Times New Roman" w:cs="Times New Roman"/>
          <w:noProof/>
          <w:kern w:val="0"/>
          <w:sz w:val="24"/>
          <w:szCs w:val="24"/>
        </w:rPr>
        <w:drawing>
          <wp:inline distT="0" distB="0" distL="0" distR="0" wp14:anchorId="093E58FC" wp14:editId="37E867C1">
            <wp:extent cx="3212123" cy="2523245"/>
            <wp:effectExtent l="0" t="0" r="7620" b="0"/>
            <wp:docPr id="1" name="图片 1" descr="E:\本博士论文\三峡水库\三峡文章\图形\mk04-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本博士论文\三峡水库\三峡文章\图形\mk04-16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951" cy="2525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FD8" w:rsidRPr="004B0FD8" w:rsidRDefault="004B0FD8" w:rsidP="004B0FD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Cs w:val="21"/>
        </w:rPr>
      </w:pPr>
      <w:r w:rsidRPr="004B0FD8">
        <w:rPr>
          <w:rFonts w:ascii="Times New Roman" w:eastAsia="宋体" w:hAnsi="Times New Roman" w:cs="Times New Roman"/>
          <w:kern w:val="0"/>
          <w:szCs w:val="24"/>
        </w:rPr>
        <w:t xml:space="preserve">Fig. s1 Results of Mann-Kendall test for TN concentration in WX site from </w:t>
      </w:r>
      <w:r w:rsidRPr="004B0FD8">
        <w:rPr>
          <w:rFonts w:ascii="Times New Roman" w:eastAsia="宋体" w:hAnsi="Times New Roman" w:cs="Times New Roman" w:hint="eastAsia"/>
          <w:kern w:val="0"/>
          <w:szCs w:val="24"/>
        </w:rPr>
        <w:t>2004</w:t>
      </w:r>
      <w:r w:rsidRPr="004B0FD8">
        <w:rPr>
          <w:rFonts w:ascii="Times New Roman" w:eastAsia="宋体" w:hAnsi="Times New Roman" w:cs="Times New Roman"/>
          <w:kern w:val="0"/>
          <w:szCs w:val="24"/>
        </w:rPr>
        <w:t>-2016</w:t>
      </w:r>
      <w:r w:rsidRPr="004B0FD8">
        <w:rPr>
          <w:rFonts w:ascii="Times New Roman" w:eastAsia="宋体" w:hAnsi="Times New Roman" w:cs="Times New Roman" w:hint="eastAsia"/>
          <w:kern w:val="0"/>
          <w:szCs w:val="21"/>
        </w:rPr>
        <w:t>.</w:t>
      </w:r>
      <w:r w:rsidRPr="004B0FD8">
        <w:rPr>
          <w:rFonts w:ascii="Times New Roman" w:eastAsia="宋体" w:hAnsi="Times New Roman" w:cs="Times New Roman"/>
          <w:kern w:val="0"/>
          <w:szCs w:val="21"/>
        </w:rPr>
        <w:t xml:space="preserve"> There is an increasing trend when</w:t>
      </w:r>
      <w:r w:rsidRPr="004B0FD8">
        <w:rPr>
          <w:rFonts w:ascii="Times New Roman" w:hAnsi="Times New Roman" w:cs="Times New Roman"/>
          <w:kern w:val="0"/>
          <w:szCs w:val="21"/>
        </w:rPr>
        <w:t xml:space="preserve"> the test statistic Z-value is positive, while a decreasing trend when the Z-value is negative. The </w:t>
      </w:r>
      <w:r w:rsidRPr="004B0FD8">
        <w:rPr>
          <w:rFonts w:ascii="Times New Roman" w:hAnsi="Times New Roman" w:cs="Times New Roman" w:hint="eastAsia"/>
          <w:kern w:val="0"/>
          <w:szCs w:val="21"/>
        </w:rPr>
        <w:t>c</w:t>
      </w:r>
      <w:r w:rsidRPr="004B0FD8">
        <w:rPr>
          <w:rFonts w:ascii="Times New Roman" w:hAnsi="Times New Roman" w:cs="Times New Roman"/>
          <w:kern w:val="0"/>
          <w:szCs w:val="21"/>
        </w:rPr>
        <w:t>ritical absolute Z-value is 1.96 at the significant level of 0.05. When the two curves of UF and UB intersect at a certain point in the confidence interval, the time sequence mutation occurs at this time.</w:t>
      </w:r>
    </w:p>
    <w:p w:rsidR="00712CE8" w:rsidRPr="004B0FD8" w:rsidRDefault="003F1BBA"/>
    <w:sectPr w:rsidR="00712CE8" w:rsidRPr="004B0F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HeitiStd-Regular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Microsoft JhengHei"/>
    <w:panose1 w:val="02010609000101010101"/>
    <w:charset w:val="88"/>
    <w:family w:val="modern"/>
    <w:pitch w:val="fixed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F5AF9"/>
    <w:multiLevelType w:val="hybridMultilevel"/>
    <w:tmpl w:val="08585384"/>
    <w:lvl w:ilvl="0" w:tplc="9F4235B0">
      <w:start w:val="1"/>
      <w:numFmt w:val="bullet"/>
      <w:lvlText w:val=""/>
      <w:lvlJc w:val="left"/>
      <w:pPr>
        <w:ind w:left="360" w:hanging="360"/>
      </w:pPr>
      <w:rPr>
        <w:rFonts w:ascii="Wingdings" w:eastAsia="AdobeHeitiStd-Regular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3602B1"/>
    <w:multiLevelType w:val="hybridMultilevel"/>
    <w:tmpl w:val="06E6184A"/>
    <w:lvl w:ilvl="0" w:tplc="0718A0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1F47C9"/>
    <w:multiLevelType w:val="hybridMultilevel"/>
    <w:tmpl w:val="B3F4429C"/>
    <w:lvl w:ilvl="0" w:tplc="6F3A5F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59E4E5D"/>
    <w:multiLevelType w:val="hybridMultilevel"/>
    <w:tmpl w:val="CECCE9CC"/>
    <w:lvl w:ilvl="0" w:tplc="667ADD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C479BA"/>
    <w:multiLevelType w:val="hybridMultilevel"/>
    <w:tmpl w:val="2B8021F2"/>
    <w:lvl w:ilvl="0" w:tplc="0FEADA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35A3187"/>
    <w:multiLevelType w:val="hybridMultilevel"/>
    <w:tmpl w:val="CF6CEC4C"/>
    <w:lvl w:ilvl="0" w:tplc="643008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3AD2FB9"/>
    <w:multiLevelType w:val="hybridMultilevel"/>
    <w:tmpl w:val="8376EDB8"/>
    <w:lvl w:ilvl="0" w:tplc="98F0D6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AEA5555"/>
    <w:multiLevelType w:val="hybridMultilevel"/>
    <w:tmpl w:val="280E17E6"/>
    <w:lvl w:ilvl="0" w:tplc="5ED8DB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8FD5C89"/>
    <w:multiLevelType w:val="hybridMultilevel"/>
    <w:tmpl w:val="46BE328E"/>
    <w:lvl w:ilvl="0" w:tplc="53AA30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D365D54"/>
    <w:multiLevelType w:val="hybridMultilevel"/>
    <w:tmpl w:val="C11CFD08"/>
    <w:lvl w:ilvl="0" w:tplc="6D0E212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F9E2995"/>
    <w:multiLevelType w:val="hybridMultilevel"/>
    <w:tmpl w:val="A8649116"/>
    <w:lvl w:ilvl="0" w:tplc="619292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7"/>
  </w:num>
  <w:num w:numId="3">
    <w:abstractNumId w:val="1"/>
  </w:num>
  <w:num w:numId="4">
    <w:abstractNumId w:val="4"/>
  </w:num>
  <w:num w:numId="5">
    <w:abstractNumId w:val="6"/>
  </w:num>
  <w:num w:numId="6">
    <w:abstractNumId w:val="8"/>
  </w:num>
  <w:num w:numId="7">
    <w:abstractNumId w:val="5"/>
  </w:num>
  <w:num w:numId="8">
    <w:abstractNumId w:val="2"/>
  </w:num>
  <w:num w:numId="9">
    <w:abstractNumId w:val="3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5B0"/>
    <w:rsid w:val="003F09F3"/>
    <w:rsid w:val="003F1BBA"/>
    <w:rsid w:val="004B0FD8"/>
    <w:rsid w:val="007065B0"/>
    <w:rsid w:val="00E1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CE1A6"/>
  <w15:chartTrackingRefBased/>
  <w15:docId w15:val="{008FE432-3B6E-4A40-9925-0D6F921FE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B0FD8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0FD8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 w:cs="Times New Roman"/>
      <w:b/>
      <w:bCs/>
      <w:i/>
      <w:iCs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0FD8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 w:cs="Times New Roman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0FD8"/>
    <w:pPr>
      <w:keepNext/>
      <w:widowControl/>
      <w:spacing w:before="240" w:after="60"/>
      <w:jc w:val="left"/>
      <w:outlineLvl w:val="3"/>
    </w:pPr>
    <w:rPr>
      <w:rFonts w:cs="Times New Roman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0FD8"/>
    <w:pPr>
      <w:widowControl/>
      <w:spacing w:before="240" w:after="60"/>
      <w:jc w:val="left"/>
      <w:outlineLvl w:val="4"/>
    </w:pPr>
    <w:rPr>
      <w:rFonts w:cs="Times New Roman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0FD8"/>
    <w:pPr>
      <w:widowControl/>
      <w:spacing w:before="240" w:after="60"/>
      <w:jc w:val="left"/>
      <w:outlineLvl w:val="5"/>
    </w:pPr>
    <w:rPr>
      <w:rFonts w:cs="Times New Roman"/>
      <w:b/>
      <w:bCs/>
      <w:kern w:val="0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0FD8"/>
    <w:pPr>
      <w:widowControl/>
      <w:spacing w:before="240" w:after="60"/>
      <w:jc w:val="left"/>
      <w:outlineLvl w:val="6"/>
    </w:pPr>
    <w:rPr>
      <w:rFonts w:cs="Times New Roman"/>
      <w:kern w:val="0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0FD8"/>
    <w:pPr>
      <w:widowControl/>
      <w:spacing w:before="240" w:after="60"/>
      <w:jc w:val="left"/>
      <w:outlineLvl w:val="7"/>
    </w:pPr>
    <w:rPr>
      <w:rFonts w:cs="Times New Roman"/>
      <w:i/>
      <w:iCs/>
      <w:kern w:val="0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0FD8"/>
    <w:pPr>
      <w:widowControl/>
      <w:spacing w:before="240" w:after="60"/>
      <w:jc w:val="left"/>
      <w:outlineLvl w:val="8"/>
    </w:pPr>
    <w:rPr>
      <w:rFonts w:asciiTheme="majorHAnsi" w:eastAsiaTheme="majorEastAsia" w:hAnsiTheme="majorHAns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B0FD8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4B0FD8"/>
    <w:rPr>
      <w:rFonts w:asciiTheme="majorHAnsi" w:eastAsiaTheme="majorEastAsia" w:hAnsiTheme="majorHAnsi" w:cs="Times New Roman"/>
      <w:b/>
      <w:bCs/>
      <w:i/>
      <w:iCs/>
      <w:kern w:val="0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4B0FD8"/>
    <w:rPr>
      <w:rFonts w:asciiTheme="majorHAnsi" w:eastAsiaTheme="majorEastAsia" w:hAnsiTheme="majorHAnsi" w:cs="Times New Roman"/>
      <w:b/>
      <w:bCs/>
      <w:kern w:val="0"/>
      <w:sz w:val="26"/>
      <w:szCs w:val="26"/>
    </w:rPr>
  </w:style>
  <w:style w:type="character" w:customStyle="1" w:styleId="40">
    <w:name w:val="标题 4 字符"/>
    <w:basedOn w:val="a0"/>
    <w:link w:val="4"/>
    <w:uiPriority w:val="9"/>
    <w:semiHidden/>
    <w:rsid w:val="004B0FD8"/>
    <w:rPr>
      <w:rFonts w:cs="Times New Roman"/>
      <w:b/>
      <w:bCs/>
      <w:kern w:val="0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B0FD8"/>
    <w:rPr>
      <w:rFonts w:cs="Times New Roman"/>
      <w:b/>
      <w:bCs/>
      <w:i/>
      <w:iCs/>
      <w:kern w:val="0"/>
      <w:sz w:val="26"/>
      <w:szCs w:val="26"/>
    </w:rPr>
  </w:style>
  <w:style w:type="character" w:customStyle="1" w:styleId="60">
    <w:name w:val="标题 6 字符"/>
    <w:basedOn w:val="a0"/>
    <w:link w:val="6"/>
    <w:uiPriority w:val="9"/>
    <w:semiHidden/>
    <w:rsid w:val="004B0FD8"/>
    <w:rPr>
      <w:rFonts w:cs="Times New Roman"/>
      <w:b/>
      <w:bCs/>
      <w:kern w:val="0"/>
      <w:sz w:val="22"/>
    </w:rPr>
  </w:style>
  <w:style w:type="character" w:customStyle="1" w:styleId="70">
    <w:name w:val="标题 7 字符"/>
    <w:basedOn w:val="a0"/>
    <w:link w:val="7"/>
    <w:uiPriority w:val="9"/>
    <w:semiHidden/>
    <w:rsid w:val="004B0FD8"/>
    <w:rPr>
      <w:rFonts w:cs="Times New Roman"/>
      <w:kern w:val="0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B0FD8"/>
    <w:rPr>
      <w:rFonts w:cs="Times New Roman"/>
      <w:i/>
      <w:iCs/>
      <w:kern w:val="0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B0FD8"/>
    <w:rPr>
      <w:rFonts w:asciiTheme="majorHAnsi" w:eastAsiaTheme="majorEastAsia" w:hAnsiTheme="majorHAnsi" w:cs="Times New Roman"/>
      <w:kern w:val="0"/>
      <w:sz w:val="22"/>
    </w:rPr>
  </w:style>
  <w:style w:type="numbering" w:customStyle="1" w:styleId="11">
    <w:name w:val="无列表1"/>
    <w:next w:val="a2"/>
    <w:uiPriority w:val="99"/>
    <w:semiHidden/>
    <w:unhideWhenUsed/>
    <w:rsid w:val="004B0FD8"/>
  </w:style>
  <w:style w:type="paragraph" w:styleId="a3">
    <w:name w:val="header"/>
    <w:basedOn w:val="a"/>
    <w:link w:val="a4"/>
    <w:uiPriority w:val="99"/>
    <w:unhideWhenUsed/>
    <w:rsid w:val="004B0FD8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0FD8"/>
    <w:rPr>
      <w:rFonts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0FD8"/>
    <w:pPr>
      <w:widowControl/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0FD8"/>
    <w:rPr>
      <w:rFonts w:cs="Times New Roman"/>
      <w:kern w:val="0"/>
      <w:sz w:val="18"/>
      <w:szCs w:val="18"/>
    </w:rPr>
  </w:style>
  <w:style w:type="paragraph" w:styleId="a7">
    <w:name w:val="List Paragraph"/>
    <w:basedOn w:val="a"/>
    <w:uiPriority w:val="34"/>
    <w:qFormat/>
    <w:rsid w:val="004B0FD8"/>
    <w:pPr>
      <w:widowControl/>
      <w:ind w:left="720"/>
      <w:contextualSpacing/>
      <w:jc w:val="left"/>
    </w:pPr>
    <w:rPr>
      <w:rFonts w:cs="Times New Roman"/>
      <w:kern w:val="0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4B0FD8"/>
    <w:pPr>
      <w:widowControl/>
      <w:spacing w:before="240" w:after="60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4B0FD8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aa">
    <w:name w:val="Subtitle"/>
    <w:basedOn w:val="a"/>
    <w:next w:val="a"/>
    <w:link w:val="ab"/>
    <w:uiPriority w:val="11"/>
    <w:qFormat/>
    <w:rsid w:val="004B0FD8"/>
    <w:pPr>
      <w:widowControl/>
      <w:spacing w:after="60"/>
      <w:jc w:val="center"/>
      <w:outlineLvl w:val="1"/>
    </w:pPr>
    <w:rPr>
      <w:rFonts w:asciiTheme="majorHAnsi" w:eastAsiaTheme="majorEastAsia" w:hAnsiTheme="majorHAnsi" w:cs="Times New Roman"/>
      <w:kern w:val="0"/>
      <w:sz w:val="24"/>
      <w:szCs w:val="24"/>
    </w:rPr>
  </w:style>
  <w:style w:type="character" w:customStyle="1" w:styleId="ab">
    <w:name w:val="副标题 字符"/>
    <w:basedOn w:val="a0"/>
    <w:link w:val="aa"/>
    <w:uiPriority w:val="11"/>
    <w:rsid w:val="004B0FD8"/>
    <w:rPr>
      <w:rFonts w:asciiTheme="majorHAnsi" w:eastAsiaTheme="majorEastAsia" w:hAnsiTheme="majorHAnsi" w:cs="Times New Roman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4B0FD8"/>
    <w:rPr>
      <w:b/>
      <w:bCs/>
    </w:rPr>
  </w:style>
  <w:style w:type="character" w:styleId="ad">
    <w:name w:val="Emphasis"/>
    <w:basedOn w:val="a0"/>
    <w:uiPriority w:val="20"/>
    <w:qFormat/>
    <w:rsid w:val="004B0FD8"/>
    <w:rPr>
      <w:rFonts w:asciiTheme="minorHAnsi" w:hAnsiTheme="minorHAnsi"/>
      <w:b/>
      <w:i/>
      <w:iCs/>
    </w:rPr>
  </w:style>
  <w:style w:type="paragraph" w:styleId="ae">
    <w:name w:val="No Spacing"/>
    <w:basedOn w:val="a"/>
    <w:uiPriority w:val="1"/>
    <w:qFormat/>
    <w:rsid w:val="004B0FD8"/>
    <w:pPr>
      <w:widowControl/>
      <w:jc w:val="left"/>
    </w:pPr>
    <w:rPr>
      <w:rFonts w:cs="Times New Roman"/>
      <w:kern w:val="0"/>
      <w:sz w:val="24"/>
      <w:szCs w:val="32"/>
    </w:rPr>
  </w:style>
  <w:style w:type="paragraph" w:styleId="af">
    <w:name w:val="Quote"/>
    <w:basedOn w:val="a"/>
    <w:next w:val="a"/>
    <w:link w:val="af0"/>
    <w:uiPriority w:val="29"/>
    <w:qFormat/>
    <w:rsid w:val="004B0FD8"/>
    <w:pPr>
      <w:widowControl/>
      <w:jc w:val="left"/>
    </w:pPr>
    <w:rPr>
      <w:rFonts w:cs="Times New Roman"/>
      <w:i/>
      <w:kern w:val="0"/>
      <w:sz w:val="24"/>
      <w:szCs w:val="24"/>
    </w:rPr>
  </w:style>
  <w:style w:type="character" w:customStyle="1" w:styleId="af0">
    <w:name w:val="引用 字符"/>
    <w:basedOn w:val="a0"/>
    <w:link w:val="af"/>
    <w:uiPriority w:val="29"/>
    <w:rsid w:val="004B0FD8"/>
    <w:rPr>
      <w:rFonts w:cs="Times New Roman"/>
      <w:i/>
      <w:kern w:val="0"/>
      <w:sz w:val="24"/>
      <w:szCs w:val="24"/>
    </w:rPr>
  </w:style>
  <w:style w:type="paragraph" w:styleId="af1">
    <w:name w:val="Intense Quote"/>
    <w:basedOn w:val="a"/>
    <w:next w:val="a"/>
    <w:link w:val="af2"/>
    <w:uiPriority w:val="30"/>
    <w:qFormat/>
    <w:rsid w:val="004B0FD8"/>
    <w:pPr>
      <w:widowControl/>
      <w:ind w:left="720" w:right="720"/>
      <w:jc w:val="left"/>
    </w:pPr>
    <w:rPr>
      <w:rFonts w:cs="Times New Roman"/>
      <w:b/>
      <w:i/>
      <w:kern w:val="0"/>
      <w:sz w:val="24"/>
    </w:rPr>
  </w:style>
  <w:style w:type="character" w:customStyle="1" w:styleId="af2">
    <w:name w:val="明显引用 字符"/>
    <w:basedOn w:val="a0"/>
    <w:link w:val="af1"/>
    <w:uiPriority w:val="30"/>
    <w:rsid w:val="004B0FD8"/>
    <w:rPr>
      <w:rFonts w:cs="Times New Roman"/>
      <w:b/>
      <w:i/>
      <w:kern w:val="0"/>
      <w:sz w:val="24"/>
    </w:rPr>
  </w:style>
  <w:style w:type="character" w:styleId="af3">
    <w:name w:val="Subtle Emphasis"/>
    <w:uiPriority w:val="19"/>
    <w:qFormat/>
    <w:rsid w:val="004B0FD8"/>
    <w:rPr>
      <w:i/>
      <w:color w:val="5A5A5A" w:themeColor="text1" w:themeTint="A5"/>
    </w:rPr>
  </w:style>
  <w:style w:type="character" w:styleId="af4">
    <w:name w:val="Intense Emphasis"/>
    <w:basedOn w:val="a0"/>
    <w:uiPriority w:val="21"/>
    <w:qFormat/>
    <w:rsid w:val="004B0FD8"/>
    <w:rPr>
      <w:b/>
      <w:i/>
      <w:sz w:val="24"/>
      <w:szCs w:val="24"/>
      <w:u w:val="single"/>
    </w:rPr>
  </w:style>
  <w:style w:type="character" w:styleId="af5">
    <w:name w:val="Subtle Reference"/>
    <w:basedOn w:val="a0"/>
    <w:uiPriority w:val="31"/>
    <w:qFormat/>
    <w:rsid w:val="004B0FD8"/>
    <w:rPr>
      <w:sz w:val="24"/>
      <w:szCs w:val="24"/>
      <w:u w:val="single"/>
    </w:rPr>
  </w:style>
  <w:style w:type="character" w:styleId="af6">
    <w:name w:val="Intense Reference"/>
    <w:basedOn w:val="a0"/>
    <w:uiPriority w:val="32"/>
    <w:qFormat/>
    <w:rsid w:val="004B0FD8"/>
    <w:rPr>
      <w:b/>
      <w:sz w:val="24"/>
      <w:u w:val="single"/>
    </w:rPr>
  </w:style>
  <w:style w:type="character" w:styleId="af7">
    <w:name w:val="Book Title"/>
    <w:basedOn w:val="a0"/>
    <w:uiPriority w:val="33"/>
    <w:qFormat/>
    <w:rsid w:val="004B0FD8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4B0FD8"/>
    <w:pPr>
      <w:outlineLvl w:val="9"/>
    </w:pPr>
  </w:style>
  <w:style w:type="paragraph" w:styleId="af8">
    <w:name w:val="Normal (Web)"/>
    <w:basedOn w:val="a"/>
    <w:uiPriority w:val="99"/>
    <w:semiHidden/>
    <w:unhideWhenUsed/>
    <w:rsid w:val="004B0F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9">
    <w:name w:val="line number"/>
    <w:basedOn w:val="a0"/>
    <w:uiPriority w:val="99"/>
    <w:semiHidden/>
    <w:unhideWhenUsed/>
    <w:rsid w:val="004B0FD8"/>
  </w:style>
  <w:style w:type="paragraph" w:styleId="afa">
    <w:name w:val="Balloon Text"/>
    <w:basedOn w:val="a"/>
    <w:link w:val="afb"/>
    <w:uiPriority w:val="99"/>
    <w:semiHidden/>
    <w:unhideWhenUsed/>
    <w:rsid w:val="004B0FD8"/>
    <w:pPr>
      <w:widowControl/>
      <w:jc w:val="left"/>
    </w:pPr>
    <w:rPr>
      <w:rFonts w:cs="Times New Roman"/>
      <w:kern w:val="0"/>
      <w:sz w:val="18"/>
      <w:szCs w:val="18"/>
    </w:rPr>
  </w:style>
  <w:style w:type="character" w:customStyle="1" w:styleId="afb">
    <w:name w:val="批注框文本 字符"/>
    <w:basedOn w:val="a0"/>
    <w:link w:val="afa"/>
    <w:uiPriority w:val="99"/>
    <w:semiHidden/>
    <w:rsid w:val="004B0FD8"/>
    <w:rPr>
      <w:rFonts w:cs="Times New Roman"/>
      <w:kern w:val="0"/>
      <w:sz w:val="18"/>
      <w:szCs w:val="18"/>
    </w:rPr>
  </w:style>
  <w:style w:type="character" w:styleId="afc">
    <w:name w:val="annotation reference"/>
    <w:basedOn w:val="a0"/>
    <w:uiPriority w:val="99"/>
    <w:semiHidden/>
    <w:unhideWhenUsed/>
    <w:rsid w:val="004B0FD8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4B0FD8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fe">
    <w:name w:val="批注文字 字符"/>
    <w:basedOn w:val="a0"/>
    <w:link w:val="afd"/>
    <w:uiPriority w:val="99"/>
    <w:semiHidden/>
    <w:rsid w:val="004B0FD8"/>
    <w:rPr>
      <w:rFonts w:cs="Times New Roman"/>
      <w:kern w:val="0"/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4B0FD8"/>
    <w:rPr>
      <w:b/>
      <w:bCs/>
    </w:rPr>
  </w:style>
  <w:style w:type="character" w:customStyle="1" w:styleId="aff0">
    <w:name w:val="批注主题 字符"/>
    <w:basedOn w:val="afe"/>
    <w:link w:val="aff"/>
    <w:uiPriority w:val="99"/>
    <w:semiHidden/>
    <w:rsid w:val="004B0FD8"/>
    <w:rPr>
      <w:rFonts w:cs="Times New Roman"/>
      <w:b/>
      <w:bCs/>
      <w:kern w:val="0"/>
      <w:sz w:val="20"/>
      <w:szCs w:val="20"/>
    </w:rPr>
  </w:style>
  <w:style w:type="paragraph" w:styleId="aff1">
    <w:name w:val="Revision"/>
    <w:hidden/>
    <w:uiPriority w:val="99"/>
    <w:semiHidden/>
    <w:rsid w:val="004B0FD8"/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1210</Words>
  <Characters>6898</Characters>
  <Application>Microsoft Office Word</Application>
  <DocSecurity>0</DocSecurity>
  <Lines>57</Lines>
  <Paragraphs>16</Paragraphs>
  <ScaleCrop>false</ScaleCrop>
  <Company>微软中国</Company>
  <LinksUpToDate>false</LinksUpToDate>
  <CharactersWithSpaces>8092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2021-04-09T01:49:00Z</dcterms:created>
  <dcterms:modified xsi:type="dcterms:W3CDTF">2021-04-09T01:50:00Z</dcterms:modified>
</cp:coreProperties>
</file>