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FD" w:rsidRPr="000C44FD" w:rsidRDefault="000C44FD" w:rsidP="000C44FD">
      <w:pPr>
        <w:pStyle w:val="Title"/>
      </w:pPr>
      <w:r w:rsidRPr="000C44FD">
        <w:t xml:space="preserve">Supplementary material: </w:t>
      </w:r>
      <w:bookmarkStart w:id="0" w:name="_Hlk148608208"/>
      <w:r w:rsidRPr="000C44FD">
        <w:t xml:space="preserve">Exploring incentives to move up the Food Waste Hierarchy: a case study of the Australian cheese manufacturing sector </w:t>
      </w:r>
    </w:p>
    <w:bookmarkEnd w:id="0"/>
    <w:p w:rsidR="000C44FD" w:rsidRDefault="000C44FD" w:rsidP="000C44FD"/>
    <w:p w:rsidR="000C44FD" w:rsidRDefault="000C44FD" w:rsidP="00DC2E5C">
      <w:pPr>
        <w:pStyle w:val="Heading1"/>
      </w:pPr>
      <w:r>
        <w:t xml:space="preserve">Robustness check </w:t>
      </w:r>
    </w:p>
    <w:p w:rsidR="000C44FD" w:rsidRDefault="000C44FD" w:rsidP="000C44FD">
      <w:pPr>
        <w:pStyle w:val="Caption"/>
      </w:pPr>
      <w:bookmarkStart w:id="1" w:name="_Ref148621479"/>
      <w:bookmarkStart w:id="2" w:name="_Ref149573657"/>
      <w:r w:rsidRPr="005B6BE9">
        <w:t>Table</w:t>
      </w:r>
      <w:bookmarkEnd w:id="1"/>
      <w:bookmarkEnd w:id="2"/>
      <w:r>
        <w:t xml:space="preserve"> S</w:t>
      </w:r>
      <w:r w:rsidR="00EF02FC">
        <w:t>1</w:t>
      </w:r>
      <w:r w:rsidRPr="005B6BE9">
        <w:t>. Comparison of individual motivator-scoring across behaviour sub-groups aligned to the Food Waste Hierarchy.</w:t>
      </w:r>
    </w:p>
    <w:tbl>
      <w:tblPr>
        <w:tblStyle w:val="TableGrid"/>
        <w:tblW w:w="13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6"/>
        <w:gridCol w:w="1335"/>
        <w:gridCol w:w="1335"/>
        <w:gridCol w:w="1337"/>
        <w:gridCol w:w="1335"/>
        <w:gridCol w:w="1247"/>
        <w:gridCol w:w="1428"/>
        <w:gridCol w:w="1335"/>
        <w:gridCol w:w="1339"/>
      </w:tblGrid>
      <w:tr w:rsidR="00727EBF" w:rsidRPr="00727EBF" w:rsidTr="004641CF">
        <w:trPr>
          <w:trHeight w:val="208"/>
        </w:trPr>
        <w:tc>
          <w:tcPr>
            <w:tcW w:w="3296" w:type="dxa"/>
            <w:tcBorders>
              <w:top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9" w:type="dxa"/>
            <w:gridSpan w:val="5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/>
                <w:bCs/>
                <w:color w:val="000000" w:themeColor="text1"/>
                <w:sz w:val="18"/>
                <w:szCs w:val="18"/>
              </w:rPr>
              <w:t>4-group comparison</w:t>
            </w:r>
          </w:p>
        </w:tc>
        <w:tc>
          <w:tcPr>
            <w:tcW w:w="4102" w:type="dxa"/>
            <w:gridSpan w:val="3"/>
            <w:tcBorders>
              <w:top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/>
                <w:bCs/>
                <w:color w:val="000000" w:themeColor="text1"/>
                <w:sz w:val="18"/>
                <w:szCs w:val="18"/>
              </w:rPr>
              <w:t>2-group comparison</w:t>
            </w:r>
          </w:p>
        </w:tc>
      </w:tr>
      <w:tr w:rsidR="00727EBF" w:rsidRPr="00727EBF" w:rsidTr="00727EBF">
        <w:trPr>
          <w:trHeight w:val="285"/>
        </w:trPr>
        <w:tc>
          <w:tcPr>
            <w:tcW w:w="3296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Cs/>
                <w:color w:val="000000" w:themeColor="text1"/>
                <w:sz w:val="18"/>
                <w:szCs w:val="18"/>
              </w:rPr>
              <w:t>Human food products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Cs/>
                <w:color w:val="000000" w:themeColor="text1"/>
                <w:sz w:val="18"/>
                <w:szCs w:val="18"/>
              </w:rPr>
              <w:t>Animal Feed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Cs/>
                <w:color w:val="000000" w:themeColor="text1"/>
                <w:sz w:val="18"/>
                <w:szCs w:val="18"/>
              </w:rPr>
              <w:t>Recycling or</w:t>
            </w:r>
          </w:p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Cs/>
                <w:color w:val="000000" w:themeColor="text1"/>
                <w:sz w:val="18"/>
                <w:szCs w:val="18"/>
              </w:rPr>
              <w:t>recovery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Cs/>
                <w:color w:val="000000" w:themeColor="text1"/>
                <w:sz w:val="18"/>
                <w:szCs w:val="18"/>
              </w:rPr>
              <w:t>Disposal</w:t>
            </w:r>
          </w:p>
        </w:tc>
        <w:tc>
          <w:tcPr>
            <w:tcW w:w="1247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Cs/>
                <w:color w:val="000000" w:themeColor="text1"/>
                <w:sz w:val="18"/>
                <w:szCs w:val="18"/>
              </w:rPr>
              <w:t>P-value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Cs/>
                <w:color w:val="000000" w:themeColor="text1"/>
                <w:sz w:val="18"/>
                <w:szCs w:val="18"/>
              </w:rPr>
              <w:t>Reduction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Cs/>
                <w:color w:val="000000" w:themeColor="text1"/>
                <w:sz w:val="18"/>
                <w:szCs w:val="18"/>
              </w:rPr>
              <w:t>Waste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Cs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727EBF" w:rsidRPr="00727EBF" w:rsidTr="00727EBF">
        <w:trPr>
          <w:trHeight w:val="82"/>
        </w:trPr>
        <w:tc>
          <w:tcPr>
            <w:tcW w:w="3296" w:type="dxa"/>
            <w:tcBorders>
              <w:top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4641C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  <w:u w:val="single"/>
              </w:rPr>
              <w:t>Median score (IQR)</w:t>
            </w:r>
            <w:r w:rsidRPr="00727EBF">
              <w:rPr>
                <w:color w:val="000000" w:themeColor="text1"/>
                <w:sz w:val="18"/>
                <w:szCs w:val="18"/>
                <w:u w:val="single"/>
                <w:vertAlign w:val="superscript"/>
              </w:rPr>
              <w:t>1</w:t>
            </w:r>
            <w:r w:rsidRPr="00727EBF">
              <w:rPr>
                <w:color w:val="000000" w:themeColor="text1"/>
                <w:sz w:val="18"/>
                <w:szCs w:val="18"/>
                <w:u w:val="single"/>
              </w:rPr>
              <w:t>:</w:t>
            </w: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8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9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 xml:space="preserve">Maximising profit 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70 (50)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30 (20)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45 (50.9)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20 (27.5)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30 (32.5)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31.7 (30)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0.94</w:t>
            </w: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Government regulations</w:t>
            </w:r>
            <w:bookmarkStart w:id="3" w:name="_GoBack"/>
            <w:bookmarkEnd w:id="3"/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0 (0)</w:t>
            </w:r>
            <w:r w:rsidRPr="00727EBF">
              <w:rPr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14 (25)</w:t>
            </w:r>
            <w:r w:rsidRPr="00727EBF">
              <w:rPr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10 (</w:t>
            </w:r>
            <w:proofErr w:type="gramStart"/>
            <w:r w:rsidRPr="00727EBF">
              <w:rPr>
                <w:b/>
                <w:sz w:val="18"/>
                <w:szCs w:val="18"/>
              </w:rPr>
              <w:t>19.8)</w:t>
            </w:r>
            <w:r w:rsidRPr="00727EBF">
              <w:rPr>
                <w:b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20 (</w:t>
            </w:r>
            <w:proofErr w:type="gramStart"/>
            <w:r w:rsidRPr="00727EBF">
              <w:rPr>
                <w:b/>
                <w:sz w:val="18"/>
                <w:szCs w:val="18"/>
              </w:rPr>
              <w:t>12.5)</w:t>
            </w:r>
            <w:r w:rsidRPr="00727EBF">
              <w:rPr>
                <w:b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/>
                <w:bCs/>
                <w:color w:val="000000" w:themeColor="text1"/>
                <w:sz w:val="18"/>
                <w:szCs w:val="18"/>
              </w:rPr>
              <w:t>0.09*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9 (26.3)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17.5 (10)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0.39</w:t>
            </w: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Buyers’ expectations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 (0)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10 (17)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2.5 (10)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12.5 (20)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4.5 (15.5)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7.5 (18.8)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0.66</w:t>
            </w: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Society’s expectations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15 (20)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10 (14.5)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4.2 (10)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5 (16.3)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10 (16.3)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5 (10)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0.56</w:t>
            </w:r>
          </w:p>
        </w:tc>
      </w:tr>
      <w:tr w:rsidR="00727EBF" w:rsidRPr="00727EBF" w:rsidTr="00727EBF">
        <w:trPr>
          <w:trHeight w:val="72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Protecting the natural environment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15 (10)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15 (12.5)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17.5 (25)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30 (22.5)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0.50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15 (11.3)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20 (28.8)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0.33</w:t>
            </w:r>
          </w:p>
        </w:tc>
      </w:tr>
      <w:tr w:rsidR="00727EBF" w:rsidRPr="00727EBF" w:rsidTr="00727EBF">
        <w:trPr>
          <w:trHeight w:val="285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Keeping up with practices used by other manufacturers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0 (</w:t>
            </w:r>
            <w:proofErr w:type="gramStart"/>
            <w:r w:rsidRPr="00727EBF">
              <w:rPr>
                <w:b/>
                <w:sz w:val="18"/>
                <w:szCs w:val="18"/>
              </w:rPr>
              <w:t>0)</w:t>
            </w:r>
            <w:r w:rsidRPr="00727EBF">
              <w:rPr>
                <w:b/>
                <w:sz w:val="18"/>
                <w:szCs w:val="18"/>
                <w:vertAlign w:val="superscript"/>
              </w:rPr>
              <w:t>ab</w:t>
            </w:r>
            <w:proofErr w:type="gramEnd"/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0 (10)</w:t>
            </w:r>
            <w:r w:rsidRPr="00727EBF">
              <w:rPr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0 (0)</w:t>
            </w:r>
            <w:r w:rsidRPr="00727EBF">
              <w:rPr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0 (0)</w:t>
            </w:r>
            <w:r w:rsidRPr="00727EBF">
              <w:rPr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/>
                <w:bCs/>
                <w:color w:val="000000" w:themeColor="text1"/>
                <w:sz w:val="18"/>
                <w:szCs w:val="18"/>
              </w:rPr>
              <w:t>0.10*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0 (10)</w:t>
            </w:r>
            <w:r w:rsidRPr="00727EBF">
              <w:rPr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0 (0)</w:t>
            </w:r>
            <w:r w:rsidRPr="00727EBF">
              <w:rPr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b/>
                <w:bCs/>
                <w:color w:val="000000" w:themeColor="text1"/>
                <w:sz w:val="18"/>
                <w:szCs w:val="18"/>
              </w:rPr>
              <w:t>0.03**</w:t>
            </w: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 (0)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 (0)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 (0)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 (0)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0.51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 (0)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 (0)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0.46</w:t>
            </w: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4641C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8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9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4641C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  <w:u w:val="single"/>
              </w:rPr>
              <w:t>Mean score (SD)</w:t>
            </w:r>
            <w:r w:rsidRPr="00727EBF">
              <w:rPr>
                <w:color w:val="000000" w:themeColor="text1"/>
                <w:sz w:val="18"/>
                <w:szCs w:val="18"/>
                <w:u w:val="single"/>
                <w:vertAlign w:val="superscript"/>
              </w:rPr>
              <w:t>2</w:t>
            </w:r>
            <w:r w:rsidRPr="00727EBF">
              <w:rPr>
                <w:color w:val="000000" w:themeColor="text1"/>
                <w:sz w:val="18"/>
                <w:szCs w:val="18"/>
                <w:u w:val="single"/>
              </w:rPr>
              <w:t>:</w:t>
            </w: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28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5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9" w:type="dxa"/>
            <w:hideMark/>
          </w:tcPr>
          <w:p w:rsidR="00727EBF" w:rsidRPr="00727EBF" w:rsidRDefault="00727EBF" w:rsidP="004641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 xml:space="preserve">Maximising profit 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727EBF">
              <w:rPr>
                <w:sz w:val="18"/>
                <w:szCs w:val="18"/>
              </w:rPr>
              <w:t>29.7 (</w:t>
            </w:r>
            <w:proofErr w:type="gramStart"/>
            <w:r w:rsidRPr="00727EBF">
              <w:rPr>
                <w:sz w:val="18"/>
                <w:szCs w:val="18"/>
              </w:rPr>
              <w:t>22.4)</w:t>
            </w:r>
            <w:r w:rsidRPr="00727EBF">
              <w:rPr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50.6 (</w:t>
            </w:r>
            <w:proofErr w:type="gramStart"/>
            <w:r w:rsidRPr="00727EBF">
              <w:rPr>
                <w:sz w:val="18"/>
                <w:szCs w:val="18"/>
              </w:rPr>
              <w:t>33.8)</w:t>
            </w:r>
            <w:r w:rsidRPr="00727EBF">
              <w:rPr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27.1 (</w:t>
            </w:r>
            <w:proofErr w:type="gramStart"/>
            <w:r w:rsidRPr="00727EBF">
              <w:rPr>
                <w:sz w:val="18"/>
                <w:szCs w:val="18"/>
              </w:rPr>
              <w:t>20.6)</w:t>
            </w:r>
            <w:r w:rsidRPr="00727EBF">
              <w:rPr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29.7 (</w:t>
            </w:r>
            <w:proofErr w:type="gramStart"/>
            <w:r w:rsidRPr="00727EBF">
              <w:rPr>
                <w:sz w:val="18"/>
                <w:szCs w:val="18"/>
              </w:rPr>
              <w:t>22.4)</w:t>
            </w:r>
            <w:r w:rsidRPr="00727EBF">
              <w:rPr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0.07*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35.8 (26.5)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37.8 (29.3)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0.82</w:t>
            </w: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Government regulations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19.5 (18.1)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18.4 (27.5)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22.9 (19.4)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19.5 (18.1)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0.39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15.6 (17.5)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20.9 (22.9)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0.41</w:t>
            </w: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Buyers’ expectations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8.9 (8.3)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5.5 (6.9)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12.1 (11)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8.9 (8.3)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0.24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7.7 (8.5)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9.1 (9.7)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0.61</w:t>
            </w: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Society’s expectations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8.6 (8.7)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5.8 (6.6)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10 (12.4)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8.6 (8.7)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0.59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9.7 (9.8)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8.1 (10.2)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EBF">
              <w:rPr>
                <w:color w:val="000000" w:themeColor="text1"/>
                <w:sz w:val="18"/>
                <w:szCs w:val="18"/>
              </w:rPr>
              <w:t>0.61</w:t>
            </w:r>
          </w:p>
        </w:tc>
      </w:tr>
      <w:tr w:rsidR="00727EBF" w:rsidRPr="00727EBF" w:rsidTr="00727EBF">
        <w:trPr>
          <w:trHeight w:val="285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Protecting the natural environment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20.8 (20.8)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18.2 (15.4)</w:t>
            </w:r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27.1 (17.9)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20.8 (20.8)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0.72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20.9 (20.8)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23 (17)</w:t>
            </w:r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0.71</w:t>
            </w:r>
          </w:p>
        </w:tc>
      </w:tr>
      <w:tr w:rsidR="00727EBF" w:rsidRPr="00727EBF" w:rsidTr="00727EBF">
        <w:trPr>
          <w:trHeight w:val="285"/>
        </w:trPr>
        <w:tc>
          <w:tcPr>
            <w:tcW w:w="3296" w:type="dxa"/>
            <w:hideMark/>
          </w:tcPr>
          <w:p w:rsidR="00727EBF" w:rsidRPr="00727EBF" w:rsidRDefault="00727EBF" w:rsidP="00727EBF">
            <w:pPr>
              <w:pStyle w:val="NoSpacing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Keeping up with practices used by other manufacturers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5.3 (</w:t>
            </w:r>
            <w:proofErr w:type="gramStart"/>
            <w:r w:rsidRPr="00727EBF">
              <w:rPr>
                <w:sz w:val="18"/>
                <w:szCs w:val="18"/>
              </w:rPr>
              <w:t>6.6)</w:t>
            </w:r>
            <w:r w:rsidRPr="00727EBF">
              <w:rPr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0.5 (</w:t>
            </w:r>
            <w:proofErr w:type="gramStart"/>
            <w:r w:rsidRPr="00727EBF">
              <w:rPr>
                <w:sz w:val="18"/>
                <w:szCs w:val="18"/>
              </w:rPr>
              <w:t>1.6)</w:t>
            </w:r>
            <w:r w:rsidRPr="00727EBF">
              <w:rPr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37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0.8 (</w:t>
            </w:r>
            <w:proofErr w:type="gramStart"/>
            <w:r w:rsidRPr="00727EBF">
              <w:rPr>
                <w:sz w:val="18"/>
                <w:szCs w:val="18"/>
              </w:rPr>
              <w:t>1.9)</w:t>
            </w:r>
            <w:r w:rsidRPr="00727EBF">
              <w:rPr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5.3 (</w:t>
            </w:r>
            <w:proofErr w:type="gramStart"/>
            <w:r w:rsidRPr="00727EBF">
              <w:rPr>
                <w:sz w:val="18"/>
                <w:szCs w:val="18"/>
              </w:rPr>
              <w:t>6.6)</w:t>
            </w:r>
            <w:r w:rsidRPr="00727EBF">
              <w:rPr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247" w:type="dxa"/>
            <w:tcBorders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0.07*</w:t>
            </w:r>
          </w:p>
        </w:tc>
        <w:tc>
          <w:tcPr>
            <w:tcW w:w="1428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5 (7)</w:t>
            </w:r>
            <w:r w:rsidRPr="00727EBF">
              <w:rPr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hideMark/>
          </w:tcPr>
          <w:p w:rsidR="00727EBF" w:rsidRPr="00727EBF" w:rsidRDefault="00727EBF" w:rsidP="00727EBF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727EBF">
              <w:rPr>
                <w:b/>
                <w:sz w:val="18"/>
                <w:szCs w:val="18"/>
              </w:rPr>
              <w:t>0.7 (</w:t>
            </w:r>
            <w:proofErr w:type="gramStart"/>
            <w:r w:rsidRPr="00727EBF">
              <w:rPr>
                <w:b/>
                <w:sz w:val="18"/>
                <w:szCs w:val="18"/>
              </w:rPr>
              <w:t>1.8)</w:t>
            </w:r>
            <w:r w:rsidRPr="00727EBF">
              <w:rPr>
                <w:b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339" w:type="dxa"/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sz w:val="18"/>
                <w:szCs w:val="18"/>
              </w:rPr>
            </w:pPr>
            <w:r w:rsidRPr="00727EBF">
              <w:rPr>
                <w:b/>
                <w:bCs/>
                <w:sz w:val="18"/>
                <w:szCs w:val="18"/>
              </w:rPr>
              <w:t>0.01**</w:t>
            </w:r>
          </w:p>
        </w:tc>
      </w:tr>
      <w:tr w:rsidR="00727EBF" w:rsidRPr="00727EBF" w:rsidTr="00727EBF">
        <w:trPr>
          <w:trHeight w:val="204"/>
        </w:trPr>
        <w:tc>
          <w:tcPr>
            <w:tcW w:w="3296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Other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7.3 (23.4)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1 (3.2)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 (0)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7.3 (23.4)</w:t>
            </w:r>
          </w:p>
        </w:tc>
        <w:tc>
          <w:tcPr>
            <w:tcW w:w="1247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0.52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5.5 (20.4)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727EBF">
            <w:pPr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0.5 (2.1)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hideMark/>
          </w:tcPr>
          <w:p w:rsidR="00727EBF" w:rsidRPr="00727EBF" w:rsidRDefault="00727EBF" w:rsidP="00727EBF">
            <w:pPr>
              <w:pStyle w:val="NoSpacing"/>
              <w:jc w:val="center"/>
              <w:rPr>
                <w:sz w:val="18"/>
                <w:szCs w:val="18"/>
              </w:rPr>
            </w:pPr>
            <w:r w:rsidRPr="00727EBF">
              <w:rPr>
                <w:sz w:val="18"/>
                <w:szCs w:val="18"/>
              </w:rPr>
              <w:t>0.3</w:t>
            </w:r>
          </w:p>
        </w:tc>
      </w:tr>
    </w:tbl>
    <w:p w:rsidR="000C44FD" w:rsidRDefault="000C44FD" w:rsidP="000C44FD">
      <w:pPr>
        <w:pStyle w:val="NoSpacing"/>
        <w:rPr>
          <w:sz w:val="18"/>
        </w:rPr>
      </w:pPr>
      <w:r w:rsidRPr="00B35B53">
        <w:rPr>
          <w:sz w:val="18"/>
        </w:rPr>
        <w:t xml:space="preserve">Note: Motivator scores range between 0 and 100. </w:t>
      </w:r>
      <w:r w:rsidRPr="00B35B53">
        <w:rPr>
          <w:sz w:val="18"/>
          <w:vertAlign w:val="superscript"/>
        </w:rPr>
        <w:t>1</w:t>
      </w:r>
      <w:r w:rsidRPr="00B35B53">
        <w:rPr>
          <w:sz w:val="18"/>
        </w:rPr>
        <w:t xml:space="preserve">P-values for median scores depict Kruskal-Wallis test, with Dunn’s Test. </w:t>
      </w:r>
      <w:r w:rsidRPr="00B35B53">
        <w:rPr>
          <w:sz w:val="18"/>
          <w:vertAlign w:val="superscript"/>
        </w:rPr>
        <w:t>2</w:t>
      </w:r>
      <w:r w:rsidRPr="00B35B53">
        <w:rPr>
          <w:sz w:val="18"/>
        </w:rPr>
        <w:t>P-values for mean values depict ANOVA test, with Dunnett’s T3 Test. * P-value &lt; 0.10; ** P-value &lt;0.05. Different letters indicate significant differences (p-value &lt;0.05).</w:t>
      </w:r>
      <w:r w:rsidR="00B179A1">
        <w:rPr>
          <w:sz w:val="18"/>
        </w:rPr>
        <w:t xml:space="preserve"> IQR: inter-quartile range. SD: standard deviation</w:t>
      </w:r>
      <w:r w:rsidR="00727EBF">
        <w:rPr>
          <w:sz w:val="18"/>
        </w:rPr>
        <w:t>.</w:t>
      </w:r>
    </w:p>
    <w:p w:rsidR="00EF02FC" w:rsidRDefault="00EF02FC">
      <w:pPr>
        <w:jc w:val="left"/>
        <w:rPr>
          <w:rFonts w:cstheme="minorBidi"/>
          <w:sz w:val="18"/>
        </w:rPr>
      </w:pPr>
      <w:r>
        <w:rPr>
          <w:sz w:val="18"/>
        </w:rPr>
        <w:br w:type="page"/>
      </w:r>
    </w:p>
    <w:p w:rsidR="00EF02FC" w:rsidRDefault="00EF02FC" w:rsidP="00EF02FC">
      <w:pPr>
        <w:pStyle w:val="Heading1"/>
      </w:pPr>
      <w:r>
        <w:lastRenderedPageBreak/>
        <w:t>Sample descriptive statistics</w:t>
      </w:r>
    </w:p>
    <w:p w:rsidR="00EF02FC" w:rsidRDefault="00EF02FC" w:rsidP="00EF02FC">
      <w:r>
        <w:t>Table S</w:t>
      </w:r>
      <w:r>
        <w:t>2</w:t>
      </w:r>
      <w:r>
        <w:t xml:space="preserve"> </w:t>
      </w:r>
      <w:r w:rsidRPr="00742DBD">
        <w:t xml:space="preserve">provides a summary of the </w:t>
      </w:r>
      <w:r>
        <w:t xml:space="preserve">survey </w:t>
      </w:r>
      <w:r w:rsidRPr="00742DBD">
        <w:t>participants categori</w:t>
      </w:r>
      <w:r>
        <w:t>s</w:t>
      </w:r>
      <w:r w:rsidRPr="00742DBD">
        <w:t xml:space="preserve">ed by state and production scale, with a comparison to national data </w:t>
      </w:r>
      <w:r>
        <w:t>for</w:t>
      </w:r>
      <w:r w:rsidRPr="00742DBD">
        <w:t xml:space="preserve"> </w:t>
      </w:r>
      <w:r>
        <w:t>CMs provided by Dairy Australia</w:t>
      </w:r>
      <w:r>
        <w:t>, the national research and development corporation and peak industry-body</w:t>
      </w:r>
      <w:r>
        <w:t xml:space="preserve">. </w:t>
      </w:r>
      <w:r w:rsidRPr="00742DBD">
        <w:t>The Chi-squared results indicate that the participants</w:t>
      </w:r>
      <w:r>
        <w:t xml:space="preserve"> in the study</w:t>
      </w:r>
      <w:r w:rsidRPr="00742DBD">
        <w:t xml:space="preserve"> represent </w:t>
      </w:r>
      <w:r>
        <w:t>(P&gt;0.05)</w:t>
      </w:r>
      <w:r w:rsidRPr="00742DBD">
        <w:t xml:space="preserve"> the distribution of both state and production scale </w:t>
      </w:r>
      <w:r>
        <w:t>of</w:t>
      </w:r>
      <w:r w:rsidRPr="00742DBD">
        <w:t xml:space="preserve"> Australian cheese manufacturing sector</w:t>
      </w:r>
      <w:r>
        <w:t xml:space="preserve"> captured in Dairy Australia’s database</w:t>
      </w:r>
      <w:r w:rsidRPr="00742DBD">
        <w:t>.</w:t>
      </w:r>
      <w:r>
        <w:t xml:space="preserve"> </w:t>
      </w:r>
    </w:p>
    <w:p w:rsidR="00EF02FC" w:rsidRPr="005A4A10" w:rsidRDefault="00EF02FC" w:rsidP="00EF02FC">
      <w:pPr>
        <w:pStyle w:val="Caption"/>
      </w:pPr>
      <w:bookmarkStart w:id="4" w:name="_Ref148621347"/>
      <w:bookmarkStart w:id="5" w:name="_Hlk150242416"/>
      <w:r>
        <w:t>Table S</w:t>
      </w:r>
      <w:r>
        <w:t>2</w:t>
      </w:r>
      <w:r>
        <w:t xml:space="preserve">. </w:t>
      </w:r>
      <w:r w:rsidRPr="00B57D13">
        <w:t xml:space="preserve">Distribution of </w:t>
      </w:r>
      <w:r>
        <w:t xml:space="preserve">survey </w:t>
      </w:r>
      <w:r w:rsidRPr="00B57D13">
        <w:t xml:space="preserve">participants by state and production size, </w:t>
      </w:r>
      <w:r>
        <w:t xml:space="preserve">and statistical </w:t>
      </w:r>
      <w:r w:rsidRPr="00B57D13">
        <w:t>compar</w:t>
      </w:r>
      <w:r>
        <w:t>ison with the Dairy Australia’s national database</w:t>
      </w:r>
      <w:r w:rsidRPr="00B57D13">
        <w:t>.</w:t>
      </w:r>
    </w:p>
    <w:tbl>
      <w:tblPr>
        <w:tblStyle w:val="TableGrid"/>
        <w:tblW w:w="49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4295"/>
        <w:gridCol w:w="1514"/>
        <w:gridCol w:w="1516"/>
        <w:gridCol w:w="1514"/>
        <w:gridCol w:w="1522"/>
        <w:gridCol w:w="1665"/>
        <w:gridCol w:w="1734"/>
      </w:tblGrid>
      <w:tr w:rsidR="00EF02FC" w:rsidRPr="006E2E84" w:rsidTr="00926837">
        <w:trPr>
          <w:trHeight w:val="76"/>
        </w:trPr>
        <w:tc>
          <w:tcPr>
            <w:tcW w:w="1561" w:type="pct"/>
            <w:tcBorders>
              <w:top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Interview participants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Dairy Australia</w:t>
            </w:r>
          </w:p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sz w:val="18"/>
                <w:szCs w:val="18"/>
              </w:rPr>
              <w:t>database</w:t>
            </w:r>
            <w:r>
              <w:rPr>
                <w:rFonts w:cs="Arial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 xml:space="preserve">% </w:t>
            </w:r>
            <w:r>
              <w:rPr>
                <w:rFonts w:cs="Arial"/>
                <w:b/>
                <w:bCs/>
                <w:sz w:val="18"/>
                <w:szCs w:val="18"/>
              </w:rPr>
              <w:t>difference</w:t>
            </w:r>
          </w:p>
        </w:tc>
        <w:tc>
          <w:tcPr>
            <w:tcW w:w="630" w:type="pct"/>
            <w:tcBorders>
              <w:top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P-value</w:t>
            </w:r>
            <w:r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EF02FC" w:rsidRPr="006E2E84" w:rsidTr="00926837">
        <w:trPr>
          <w:trHeight w:val="63"/>
        </w:trPr>
        <w:tc>
          <w:tcPr>
            <w:tcW w:w="1561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  <w:tcBorders>
              <w:top w:val="single" w:sz="4" w:space="0" w:color="auto"/>
            </w:tcBorders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  <w:u w:val="single"/>
              </w:rPr>
            </w:pPr>
            <w:r w:rsidRPr="006E2E84">
              <w:rPr>
                <w:rFonts w:cs="Arial"/>
                <w:sz w:val="18"/>
                <w:szCs w:val="18"/>
                <w:u w:val="single"/>
              </w:rPr>
              <w:t>State:</w:t>
            </w:r>
          </w:p>
        </w:tc>
        <w:tc>
          <w:tcPr>
            <w:tcW w:w="550" w:type="pct"/>
            <w:tcBorders>
              <w:top w:val="single" w:sz="4" w:space="0" w:color="auto"/>
            </w:tcBorders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</w:tcBorders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auto"/>
            </w:tcBorders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auto"/>
            </w:tcBorders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single" w:sz="4" w:space="0" w:color="auto"/>
            </w:tcBorders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VIC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551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42.9%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553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37.1%</w:t>
            </w:r>
          </w:p>
        </w:tc>
        <w:tc>
          <w:tcPr>
            <w:tcW w:w="605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5.7%</w:t>
            </w:r>
          </w:p>
        </w:tc>
        <w:tc>
          <w:tcPr>
            <w:tcW w:w="630" w:type="pct"/>
            <w:vMerge w:val="restar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0.62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NSW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551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16.7%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553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28.0%</w:t>
            </w:r>
          </w:p>
        </w:tc>
        <w:tc>
          <w:tcPr>
            <w:tcW w:w="605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-11.4%</w:t>
            </w:r>
          </w:p>
        </w:tc>
        <w:tc>
          <w:tcPr>
            <w:tcW w:w="630" w:type="pct"/>
            <w:vMerge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  <w:hideMark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QLD</w:t>
            </w:r>
          </w:p>
        </w:tc>
        <w:tc>
          <w:tcPr>
            <w:tcW w:w="550" w:type="pc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51" w:type="pc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11.9%</w:t>
            </w:r>
          </w:p>
        </w:tc>
        <w:tc>
          <w:tcPr>
            <w:tcW w:w="550" w:type="pc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553" w:type="pc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13.6%</w:t>
            </w:r>
          </w:p>
        </w:tc>
        <w:tc>
          <w:tcPr>
            <w:tcW w:w="605" w:type="pc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-1.7%</w:t>
            </w:r>
          </w:p>
        </w:tc>
        <w:tc>
          <w:tcPr>
            <w:tcW w:w="630" w:type="pct"/>
            <w:vMerge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TAS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51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11.9%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553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9.1%</w:t>
            </w:r>
          </w:p>
        </w:tc>
        <w:tc>
          <w:tcPr>
            <w:tcW w:w="605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2.8%</w:t>
            </w:r>
          </w:p>
        </w:tc>
        <w:tc>
          <w:tcPr>
            <w:tcW w:w="630" w:type="pct"/>
            <w:vMerge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SA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551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9.5%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553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6.8%</w:t>
            </w:r>
          </w:p>
        </w:tc>
        <w:tc>
          <w:tcPr>
            <w:tcW w:w="605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2.7%</w:t>
            </w:r>
          </w:p>
        </w:tc>
        <w:tc>
          <w:tcPr>
            <w:tcW w:w="630" w:type="pct"/>
            <w:vMerge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  <w:hideMark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WA</w:t>
            </w:r>
          </w:p>
        </w:tc>
        <w:tc>
          <w:tcPr>
            <w:tcW w:w="550" w:type="pc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551" w:type="pc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7.1%</w:t>
            </w:r>
          </w:p>
        </w:tc>
        <w:tc>
          <w:tcPr>
            <w:tcW w:w="550" w:type="pc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553" w:type="pc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5.3%</w:t>
            </w:r>
          </w:p>
        </w:tc>
        <w:tc>
          <w:tcPr>
            <w:tcW w:w="605" w:type="pct"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1.8%</w:t>
            </w:r>
          </w:p>
        </w:tc>
        <w:tc>
          <w:tcPr>
            <w:tcW w:w="630" w:type="pct"/>
            <w:vMerge/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73"/>
        </w:trPr>
        <w:tc>
          <w:tcPr>
            <w:tcW w:w="1561" w:type="pct"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551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100.0%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553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100.0%</w:t>
            </w:r>
          </w:p>
        </w:tc>
        <w:tc>
          <w:tcPr>
            <w:tcW w:w="605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3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73"/>
        </w:trPr>
        <w:tc>
          <w:tcPr>
            <w:tcW w:w="1561" w:type="pct"/>
          </w:tcPr>
          <w:p w:rsidR="00EF02FC" w:rsidRPr="006E2E84" w:rsidRDefault="00EF02FC" w:rsidP="00926837">
            <w:pPr>
              <w:pStyle w:val="NoSpacing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53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05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3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  <w:u w:val="single"/>
              </w:rPr>
            </w:pPr>
            <w:r w:rsidRPr="006E2E84">
              <w:rPr>
                <w:rFonts w:cs="Arial"/>
                <w:sz w:val="18"/>
                <w:szCs w:val="18"/>
                <w:u w:val="single"/>
              </w:rPr>
              <w:t>Production scale</w:t>
            </w:r>
            <w:r w:rsidRPr="00742DBD">
              <w:rPr>
                <w:rFonts w:cs="Arial"/>
                <w:sz w:val="18"/>
                <w:szCs w:val="18"/>
                <w:u w:val="single"/>
                <w:vertAlign w:val="superscript"/>
              </w:rPr>
              <w:t>3</w:t>
            </w:r>
            <w:r w:rsidRPr="006E2E84">
              <w:rPr>
                <w:rFonts w:cs="Arial"/>
                <w:sz w:val="18"/>
                <w:szCs w:val="18"/>
                <w:u w:val="single"/>
              </w:rPr>
              <w:t>: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3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5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3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Large (&gt;25kt)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551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4.7%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553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2.3%</w:t>
            </w:r>
          </w:p>
        </w:tc>
        <w:tc>
          <w:tcPr>
            <w:tcW w:w="605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2.4%</w:t>
            </w:r>
          </w:p>
        </w:tc>
        <w:tc>
          <w:tcPr>
            <w:tcW w:w="630" w:type="pct"/>
            <w:vMerge w:val="restar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0.485</w:t>
            </w: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  <w:vAlign w:val="center"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Medium (10-25kt)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551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9.3%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553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7.6%</w:t>
            </w:r>
          </w:p>
        </w:tc>
        <w:tc>
          <w:tcPr>
            <w:tcW w:w="605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1.7%</w:t>
            </w:r>
          </w:p>
        </w:tc>
        <w:tc>
          <w:tcPr>
            <w:tcW w:w="630" w:type="pct"/>
            <w:vMerge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  <w:vAlign w:val="center"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Small (&lt;10kt)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551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86.0%</w:t>
            </w:r>
          </w:p>
        </w:tc>
        <w:tc>
          <w:tcPr>
            <w:tcW w:w="550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119</w:t>
            </w:r>
          </w:p>
        </w:tc>
        <w:tc>
          <w:tcPr>
            <w:tcW w:w="553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sz w:val="18"/>
                <w:szCs w:val="18"/>
              </w:rPr>
              <w:t>90.2%</w:t>
            </w:r>
          </w:p>
        </w:tc>
        <w:tc>
          <w:tcPr>
            <w:tcW w:w="605" w:type="pct"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-4.1%</w:t>
            </w:r>
          </w:p>
        </w:tc>
        <w:tc>
          <w:tcPr>
            <w:tcW w:w="630" w:type="pct"/>
            <w:vMerge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F02FC" w:rsidRPr="006E2E84" w:rsidTr="00926837">
        <w:trPr>
          <w:trHeight w:val="280"/>
        </w:trPr>
        <w:tc>
          <w:tcPr>
            <w:tcW w:w="1561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100.0%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6E2E84">
              <w:rPr>
                <w:rFonts w:cs="Arial"/>
                <w:b/>
                <w:bCs/>
                <w:sz w:val="18"/>
                <w:szCs w:val="18"/>
              </w:rPr>
              <w:t>100.0%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hideMark/>
          </w:tcPr>
          <w:p w:rsidR="00EF02FC" w:rsidRPr="006E2E84" w:rsidRDefault="00EF02FC" w:rsidP="00926837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EF02FC" w:rsidRPr="003439D5" w:rsidRDefault="00EF02FC" w:rsidP="00EF02FC">
      <w:pPr>
        <w:pStyle w:val="NoSpacing"/>
        <w:rPr>
          <w:sz w:val="18"/>
        </w:rPr>
      </w:pPr>
      <w:r w:rsidRPr="00B35B53">
        <w:rPr>
          <w:sz w:val="18"/>
          <w:vertAlign w:val="superscript"/>
        </w:rPr>
        <w:t>1</w:t>
      </w:r>
      <w:r w:rsidRPr="00B35B53">
        <w:rPr>
          <w:sz w:val="18"/>
        </w:rPr>
        <w:t xml:space="preserve">Data source: Dairy Australia. </w:t>
      </w:r>
      <w:r w:rsidRPr="00B35B53">
        <w:rPr>
          <w:sz w:val="18"/>
          <w:vertAlign w:val="superscript"/>
        </w:rPr>
        <w:t>2</w:t>
      </w:r>
      <w:r w:rsidRPr="00B35B53">
        <w:rPr>
          <w:sz w:val="18"/>
        </w:rPr>
        <w:t xml:space="preserve">Statistical test: Chi-squared goodness-of-fit. </w:t>
      </w:r>
      <w:r w:rsidRPr="00B35B53">
        <w:rPr>
          <w:sz w:val="18"/>
          <w:vertAlign w:val="superscript"/>
        </w:rPr>
        <w:t>3</w:t>
      </w:r>
      <w:r w:rsidRPr="00B35B53">
        <w:rPr>
          <w:sz w:val="18"/>
        </w:rPr>
        <w:t>Production scale based on kilotonnes of finished cheese products per annum.</w:t>
      </w:r>
      <w:bookmarkEnd w:id="4"/>
      <w:bookmarkEnd w:id="5"/>
    </w:p>
    <w:p w:rsidR="00EF02FC" w:rsidRDefault="00EF02FC" w:rsidP="00EF02FC"/>
    <w:p w:rsidR="00EF02FC" w:rsidRDefault="00EF02FC" w:rsidP="00EF02FC">
      <w:pPr>
        <w:pStyle w:val="Heading1"/>
      </w:pPr>
      <w:r>
        <w:lastRenderedPageBreak/>
        <w:t>Interview question</w:t>
      </w:r>
    </w:p>
    <w:p w:rsidR="00EF02FC" w:rsidRDefault="00EF02FC" w:rsidP="00EF02FC">
      <w:r w:rsidRPr="00400654">
        <w:rPr>
          <w:noProof/>
        </w:rPr>
        <w:drawing>
          <wp:inline distT="0" distB="0" distL="0" distR="0" wp14:anchorId="237891F3" wp14:editId="6383C98D">
            <wp:extent cx="7362701" cy="4081869"/>
            <wp:effectExtent l="19050" t="19050" r="10160" b="139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5978" cy="41003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EF02FC" w:rsidRPr="00FD3ADD" w:rsidRDefault="00EF02FC" w:rsidP="00EF02FC">
      <w:pPr>
        <w:rPr>
          <w:b/>
          <w:noProof/>
        </w:rPr>
      </w:pPr>
      <w:r w:rsidRPr="00FD3ADD">
        <w:rPr>
          <w:b/>
        </w:rPr>
        <w:t>Figure S1</w:t>
      </w:r>
      <w:r w:rsidRPr="00FD3ADD">
        <w:rPr>
          <w:b/>
          <w:noProof/>
        </w:rPr>
        <w:t>. Interview question provided to participants.</w:t>
      </w:r>
    </w:p>
    <w:p w:rsidR="00EF02FC" w:rsidRPr="00B35B53" w:rsidRDefault="00EF02FC" w:rsidP="000C44FD">
      <w:pPr>
        <w:pStyle w:val="NoSpacing"/>
        <w:rPr>
          <w:sz w:val="18"/>
        </w:rPr>
      </w:pPr>
    </w:p>
    <w:sectPr w:rsidR="00EF02FC" w:rsidRPr="00B35B53" w:rsidSect="00DF011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3DE" w:rsidRDefault="00A833DE" w:rsidP="000C44FD">
      <w:pPr>
        <w:spacing w:after="0" w:line="240" w:lineRule="auto"/>
      </w:pPr>
      <w:r>
        <w:separator/>
      </w:r>
    </w:p>
  </w:endnote>
  <w:endnote w:type="continuationSeparator" w:id="0">
    <w:p w:rsidR="00A833DE" w:rsidRDefault="00A833DE" w:rsidP="000C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3DE" w:rsidRDefault="00A833DE" w:rsidP="000C44FD">
      <w:pPr>
        <w:spacing w:after="0" w:line="240" w:lineRule="auto"/>
      </w:pPr>
      <w:r>
        <w:separator/>
      </w:r>
    </w:p>
  </w:footnote>
  <w:footnote w:type="continuationSeparator" w:id="0">
    <w:p w:rsidR="00A833DE" w:rsidRDefault="00A833DE" w:rsidP="000C4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D4988"/>
    <w:multiLevelType w:val="hybridMultilevel"/>
    <w:tmpl w:val="5F3A9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D77E9"/>
    <w:multiLevelType w:val="hybridMultilevel"/>
    <w:tmpl w:val="445CE3AE"/>
    <w:lvl w:ilvl="0" w:tplc="10DE5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B7A50"/>
    <w:multiLevelType w:val="multilevel"/>
    <w:tmpl w:val="7514FBF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FD"/>
    <w:rsid w:val="000C44FD"/>
    <w:rsid w:val="000F208E"/>
    <w:rsid w:val="00120667"/>
    <w:rsid w:val="001A4BF7"/>
    <w:rsid w:val="00463B02"/>
    <w:rsid w:val="00494098"/>
    <w:rsid w:val="00534E1C"/>
    <w:rsid w:val="005546B0"/>
    <w:rsid w:val="00595922"/>
    <w:rsid w:val="006D75DB"/>
    <w:rsid w:val="0070244E"/>
    <w:rsid w:val="00727EBF"/>
    <w:rsid w:val="008E11DD"/>
    <w:rsid w:val="00A5574F"/>
    <w:rsid w:val="00A833DE"/>
    <w:rsid w:val="00AF4C4D"/>
    <w:rsid w:val="00B01E7C"/>
    <w:rsid w:val="00B179A1"/>
    <w:rsid w:val="00DC2E5C"/>
    <w:rsid w:val="00DF0117"/>
    <w:rsid w:val="00E044AE"/>
    <w:rsid w:val="00E75CEC"/>
    <w:rsid w:val="00EF02FC"/>
    <w:rsid w:val="00F32B85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AC30B"/>
  <w15:chartTrackingRefBased/>
  <w15:docId w15:val="{1C02D71A-0AC1-4614-8D0D-CA696DFE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44FD"/>
    <w:pPr>
      <w:jc w:val="both"/>
    </w:pPr>
    <w:rPr>
      <w:rFonts w:ascii="Arial" w:hAnsi="Arial" w:cs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2E5C"/>
    <w:pPr>
      <w:keepNext/>
      <w:keepLines/>
      <w:numPr>
        <w:numId w:val="1"/>
      </w:numPr>
      <w:spacing w:before="360" w:after="120" w:line="288" w:lineRule="auto"/>
      <w:outlineLvl w:val="0"/>
    </w:pPr>
    <w:rPr>
      <w:rFonts w:eastAsiaTheme="majorEastAsia"/>
      <w:b/>
      <w:color w:val="1F1F1F"/>
      <w:sz w:val="30"/>
      <w:szCs w:val="30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4FD"/>
    <w:pPr>
      <w:keepNext/>
      <w:keepLines/>
      <w:numPr>
        <w:ilvl w:val="1"/>
        <w:numId w:val="1"/>
      </w:numPr>
      <w:spacing w:before="400" w:after="360" w:line="24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44FD"/>
    <w:pPr>
      <w:keepNext/>
      <w:keepLines/>
      <w:numPr>
        <w:ilvl w:val="2"/>
        <w:numId w:val="1"/>
      </w:numPr>
      <w:spacing w:before="40" w:after="0" w:line="288" w:lineRule="auto"/>
      <w:outlineLvl w:val="2"/>
    </w:pPr>
    <w:rPr>
      <w:rFonts w:cstheme="majorBidi"/>
      <w:i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4FD"/>
    <w:pPr>
      <w:keepNext/>
      <w:keepLines/>
      <w:numPr>
        <w:ilvl w:val="3"/>
        <w:numId w:val="1"/>
      </w:numPr>
      <w:spacing w:before="40" w:after="0" w:line="288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4FD"/>
    <w:pPr>
      <w:keepNext/>
      <w:keepLines/>
      <w:numPr>
        <w:ilvl w:val="4"/>
        <w:numId w:val="1"/>
      </w:numPr>
      <w:spacing w:before="40" w:after="0" w:line="288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4FD"/>
    <w:pPr>
      <w:keepNext/>
      <w:keepLines/>
      <w:numPr>
        <w:ilvl w:val="5"/>
        <w:numId w:val="1"/>
      </w:numPr>
      <w:spacing w:before="40" w:after="0" w:line="288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4FD"/>
    <w:pPr>
      <w:keepNext/>
      <w:keepLines/>
      <w:numPr>
        <w:ilvl w:val="6"/>
        <w:numId w:val="1"/>
      </w:numPr>
      <w:spacing w:before="40" w:after="0" w:line="288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4FD"/>
    <w:pPr>
      <w:keepNext/>
      <w:keepLines/>
      <w:numPr>
        <w:ilvl w:val="7"/>
        <w:numId w:val="1"/>
      </w:numPr>
      <w:spacing w:before="40" w:after="0" w:line="288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4FD"/>
    <w:pPr>
      <w:keepNext/>
      <w:keepLines/>
      <w:numPr>
        <w:ilvl w:val="8"/>
        <w:numId w:val="1"/>
      </w:numPr>
      <w:spacing w:before="40" w:after="0" w:line="288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C44FD"/>
    <w:pPr>
      <w:spacing w:before="240" w:after="0" w:line="240" w:lineRule="auto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4FD"/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C2E5C"/>
    <w:rPr>
      <w:rFonts w:ascii="Arial" w:eastAsiaTheme="majorEastAsia" w:hAnsi="Arial" w:cs="Arial"/>
      <w:b/>
      <w:color w:val="1F1F1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0C44FD"/>
    <w:rPr>
      <w:rFonts w:ascii="Arial" w:eastAsiaTheme="majorEastAsia" w:hAnsi="Arial" w:cstheme="majorBidi"/>
      <w:b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44FD"/>
    <w:rPr>
      <w:rFonts w:ascii="Arial" w:hAnsi="Arial" w:cstheme="majorBidi"/>
      <w:i/>
      <w:sz w:val="20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4F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4FD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4FD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4F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4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4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link w:val="ListParagraphChar"/>
    <w:uiPriority w:val="34"/>
    <w:qFormat/>
    <w:rsid w:val="000C44FD"/>
    <w:pPr>
      <w:spacing w:before="240" w:line="288" w:lineRule="auto"/>
      <w:ind w:left="720"/>
      <w:contextualSpacing/>
    </w:pPr>
    <w:rPr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C44FD"/>
    <w:rPr>
      <w:rFonts w:ascii="Arial" w:hAnsi="Arial" w:cs="Arial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C44FD"/>
    <w:pPr>
      <w:spacing w:before="240" w:after="200" w:line="240" w:lineRule="auto"/>
    </w:pPr>
    <w:rPr>
      <w:b/>
      <w:iCs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0C44FD"/>
    <w:pPr>
      <w:spacing w:before="24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44FD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44FD"/>
    <w:rPr>
      <w:vertAlign w:val="superscript"/>
    </w:rPr>
  </w:style>
  <w:style w:type="table" w:styleId="TableGrid">
    <w:name w:val="Table Grid"/>
    <w:basedOn w:val="TableNormal"/>
    <w:uiPriority w:val="39"/>
    <w:rsid w:val="000C4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C44FD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1206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23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04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310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18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569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52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Hetherington</dc:creator>
  <cp:keywords/>
  <dc:description/>
  <cp:lastModifiedBy>Jack Hetherington</cp:lastModifiedBy>
  <cp:revision>8</cp:revision>
  <dcterms:created xsi:type="dcterms:W3CDTF">2024-03-08T00:44:00Z</dcterms:created>
  <dcterms:modified xsi:type="dcterms:W3CDTF">2024-04-03T00:39:00Z</dcterms:modified>
</cp:coreProperties>
</file>