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B959F" w14:textId="61E8E6BA" w:rsidR="00213AD9" w:rsidRPr="00E33C50" w:rsidRDefault="00AE3015" w:rsidP="00C13F33">
      <w:pPr>
        <w:spacing w:line="276" w:lineRule="auto"/>
        <w:jc w:val="left"/>
        <w:rPr>
          <w:rFonts w:ascii="Times New Roman" w:eastAsia="굴림" w:hAnsi="Times New Roman" w:cs="Times New Roman"/>
          <w:b/>
          <w:sz w:val="24"/>
        </w:rPr>
      </w:pPr>
      <w:bookmarkStart w:id="0" w:name="_Hlk45565052"/>
      <w:r w:rsidRPr="00E33C50">
        <w:rPr>
          <w:rFonts w:ascii="Times New Roman" w:eastAsia="굴림" w:hAnsi="Times New Roman" w:cs="Times New Roman"/>
          <w:b/>
          <w:sz w:val="24"/>
        </w:rPr>
        <w:t>Additional file 1</w:t>
      </w:r>
    </w:p>
    <w:bookmarkEnd w:id="0"/>
    <w:p w14:paraId="64F9AE45" w14:textId="77777777" w:rsidR="00482E4F" w:rsidRPr="00700D21" w:rsidRDefault="00482E4F" w:rsidP="00C13F33">
      <w:pPr>
        <w:spacing w:line="276" w:lineRule="auto"/>
        <w:jc w:val="left"/>
        <w:rPr>
          <w:rFonts w:ascii="Times New Roman" w:eastAsia="굴림" w:hAnsi="Times New Roman" w:cs="Times New Roman"/>
          <w:sz w:val="24"/>
        </w:rPr>
      </w:pPr>
    </w:p>
    <w:p w14:paraId="63EA60C6" w14:textId="61E666D8" w:rsidR="00213AD9" w:rsidRPr="00700D21" w:rsidRDefault="00213AD9" w:rsidP="00C13F33">
      <w:pPr>
        <w:spacing w:line="276" w:lineRule="auto"/>
        <w:rPr>
          <w:rFonts w:ascii="Times New Roman" w:hAnsi="Times New Roman" w:cs="Times New Roman"/>
          <w:b/>
          <w:sz w:val="28"/>
        </w:rPr>
      </w:pPr>
      <w:r w:rsidRPr="00700D21">
        <w:rPr>
          <w:rFonts w:ascii="Times New Roman" w:hAnsi="Times New Roman" w:cs="Times New Roman"/>
          <w:b/>
          <w:sz w:val="28"/>
        </w:rPr>
        <w:t xml:space="preserve">Improvement of Stem cell-derived Exosome Release Efficiency </w:t>
      </w:r>
      <w:r w:rsidRPr="00700D21">
        <w:rPr>
          <w:rFonts w:ascii="Times New Roman" w:hAnsi="Times New Roman" w:cs="Times New Roman"/>
          <w:b/>
          <w:sz w:val="28"/>
        </w:rPr>
        <w:br/>
        <w:t>by Surface Modified Nanoparticle</w:t>
      </w:r>
    </w:p>
    <w:p w14:paraId="318F72BC" w14:textId="77777777" w:rsidR="00213AD9" w:rsidRPr="00482E4F" w:rsidRDefault="00213AD9" w:rsidP="00C13F33">
      <w:pPr>
        <w:spacing w:line="276" w:lineRule="auto"/>
        <w:rPr>
          <w:rFonts w:ascii="Times New Roman" w:hAnsi="Times New Roman" w:cs="Times New Roman"/>
        </w:rPr>
      </w:pPr>
    </w:p>
    <w:p w14:paraId="746CEF20" w14:textId="5EE16B68" w:rsidR="006C4EF6" w:rsidRPr="00CE022C" w:rsidRDefault="006C4EF6" w:rsidP="006C4EF6">
      <w:pPr>
        <w:pStyle w:val="a7"/>
        <w:spacing w:line="480" w:lineRule="auto"/>
        <w:jc w:val="left"/>
        <w:rPr>
          <w:rFonts w:ascii="Times New Roman" w:eastAsia="HY강M" w:hAnsi="Times New Roman" w:cs="Times New Roman"/>
          <w:iCs/>
          <w:color w:val="auto"/>
          <w:sz w:val="24"/>
          <w:szCs w:val="22"/>
        </w:rPr>
      </w:pPr>
      <w:r w:rsidRPr="00CE022C">
        <w:rPr>
          <w:rFonts w:ascii="Times New Roman" w:eastAsia="HY강M" w:hAnsi="Times New Roman" w:cs="Times New Roman"/>
          <w:iCs/>
          <w:color w:val="auto"/>
          <w:sz w:val="24"/>
          <w:szCs w:val="22"/>
        </w:rPr>
        <w:t>Dong Jun Park</w:t>
      </w:r>
      <w:r>
        <w:rPr>
          <w:rFonts w:ascii="Times New Roman" w:hAnsi="Times New Roman" w:cs="Times New Roman"/>
          <w:iCs/>
          <w:color w:val="auto"/>
          <w:sz w:val="24"/>
          <w:szCs w:val="22"/>
          <w:vertAlign w:val="superscript"/>
        </w:rPr>
        <w:t>1</w:t>
      </w:r>
      <w:r w:rsidRPr="00CE022C">
        <w:rPr>
          <w:rFonts w:ascii="Times New Roman" w:hAnsi="Times New Roman" w:cs="Times New Roman"/>
          <w:iCs/>
          <w:color w:val="auto"/>
          <w:sz w:val="24"/>
          <w:szCs w:val="22"/>
          <w:vertAlign w:val="superscript"/>
        </w:rPr>
        <w:t>,</w:t>
      </w:r>
      <w:r>
        <w:rPr>
          <w:rFonts w:ascii="Times New Roman" w:hAnsi="Times New Roman" w:cs="Times New Roman"/>
          <w:iCs/>
          <w:color w:val="auto"/>
          <w:sz w:val="24"/>
          <w:szCs w:val="22"/>
          <w:vertAlign w:val="superscript"/>
        </w:rPr>
        <w:t>2</w:t>
      </w:r>
      <w:r w:rsidRPr="00CE022C">
        <w:rPr>
          <w:rFonts w:ascii="Times New Roman" w:eastAsia="HY강M" w:hAnsi="Times New Roman" w:cs="Times New Roman"/>
          <w:iCs/>
          <w:color w:val="auto"/>
          <w:sz w:val="24"/>
          <w:szCs w:val="22"/>
        </w:rPr>
        <w:t xml:space="preserve">, </w:t>
      </w:r>
      <w:r w:rsidRPr="00CE022C">
        <w:rPr>
          <w:rFonts w:ascii="Times New Roman" w:hAnsi="Times New Roman" w:cs="Times New Roman"/>
          <w:iCs/>
          <w:color w:val="auto"/>
          <w:sz w:val="24"/>
          <w:szCs w:val="22"/>
        </w:rPr>
        <w:t xml:space="preserve">Wan </w:t>
      </w:r>
      <w:proofErr w:type="spellStart"/>
      <w:r w:rsidRPr="00CE022C">
        <w:rPr>
          <w:rFonts w:ascii="Times New Roman" w:hAnsi="Times New Roman" w:cs="Times New Roman"/>
          <w:iCs/>
          <w:color w:val="auto"/>
          <w:sz w:val="24"/>
          <w:szCs w:val="22"/>
        </w:rPr>
        <w:t>Su</w:t>
      </w:r>
      <w:proofErr w:type="spellEnd"/>
      <w:r w:rsidRPr="00CE022C">
        <w:rPr>
          <w:rFonts w:ascii="Times New Roman" w:hAnsi="Times New Roman" w:cs="Times New Roman"/>
          <w:iCs/>
          <w:color w:val="auto"/>
          <w:sz w:val="24"/>
          <w:szCs w:val="22"/>
        </w:rPr>
        <w:t xml:space="preserve"> Yun</w:t>
      </w:r>
      <w:r>
        <w:rPr>
          <w:rFonts w:ascii="Times New Roman" w:hAnsi="Times New Roman" w:cs="Times New Roman"/>
          <w:iCs/>
          <w:color w:val="auto"/>
          <w:sz w:val="24"/>
          <w:szCs w:val="22"/>
          <w:vertAlign w:val="superscript"/>
        </w:rPr>
        <w:t>3</w:t>
      </w:r>
      <w:r w:rsidRPr="00CE022C">
        <w:rPr>
          <w:rFonts w:ascii="Times New Roman" w:hAnsi="Times New Roman" w:cs="Times New Roman"/>
          <w:iCs/>
          <w:color w:val="auto"/>
          <w:sz w:val="24"/>
          <w:szCs w:val="22"/>
        </w:rPr>
        <w:t>,</w:t>
      </w:r>
      <w:r w:rsidRPr="00CE022C">
        <w:rPr>
          <w:rFonts w:ascii="Times New Roman" w:hAnsi="Times New Roman" w:cs="Times New Roman"/>
          <w:iCs/>
          <w:color w:val="auto"/>
          <w:sz w:val="24"/>
          <w:szCs w:val="22"/>
          <w:vertAlign w:val="superscript"/>
        </w:rPr>
        <w:t xml:space="preserve"> </w:t>
      </w:r>
      <w:r w:rsidRPr="00CE022C">
        <w:rPr>
          <w:rFonts w:ascii="Times New Roman" w:eastAsia="HY강M" w:hAnsi="Times New Roman" w:cs="Times New Roman"/>
          <w:iCs/>
          <w:color w:val="auto"/>
          <w:sz w:val="24"/>
          <w:szCs w:val="22"/>
        </w:rPr>
        <w:t xml:space="preserve">Woo Cheol </w:t>
      </w:r>
      <w:proofErr w:type="spellStart"/>
      <w:r w:rsidRPr="00CE022C">
        <w:rPr>
          <w:rFonts w:ascii="Times New Roman" w:eastAsia="HY강M" w:hAnsi="Times New Roman" w:cs="Times New Roman"/>
          <w:iCs/>
          <w:color w:val="auto"/>
          <w:sz w:val="24"/>
          <w:szCs w:val="22"/>
        </w:rPr>
        <w:t>Kim</w:t>
      </w:r>
      <w:r w:rsidRPr="00CE022C">
        <w:rPr>
          <w:rFonts w:ascii="Times New Roman" w:hAnsi="Times New Roman" w:cs="Times New Roman"/>
          <w:iCs/>
          <w:color w:val="auto"/>
          <w:sz w:val="24"/>
          <w:szCs w:val="22"/>
          <w:vertAlign w:val="superscript"/>
        </w:rPr>
        <w:t>c</w:t>
      </w:r>
      <w:proofErr w:type="spellEnd"/>
      <w:r w:rsidRPr="00CE022C">
        <w:rPr>
          <w:rFonts w:ascii="Times New Roman" w:eastAsia="HY강M" w:hAnsi="Times New Roman" w:cs="Times New Roman"/>
          <w:iCs/>
          <w:color w:val="auto"/>
          <w:sz w:val="24"/>
          <w:szCs w:val="22"/>
        </w:rPr>
        <w:t xml:space="preserve">, </w:t>
      </w:r>
      <w:proofErr w:type="spellStart"/>
      <w:r w:rsidRPr="00CE022C">
        <w:rPr>
          <w:rFonts w:ascii="Times New Roman" w:eastAsia="HY강M" w:hAnsi="Times New Roman" w:cs="Times New Roman"/>
          <w:iCs/>
          <w:color w:val="auto"/>
          <w:sz w:val="24"/>
          <w:szCs w:val="22"/>
        </w:rPr>
        <w:t>Jeong-Eun</w:t>
      </w:r>
      <w:proofErr w:type="spellEnd"/>
      <w:r w:rsidRPr="00CE022C">
        <w:rPr>
          <w:rFonts w:ascii="Times New Roman" w:eastAsia="HY강M" w:hAnsi="Times New Roman" w:cs="Times New Roman"/>
          <w:iCs/>
          <w:color w:val="auto"/>
          <w:sz w:val="24"/>
          <w:szCs w:val="22"/>
        </w:rPr>
        <w:t xml:space="preserve"> Park</w:t>
      </w:r>
      <w:r>
        <w:rPr>
          <w:rFonts w:ascii="Times New Roman" w:hAnsi="Times New Roman" w:cs="Times New Roman"/>
          <w:iCs/>
          <w:color w:val="auto"/>
          <w:sz w:val="24"/>
          <w:szCs w:val="22"/>
          <w:vertAlign w:val="superscript"/>
        </w:rPr>
        <w:t>1</w:t>
      </w:r>
      <w:r w:rsidRPr="00CE022C">
        <w:rPr>
          <w:rFonts w:ascii="Times New Roman" w:hAnsi="Times New Roman" w:cs="Times New Roman"/>
          <w:iCs/>
          <w:color w:val="auto"/>
          <w:sz w:val="24"/>
          <w:szCs w:val="22"/>
          <w:vertAlign w:val="superscript"/>
        </w:rPr>
        <w:t>,</w:t>
      </w:r>
      <w:r>
        <w:rPr>
          <w:rFonts w:ascii="Times New Roman" w:hAnsi="Times New Roman" w:cs="Times New Roman"/>
          <w:iCs/>
          <w:color w:val="auto"/>
          <w:sz w:val="24"/>
          <w:szCs w:val="22"/>
          <w:vertAlign w:val="superscript"/>
        </w:rPr>
        <w:t>2</w:t>
      </w:r>
      <w:r w:rsidRPr="00CE022C">
        <w:rPr>
          <w:rFonts w:ascii="Times New Roman" w:eastAsia="HY강M" w:hAnsi="Times New Roman" w:cs="Times New Roman"/>
          <w:iCs/>
          <w:color w:val="auto"/>
          <w:sz w:val="24"/>
          <w:szCs w:val="22"/>
        </w:rPr>
        <w:t xml:space="preserve">, </w:t>
      </w:r>
      <w:proofErr w:type="spellStart"/>
      <w:r w:rsidRPr="00CE022C">
        <w:rPr>
          <w:rFonts w:ascii="Times New Roman" w:eastAsia="HY강M" w:hAnsi="Times New Roman" w:cs="Times New Roman"/>
          <w:iCs/>
          <w:color w:val="auto"/>
          <w:sz w:val="24"/>
          <w:szCs w:val="22"/>
        </w:rPr>
        <w:t>Su</w:t>
      </w:r>
      <w:proofErr w:type="spellEnd"/>
      <w:r w:rsidRPr="00CE022C">
        <w:rPr>
          <w:rFonts w:ascii="Times New Roman" w:eastAsia="HY강M" w:hAnsi="Times New Roman" w:cs="Times New Roman"/>
          <w:iCs/>
          <w:color w:val="auto"/>
          <w:sz w:val="24"/>
          <w:szCs w:val="22"/>
        </w:rPr>
        <w:t xml:space="preserve"> </w:t>
      </w:r>
      <w:proofErr w:type="spellStart"/>
      <w:r w:rsidRPr="00CE022C">
        <w:rPr>
          <w:rFonts w:ascii="Times New Roman" w:eastAsia="HY강M" w:hAnsi="Times New Roman" w:cs="Times New Roman"/>
          <w:iCs/>
          <w:color w:val="auto"/>
          <w:sz w:val="24"/>
          <w:szCs w:val="22"/>
        </w:rPr>
        <w:t>Hoon</w:t>
      </w:r>
      <w:proofErr w:type="spellEnd"/>
      <w:r w:rsidRPr="00CE022C">
        <w:rPr>
          <w:rFonts w:ascii="Times New Roman" w:eastAsia="HY강M" w:hAnsi="Times New Roman" w:cs="Times New Roman"/>
          <w:iCs/>
          <w:color w:val="auto"/>
          <w:sz w:val="24"/>
          <w:szCs w:val="22"/>
        </w:rPr>
        <w:t xml:space="preserve"> Lee</w:t>
      </w:r>
      <w:r>
        <w:rPr>
          <w:rFonts w:ascii="Times New Roman" w:hAnsi="Times New Roman" w:cs="Times New Roman"/>
          <w:iCs/>
          <w:color w:val="auto"/>
          <w:sz w:val="24"/>
          <w:szCs w:val="22"/>
          <w:vertAlign w:val="superscript"/>
        </w:rPr>
        <w:t>1</w:t>
      </w:r>
      <w:r w:rsidRPr="00CE022C">
        <w:rPr>
          <w:rFonts w:ascii="Times New Roman" w:hAnsi="Times New Roman" w:cs="Times New Roman"/>
          <w:iCs/>
          <w:color w:val="auto"/>
          <w:sz w:val="24"/>
          <w:szCs w:val="22"/>
          <w:vertAlign w:val="superscript"/>
        </w:rPr>
        <w:t>,</w:t>
      </w:r>
      <w:r>
        <w:rPr>
          <w:rFonts w:ascii="Times New Roman" w:hAnsi="Times New Roman" w:cs="Times New Roman"/>
          <w:iCs/>
          <w:color w:val="auto"/>
          <w:sz w:val="24"/>
          <w:szCs w:val="22"/>
          <w:vertAlign w:val="superscript"/>
        </w:rPr>
        <w:t>2</w:t>
      </w:r>
      <w:r w:rsidRPr="00CE022C">
        <w:rPr>
          <w:rFonts w:ascii="Times New Roman" w:eastAsia="HY강M" w:hAnsi="Times New Roman" w:cs="Times New Roman"/>
          <w:iCs/>
          <w:color w:val="auto"/>
          <w:sz w:val="24"/>
          <w:szCs w:val="22"/>
        </w:rPr>
        <w:t xml:space="preserve">, </w:t>
      </w:r>
      <w:proofErr w:type="spellStart"/>
      <w:r w:rsidRPr="00CE022C">
        <w:rPr>
          <w:rFonts w:ascii="Times New Roman" w:eastAsia="HY강M" w:hAnsi="Times New Roman" w:cs="Times New Roman"/>
          <w:iCs/>
          <w:color w:val="auto"/>
          <w:sz w:val="24"/>
          <w:szCs w:val="22"/>
        </w:rPr>
        <w:t>Sunmok</w:t>
      </w:r>
      <w:proofErr w:type="spellEnd"/>
      <w:r w:rsidRPr="00CE022C">
        <w:rPr>
          <w:rFonts w:ascii="Times New Roman" w:eastAsia="HY강M" w:hAnsi="Times New Roman" w:cs="Times New Roman"/>
          <w:iCs/>
          <w:color w:val="auto"/>
          <w:sz w:val="24"/>
          <w:szCs w:val="22"/>
        </w:rPr>
        <w:t xml:space="preserve"> Ha</w:t>
      </w:r>
      <w:r>
        <w:rPr>
          <w:rFonts w:ascii="Times New Roman" w:hAnsi="Times New Roman" w:cs="Times New Roman"/>
          <w:iCs/>
          <w:color w:val="auto"/>
          <w:sz w:val="24"/>
          <w:szCs w:val="22"/>
          <w:vertAlign w:val="superscript"/>
        </w:rPr>
        <w:t>4</w:t>
      </w:r>
      <w:r w:rsidRPr="00CE022C">
        <w:rPr>
          <w:rFonts w:ascii="Times New Roman" w:eastAsia="HY강M" w:hAnsi="Times New Roman" w:cs="Times New Roman"/>
          <w:iCs/>
          <w:color w:val="auto"/>
          <w:sz w:val="24"/>
          <w:szCs w:val="22"/>
        </w:rPr>
        <w:t xml:space="preserve">, </w:t>
      </w:r>
      <w:proofErr w:type="spellStart"/>
      <w:r w:rsidRPr="00CE022C">
        <w:rPr>
          <w:rFonts w:ascii="Times New Roman" w:eastAsia="HY강M" w:hAnsi="Times New Roman" w:cs="Times New Roman"/>
          <w:iCs/>
          <w:color w:val="auto"/>
          <w:sz w:val="24"/>
          <w:szCs w:val="22"/>
        </w:rPr>
        <w:t>Jin</w:t>
      </w:r>
      <w:proofErr w:type="spellEnd"/>
      <w:r w:rsidRPr="00CE022C">
        <w:rPr>
          <w:rFonts w:ascii="Times New Roman" w:eastAsia="HY강M" w:hAnsi="Times New Roman" w:cs="Times New Roman"/>
          <w:iCs/>
          <w:color w:val="auto"/>
          <w:sz w:val="24"/>
          <w:szCs w:val="22"/>
        </w:rPr>
        <w:t xml:space="preserve"> Sil Choi</w:t>
      </w:r>
      <w:r>
        <w:rPr>
          <w:rFonts w:ascii="Times New Roman" w:hAnsi="Times New Roman" w:cs="Times New Roman"/>
          <w:iCs/>
          <w:color w:val="auto"/>
          <w:sz w:val="24"/>
          <w:szCs w:val="22"/>
          <w:vertAlign w:val="superscript"/>
        </w:rPr>
        <w:t>1</w:t>
      </w:r>
      <w:r w:rsidRPr="00CE022C">
        <w:rPr>
          <w:rFonts w:ascii="Times New Roman" w:hAnsi="Times New Roman" w:cs="Times New Roman"/>
          <w:iCs/>
          <w:color w:val="auto"/>
          <w:sz w:val="24"/>
          <w:szCs w:val="22"/>
          <w:vertAlign w:val="superscript"/>
        </w:rPr>
        <w:t>,</w:t>
      </w:r>
      <w:r>
        <w:rPr>
          <w:rFonts w:ascii="Times New Roman" w:hAnsi="Times New Roman" w:cs="Times New Roman"/>
          <w:iCs/>
          <w:color w:val="auto"/>
          <w:sz w:val="24"/>
          <w:szCs w:val="22"/>
          <w:vertAlign w:val="superscript"/>
        </w:rPr>
        <w:t>2</w:t>
      </w:r>
      <w:r w:rsidRPr="00CE022C">
        <w:rPr>
          <w:rFonts w:ascii="Times New Roman" w:eastAsia="HY강M" w:hAnsi="Times New Roman" w:cs="Times New Roman"/>
          <w:iCs/>
          <w:color w:val="auto"/>
          <w:sz w:val="24"/>
          <w:szCs w:val="22"/>
        </w:rPr>
        <w:t xml:space="preserve">, </w:t>
      </w:r>
      <w:proofErr w:type="spellStart"/>
      <w:r w:rsidRPr="00CE022C">
        <w:rPr>
          <w:rFonts w:ascii="Times New Roman" w:hAnsi="Times New Roman" w:cs="Times New Roman"/>
          <w:iCs/>
          <w:color w:val="auto"/>
          <w:sz w:val="24"/>
          <w:szCs w:val="22"/>
        </w:rPr>
        <w:t>Jaehong</w:t>
      </w:r>
      <w:proofErr w:type="spellEnd"/>
      <w:r w:rsidRPr="00CE022C">
        <w:rPr>
          <w:rFonts w:ascii="Times New Roman" w:hAnsi="Times New Roman" w:cs="Times New Roman"/>
          <w:iCs/>
          <w:color w:val="auto"/>
          <w:sz w:val="24"/>
          <w:szCs w:val="22"/>
        </w:rPr>
        <w:t xml:space="preserve"> Key</w:t>
      </w:r>
      <w:r>
        <w:rPr>
          <w:rFonts w:ascii="Times New Roman" w:hAnsi="Times New Roman" w:cs="Times New Roman"/>
          <w:iCs/>
          <w:color w:val="auto"/>
          <w:sz w:val="24"/>
          <w:szCs w:val="22"/>
          <w:vertAlign w:val="superscript"/>
        </w:rPr>
        <w:t>3</w:t>
      </w:r>
      <w:r w:rsidRPr="00CE022C">
        <w:rPr>
          <w:rFonts w:ascii="Times New Roman" w:eastAsia="HY강M" w:hAnsi="Times New Roman" w:cs="Times New Roman"/>
          <w:iCs/>
          <w:color w:val="auto"/>
          <w:sz w:val="24"/>
          <w:szCs w:val="22"/>
        </w:rPr>
        <w:t xml:space="preserve"> </w:t>
      </w:r>
      <w:r>
        <w:rPr>
          <w:rFonts w:ascii="Times New Roman" w:eastAsia="HY강M" w:hAnsi="Times New Roman" w:cs="Times New Roman"/>
          <w:iCs/>
          <w:color w:val="auto"/>
          <w:sz w:val="24"/>
          <w:szCs w:val="22"/>
        </w:rPr>
        <w:t xml:space="preserve">and </w:t>
      </w:r>
      <w:r w:rsidRPr="00CE022C">
        <w:rPr>
          <w:rFonts w:ascii="Times New Roman" w:eastAsia="HY강M" w:hAnsi="Times New Roman" w:cs="Times New Roman"/>
          <w:iCs/>
          <w:color w:val="auto"/>
          <w:sz w:val="24"/>
          <w:szCs w:val="22"/>
        </w:rPr>
        <w:t>Young Joon Seo</w:t>
      </w:r>
      <w:r>
        <w:rPr>
          <w:rFonts w:ascii="Times New Roman" w:hAnsi="Times New Roman" w:cs="Times New Roman"/>
          <w:iCs/>
          <w:color w:val="auto"/>
          <w:sz w:val="24"/>
          <w:szCs w:val="22"/>
          <w:vertAlign w:val="superscript"/>
        </w:rPr>
        <w:t>1</w:t>
      </w:r>
      <w:r w:rsidRPr="00CE022C">
        <w:rPr>
          <w:rFonts w:ascii="Times New Roman" w:hAnsi="Times New Roman" w:cs="Times New Roman"/>
          <w:iCs/>
          <w:color w:val="auto"/>
          <w:sz w:val="24"/>
          <w:szCs w:val="22"/>
          <w:vertAlign w:val="superscript"/>
        </w:rPr>
        <w:t>,</w:t>
      </w:r>
      <w:r>
        <w:rPr>
          <w:rFonts w:ascii="Times New Roman" w:hAnsi="Times New Roman" w:cs="Times New Roman"/>
          <w:iCs/>
          <w:color w:val="auto"/>
          <w:sz w:val="24"/>
          <w:szCs w:val="22"/>
          <w:vertAlign w:val="superscript"/>
        </w:rPr>
        <w:t>2</w:t>
      </w:r>
      <w:r w:rsidRPr="00CE022C">
        <w:rPr>
          <w:rFonts w:ascii="Times New Roman" w:eastAsia="HY강M" w:hAnsi="Times New Roman" w:cs="Times New Roman"/>
          <w:iCs/>
          <w:color w:val="auto"/>
          <w:sz w:val="24"/>
          <w:szCs w:val="22"/>
          <w:vertAlign w:val="superscript"/>
        </w:rPr>
        <w:t>*</w:t>
      </w:r>
    </w:p>
    <w:p w14:paraId="121E9564" w14:textId="77777777" w:rsidR="006C4EF6" w:rsidRPr="00CE022C" w:rsidRDefault="006C4EF6" w:rsidP="006C4EF6">
      <w:pPr>
        <w:pStyle w:val="a7"/>
        <w:spacing w:line="480" w:lineRule="auto"/>
        <w:jc w:val="left"/>
        <w:rPr>
          <w:rFonts w:ascii="Times New Roman" w:eastAsia="한양신명조" w:hAnsi="Times New Roman" w:cs="Times New Roman"/>
          <w:color w:val="auto"/>
          <w:sz w:val="28"/>
          <w:szCs w:val="28"/>
          <w:vertAlign w:val="superscript"/>
        </w:rPr>
      </w:pPr>
    </w:p>
    <w:p w14:paraId="3A55CD0F" w14:textId="08E252F8" w:rsidR="006C4EF6" w:rsidRPr="00CE022C" w:rsidRDefault="006C4EF6" w:rsidP="006C4EF6">
      <w:pPr>
        <w:pStyle w:val="MS"/>
        <w:spacing w:line="480" w:lineRule="auto"/>
        <w:jc w:val="left"/>
        <w:rPr>
          <w:rFonts w:ascii="Times New Roman" w:cs="Times New Roman"/>
          <w:bCs/>
          <w:iCs/>
          <w:color w:val="auto"/>
          <w:sz w:val="24"/>
          <w:szCs w:val="24"/>
        </w:rPr>
      </w:pPr>
      <w:r>
        <w:rPr>
          <w:rFonts w:ascii="Times New Roman" w:cs="Times New Roman"/>
          <w:bCs/>
          <w:iCs/>
          <w:color w:val="auto"/>
          <w:sz w:val="24"/>
          <w:szCs w:val="24"/>
          <w:vertAlign w:val="superscript"/>
        </w:rPr>
        <w:t xml:space="preserve">1 </w:t>
      </w:r>
      <w:r w:rsidRPr="00CE022C">
        <w:rPr>
          <w:rFonts w:ascii="Times New Roman" w:eastAsia="한양신명조" w:cs="Times New Roman"/>
          <w:bCs/>
          <w:iCs/>
          <w:color w:val="auto"/>
          <w:sz w:val="24"/>
          <w:szCs w:val="24"/>
        </w:rPr>
        <w:t xml:space="preserve">Department of Otorhinolaryngology, Yonsei University </w:t>
      </w:r>
      <w:proofErr w:type="spellStart"/>
      <w:r w:rsidRPr="00CE022C">
        <w:rPr>
          <w:rFonts w:ascii="Times New Roman" w:eastAsia="한양신명조" w:cs="Times New Roman"/>
          <w:bCs/>
          <w:iCs/>
          <w:color w:val="auto"/>
          <w:sz w:val="24"/>
          <w:szCs w:val="24"/>
        </w:rPr>
        <w:t>Wonju</w:t>
      </w:r>
      <w:proofErr w:type="spellEnd"/>
      <w:r w:rsidRPr="00CE022C">
        <w:rPr>
          <w:rFonts w:ascii="Times New Roman" w:eastAsia="한양신명조" w:cs="Times New Roman"/>
          <w:bCs/>
          <w:iCs/>
          <w:color w:val="auto"/>
          <w:sz w:val="24"/>
          <w:szCs w:val="24"/>
        </w:rPr>
        <w:t xml:space="preserve"> College of Medicine, </w:t>
      </w:r>
      <w:r w:rsidRPr="00CE022C">
        <w:rPr>
          <w:rFonts w:ascii="Times New Roman" w:cs="Times New Roman"/>
          <w:bCs/>
          <w:iCs/>
          <w:sz w:val="24"/>
          <w:szCs w:val="24"/>
        </w:rPr>
        <w:t xml:space="preserve">20 </w:t>
      </w:r>
      <w:proofErr w:type="spellStart"/>
      <w:r w:rsidRPr="00CE022C">
        <w:rPr>
          <w:rFonts w:ascii="Times New Roman" w:cs="Times New Roman"/>
          <w:bCs/>
          <w:iCs/>
          <w:sz w:val="24"/>
          <w:szCs w:val="24"/>
        </w:rPr>
        <w:t>Ilsan-ro</w:t>
      </w:r>
      <w:proofErr w:type="spellEnd"/>
      <w:r w:rsidRPr="00CE022C">
        <w:rPr>
          <w:rFonts w:ascii="Times New Roman" w:cs="Times New Roman"/>
          <w:bCs/>
          <w:iCs/>
          <w:sz w:val="24"/>
          <w:szCs w:val="24"/>
        </w:rPr>
        <w:t xml:space="preserve">, </w:t>
      </w:r>
      <w:proofErr w:type="spellStart"/>
      <w:r w:rsidRPr="00CE022C">
        <w:rPr>
          <w:rFonts w:ascii="Times New Roman" w:cs="Times New Roman"/>
          <w:bCs/>
          <w:iCs/>
          <w:sz w:val="24"/>
          <w:szCs w:val="24"/>
        </w:rPr>
        <w:t>Wonju</w:t>
      </w:r>
      <w:proofErr w:type="spellEnd"/>
      <w:r w:rsidRPr="00CE022C">
        <w:rPr>
          <w:rFonts w:ascii="Times New Roman" w:cs="Times New Roman"/>
          <w:bCs/>
          <w:iCs/>
          <w:sz w:val="24"/>
          <w:szCs w:val="24"/>
        </w:rPr>
        <w:t xml:space="preserve">, Gangwon-do 26426, </w:t>
      </w:r>
      <w:proofErr w:type="spellStart"/>
      <w:r w:rsidRPr="00CE022C">
        <w:rPr>
          <w:rFonts w:ascii="Times New Roman" w:cs="Times New Roman"/>
          <w:bCs/>
          <w:iCs/>
          <w:color w:val="auto"/>
          <w:sz w:val="24"/>
          <w:szCs w:val="24"/>
        </w:rPr>
        <w:t>Wonju</w:t>
      </w:r>
      <w:proofErr w:type="spellEnd"/>
      <w:r w:rsidRPr="00CE022C">
        <w:rPr>
          <w:rFonts w:ascii="Times New Roman" w:cs="Times New Roman"/>
          <w:bCs/>
          <w:iCs/>
          <w:color w:val="auto"/>
          <w:sz w:val="24"/>
          <w:szCs w:val="24"/>
        </w:rPr>
        <w:t>, South Korea</w:t>
      </w:r>
    </w:p>
    <w:p w14:paraId="08A886FA" w14:textId="6D95B3EE" w:rsidR="006C4EF6" w:rsidRPr="00CE022C" w:rsidRDefault="006C4EF6" w:rsidP="006C4EF6">
      <w:pPr>
        <w:pStyle w:val="MS"/>
        <w:spacing w:line="480" w:lineRule="auto"/>
        <w:jc w:val="left"/>
        <w:rPr>
          <w:rFonts w:ascii="Times New Roman" w:cs="Times New Roman"/>
          <w:bCs/>
          <w:iCs/>
          <w:color w:val="auto"/>
          <w:sz w:val="24"/>
          <w:szCs w:val="24"/>
        </w:rPr>
      </w:pPr>
      <w:r>
        <w:rPr>
          <w:rFonts w:ascii="Times New Roman" w:cs="Times New Roman"/>
          <w:bCs/>
          <w:iCs/>
          <w:color w:val="auto"/>
          <w:sz w:val="24"/>
          <w:szCs w:val="24"/>
          <w:vertAlign w:val="superscript"/>
        </w:rPr>
        <w:t xml:space="preserve">2 </w:t>
      </w:r>
      <w:r w:rsidRPr="00CE022C">
        <w:rPr>
          <w:rFonts w:ascii="Times New Roman" w:eastAsia="한양신명조" w:cs="Times New Roman"/>
          <w:bCs/>
          <w:iCs/>
          <w:color w:val="auto"/>
          <w:sz w:val="24"/>
          <w:szCs w:val="24"/>
        </w:rPr>
        <w:t xml:space="preserve">Research Institute of Hearing Enhancement, Yonsei University </w:t>
      </w:r>
      <w:proofErr w:type="spellStart"/>
      <w:r w:rsidRPr="00CE022C">
        <w:rPr>
          <w:rFonts w:ascii="Times New Roman" w:eastAsia="한양신명조" w:cs="Times New Roman"/>
          <w:bCs/>
          <w:iCs/>
          <w:color w:val="auto"/>
          <w:sz w:val="24"/>
          <w:szCs w:val="24"/>
        </w:rPr>
        <w:t>Wonju</w:t>
      </w:r>
      <w:proofErr w:type="spellEnd"/>
      <w:r w:rsidRPr="00CE022C">
        <w:rPr>
          <w:rFonts w:ascii="Times New Roman" w:eastAsia="한양신명조" w:cs="Times New Roman"/>
          <w:bCs/>
          <w:iCs/>
          <w:color w:val="auto"/>
          <w:sz w:val="24"/>
          <w:szCs w:val="24"/>
        </w:rPr>
        <w:t xml:space="preserve"> College of Medicine,</w:t>
      </w:r>
      <w:r w:rsidRPr="00CE022C">
        <w:rPr>
          <w:rFonts w:ascii="Times New Roman" w:cs="Times New Roman"/>
          <w:bCs/>
          <w:iCs/>
          <w:color w:val="auto"/>
          <w:sz w:val="24"/>
          <w:szCs w:val="24"/>
        </w:rPr>
        <w:t xml:space="preserve"> </w:t>
      </w:r>
      <w:proofErr w:type="spellStart"/>
      <w:r w:rsidRPr="00CE022C">
        <w:rPr>
          <w:rFonts w:ascii="Times New Roman" w:cs="Times New Roman"/>
          <w:bCs/>
          <w:iCs/>
          <w:color w:val="auto"/>
          <w:sz w:val="24"/>
          <w:szCs w:val="24"/>
        </w:rPr>
        <w:t>Wonju</w:t>
      </w:r>
      <w:proofErr w:type="spellEnd"/>
      <w:r w:rsidRPr="00CE022C">
        <w:rPr>
          <w:rFonts w:ascii="Times New Roman" w:cs="Times New Roman"/>
          <w:bCs/>
          <w:iCs/>
          <w:color w:val="auto"/>
          <w:sz w:val="24"/>
          <w:szCs w:val="24"/>
        </w:rPr>
        <w:t>, South Korea</w:t>
      </w:r>
    </w:p>
    <w:p w14:paraId="444EE615" w14:textId="2324A860" w:rsidR="006C4EF6" w:rsidRPr="00CE022C" w:rsidRDefault="006C4EF6" w:rsidP="006C4EF6">
      <w:pPr>
        <w:pStyle w:val="MS"/>
        <w:spacing w:line="480" w:lineRule="auto"/>
        <w:jc w:val="left"/>
        <w:rPr>
          <w:rFonts w:ascii="Times New Roman" w:eastAsia="한양신명조" w:cs="Times New Roman"/>
          <w:bCs/>
          <w:iCs/>
          <w:color w:val="auto"/>
          <w:sz w:val="24"/>
          <w:szCs w:val="24"/>
        </w:rPr>
      </w:pPr>
      <w:r>
        <w:rPr>
          <w:rFonts w:ascii="Times New Roman" w:cs="Times New Roman"/>
          <w:bCs/>
          <w:iCs/>
          <w:color w:val="auto"/>
          <w:sz w:val="24"/>
          <w:szCs w:val="24"/>
          <w:vertAlign w:val="superscript"/>
        </w:rPr>
        <w:t xml:space="preserve">3 </w:t>
      </w:r>
      <w:r w:rsidRPr="00CE022C">
        <w:rPr>
          <w:rFonts w:ascii="Times New Roman" w:eastAsia="한양신명조" w:cs="Times New Roman"/>
          <w:bCs/>
          <w:iCs/>
          <w:color w:val="auto"/>
          <w:sz w:val="24"/>
          <w:szCs w:val="24"/>
        </w:rPr>
        <w:t xml:space="preserve">Department of Biomedical Engineering, Yonsei University, </w:t>
      </w:r>
      <w:proofErr w:type="spellStart"/>
      <w:r w:rsidRPr="00CE022C">
        <w:rPr>
          <w:rFonts w:ascii="Times New Roman" w:eastAsia="한양신명조" w:cs="Times New Roman"/>
          <w:bCs/>
          <w:iCs/>
          <w:color w:val="auto"/>
          <w:sz w:val="24"/>
          <w:szCs w:val="24"/>
        </w:rPr>
        <w:t>Wonju</w:t>
      </w:r>
      <w:proofErr w:type="spellEnd"/>
      <w:r w:rsidRPr="00CE022C">
        <w:rPr>
          <w:rFonts w:ascii="Times New Roman" w:eastAsia="한양신명조" w:cs="Times New Roman"/>
          <w:bCs/>
          <w:iCs/>
          <w:color w:val="auto"/>
          <w:sz w:val="24"/>
          <w:szCs w:val="24"/>
        </w:rPr>
        <w:t>, South Korea</w:t>
      </w:r>
    </w:p>
    <w:p w14:paraId="21DD957D" w14:textId="505C288A" w:rsidR="006C4EF6" w:rsidRPr="00CE022C" w:rsidRDefault="006C4EF6" w:rsidP="006C4EF6">
      <w:pPr>
        <w:pStyle w:val="MS"/>
        <w:spacing w:line="480" w:lineRule="auto"/>
        <w:jc w:val="left"/>
        <w:rPr>
          <w:rFonts w:ascii="Times New Roman" w:eastAsia="한양신명조" w:cs="Times New Roman"/>
          <w:bCs/>
          <w:iCs/>
          <w:color w:val="auto"/>
          <w:sz w:val="24"/>
          <w:szCs w:val="24"/>
        </w:rPr>
      </w:pPr>
      <w:r>
        <w:rPr>
          <w:rFonts w:ascii="Times New Roman" w:cs="Times New Roman"/>
          <w:bCs/>
          <w:iCs/>
          <w:color w:val="auto"/>
          <w:sz w:val="24"/>
          <w:szCs w:val="24"/>
          <w:vertAlign w:val="superscript"/>
        </w:rPr>
        <w:t xml:space="preserve">4 </w:t>
      </w:r>
      <w:r w:rsidRPr="00CE022C">
        <w:rPr>
          <w:rFonts w:ascii="Times New Roman" w:cs="Times New Roman"/>
          <w:bCs/>
          <w:iCs/>
          <w:color w:val="auto"/>
          <w:sz w:val="24"/>
          <w:szCs w:val="24"/>
        </w:rPr>
        <w:t xml:space="preserve">Department of Biomedical Laboratory Science, College of Health Sciences, Yonsei University, </w:t>
      </w:r>
      <w:proofErr w:type="spellStart"/>
      <w:r w:rsidRPr="00CE022C">
        <w:rPr>
          <w:rFonts w:ascii="Times New Roman" w:cs="Times New Roman"/>
          <w:bCs/>
          <w:iCs/>
          <w:color w:val="auto"/>
          <w:sz w:val="24"/>
          <w:szCs w:val="24"/>
        </w:rPr>
        <w:t>Wonju</w:t>
      </w:r>
      <w:proofErr w:type="spellEnd"/>
      <w:r w:rsidRPr="00CE022C">
        <w:rPr>
          <w:rFonts w:ascii="Times New Roman" w:cs="Times New Roman"/>
          <w:bCs/>
          <w:iCs/>
          <w:color w:val="auto"/>
          <w:sz w:val="24"/>
          <w:szCs w:val="24"/>
        </w:rPr>
        <w:t>, Republic of Korea</w:t>
      </w:r>
    </w:p>
    <w:p w14:paraId="4CBC986D" w14:textId="77777777" w:rsidR="006C4EF6" w:rsidRPr="00CE022C" w:rsidRDefault="006C4EF6" w:rsidP="006C4EF6">
      <w:pPr>
        <w:pStyle w:val="MS"/>
        <w:spacing w:line="480" w:lineRule="auto"/>
        <w:jc w:val="left"/>
        <w:rPr>
          <w:rFonts w:ascii="Times New Roman" w:eastAsia="HY강M" w:cs="Times New Roman"/>
          <w:bCs/>
          <w:iCs/>
          <w:color w:val="auto"/>
          <w:sz w:val="24"/>
          <w:szCs w:val="24"/>
        </w:rPr>
      </w:pPr>
    </w:p>
    <w:p w14:paraId="7A307A64" w14:textId="7A8C22C7" w:rsidR="006C4EF6" w:rsidRPr="00CE022C" w:rsidRDefault="006C4EF6" w:rsidP="006C4EF6">
      <w:pPr>
        <w:spacing w:line="480" w:lineRule="auto"/>
        <w:rPr>
          <w:rFonts w:ascii="Times New Roman" w:hAnsi="Times New Roman" w:cs="Times New Roman"/>
          <w:sz w:val="24"/>
          <w:szCs w:val="24"/>
        </w:rPr>
      </w:pPr>
      <w:r w:rsidRPr="00CE022C">
        <w:rPr>
          <w:rFonts w:ascii="Times New Roman" w:hAnsi="Times New Roman" w:cs="Times New Roman"/>
          <w:sz w:val="24"/>
          <w:szCs w:val="24"/>
        </w:rPr>
        <w:t>*Correspond</w:t>
      </w:r>
      <w:r>
        <w:rPr>
          <w:rFonts w:ascii="Times New Roman" w:hAnsi="Times New Roman" w:cs="Times New Roman"/>
          <w:sz w:val="24"/>
          <w:szCs w:val="24"/>
        </w:rPr>
        <w:t>ence</w:t>
      </w:r>
      <w:r w:rsidRPr="00CE022C">
        <w:rPr>
          <w:rFonts w:ascii="Times New Roman" w:hAnsi="Times New Roman" w:cs="Times New Roman"/>
          <w:sz w:val="24"/>
          <w:szCs w:val="24"/>
        </w:rPr>
        <w:t>:</w:t>
      </w:r>
    </w:p>
    <w:p w14:paraId="30D444A4" w14:textId="77777777" w:rsidR="006C4EF6" w:rsidRPr="00CE022C" w:rsidRDefault="006C4EF6" w:rsidP="006C4EF6">
      <w:pPr>
        <w:spacing w:line="480" w:lineRule="auto"/>
        <w:ind w:left="240" w:hangingChars="100" w:hanging="240"/>
        <w:jc w:val="left"/>
        <w:rPr>
          <w:rFonts w:ascii="Times New Roman" w:hAnsi="Times New Roman" w:cs="Times New Roman"/>
          <w:b/>
          <w:bCs/>
          <w:sz w:val="24"/>
          <w:szCs w:val="24"/>
        </w:rPr>
      </w:pPr>
      <w:r w:rsidRPr="00CE022C">
        <w:rPr>
          <w:rFonts w:ascii="Times New Roman" w:hAnsi="Times New Roman" w:cs="Times New Roman"/>
          <w:b/>
          <w:bCs/>
          <w:sz w:val="24"/>
          <w:szCs w:val="24"/>
        </w:rPr>
        <w:t xml:space="preserve">Young Joon </w:t>
      </w:r>
      <w:proofErr w:type="spellStart"/>
      <w:r w:rsidRPr="00CE022C">
        <w:rPr>
          <w:rFonts w:ascii="Times New Roman" w:hAnsi="Times New Roman" w:cs="Times New Roman"/>
          <w:b/>
          <w:bCs/>
          <w:sz w:val="24"/>
          <w:szCs w:val="24"/>
        </w:rPr>
        <w:t>Seo</w:t>
      </w:r>
      <w:proofErr w:type="spellEnd"/>
      <w:r w:rsidRPr="00CE022C">
        <w:rPr>
          <w:rFonts w:ascii="Times New Roman" w:hAnsi="Times New Roman" w:cs="Times New Roman"/>
          <w:b/>
          <w:bCs/>
          <w:sz w:val="24"/>
          <w:szCs w:val="24"/>
        </w:rPr>
        <w:t>, MD, PhD</w:t>
      </w:r>
    </w:p>
    <w:p w14:paraId="5A5A1A39" w14:textId="77777777" w:rsidR="006C4EF6" w:rsidRPr="00CE022C" w:rsidRDefault="006C4EF6" w:rsidP="006C4EF6">
      <w:pPr>
        <w:spacing w:line="480" w:lineRule="auto"/>
        <w:jc w:val="left"/>
        <w:rPr>
          <w:rFonts w:ascii="Times New Roman" w:hAnsi="Times New Roman" w:cs="Times New Roman"/>
          <w:sz w:val="24"/>
          <w:szCs w:val="24"/>
        </w:rPr>
      </w:pPr>
      <w:r w:rsidRPr="00CE022C">
        <w:rPr>
          <w:rFonts w:ascii="Times New Roman" w:hAnsi="Times New Roman" w:cs="Times New Roman"/>
          <w:sz w:val="24"/>
          <w:szCs w:val="24"/>
        </w:rPr>
        <w:t xml:space="preserve">Department of Otorhinolaryngology, Yonsei University </w:t>
      </w:r>
      <w:proofErr w:type="spellStart"/>
      <w:r w:rsidRPr="00CE022C">
        <w:rPr>
          <w:rFonts w:ascii="Times New Roman" w:hAnsi="Times New Roman" w:cs="Times New Roman"/>
          <w:sz w:val="24"/>
          <w:szCs w:val="24"/>
        </w:rPr>
        <w:t>Wonju</w:t>
      </w:r>
      <w:proofErr w:type="spellEnd"/>
      <w:r w:rsidRPr="00CE022C">
        <w:rPr>
          <w:rFonts w:ascii="Times New Roman" w:hAnsi="Times New Roman" w:cs="Times New Roman"/>
          <w:sz w:val="24"/>
          <w:szCs w:val="24"/>
        </w:rPr>
        <w:t xml:space="preserve"> College of Medicine, 20 </w:t>
      </w:r>
      <w:proofErr w:type="spellStart"/>
      <w:r w:rsidRPr="00CE022C">
        <w:rPr>
          <w:rFonts w:ascii="Times New Roman" w:hAnsi="Times New Roman" w:cs="Times New Roman"/>
          <w:sz w:val="24"/>
          <w:szCs w:val="24"/>
        </w:rPr>
        <w:t>Ilsan-ro</w:t>
      </w:r>
      <w:proofErr w:type="spellEnd"/>
      <w:r w:rsidRPr="00CE022C">
        <w:rPr>
          <w:rFonts w:ascii="Times New Roman" w:hAnsi="Times New Roman" w:cs="Times New Roman"/>
          <w:sz w:val="24"/>
          <w:szCs w:val="24"/>
        </w:rPr>
        <w:t xml:space="preserve">, </w:t>
      </w:r>
      <w:proofErr w:type="spellStart"/>
      <w:r w:rsidRPr="00CE022C">
        <w:rPr>
          <w:rFonts w:ascii="Times New Roman" w:hAnsi="Times New Roman" w:cs="Times New Roman"/>
          <w:sz w:val="24"/>
          <w:szCs w:val="24"/>
        </w:rPr>
        <w:t>Wonju</w:t>
      </w:r>
      <w:proofErr w:type="spellEnd"/>
      <w:r w:rsidRPr="00CE022C">
        <w:rPr>
          <w:rFonts w:ascii="Times New Roman" w:hAnsi="Times New Roman" w:cs="Times New Roman"/>
          <w:sz w:val="24"/>
          <w:szCs w:val="24"/>
        </w:rPr>
        <w:t xml:space="preserve">, Gangwon-do 26426, South Korea </w:t>
      </w:r>
    </w:p>
    <w:p w14:paraId="4DACE3F5" w14:textId="77777777" w:rsidR="006C4EF6" w:rsidRPr="00CE022C" w:rsidRDefault="00FD766C" w:rsidP="006C4EF6">
      <w:pPr>
        <w:spacing w:line="480" w:lineRule="auto"/>
        <w:jc w:val="left"/>
        <w:rPr>
          <w:rFonts w:ascii="Times New Roman" w:hAnsi="Times New Roman" w:cs="Times New Roman"/>
          <w:sz w:val="24"/>
          <w:szCs w:val="24"/>
        </w:rPr>
      </w:pPr>
      <w:hyperlink r:id="rId7" w:history="1">
        <w:r w:rsidR="006C4EF6" w:rsidRPr="00CE022C">
          <w:rPr>
            <w:rStyle w:val="a4"/>
            <w:rFonts w:ascii="Times New Roman" w:hAnsi="Times New Roman" w:cs="Times New Roman"/>
            <w:sz w:val="24"/>
            <w:szCs w:val="24"/>
          </w:rPr>
          <w:t>okas2000@hanmail.net</w:t>
        </w:r>
      </w:hyperlink>
    </w:p>
    <w:p w14:paraId="7CB21361" w14:textId="77777777" w:rsidR="006C4EF6" w:rsidRDefault="006C4EF6" w:rsidP="006C4EF6">
      <w:pPr>
        <w:spacing w:line="480" w:lineRule="auto"/>
        <w:jc w:val="left"/>
        <w:rPr>
          <w:rFonts w:ascii="Times New Roman" w:hAnsi="Times New Roman" w:cs="Times New Roman"/>
          <w:sz w:val="24"/>
          <w:szCs w:val="24"/>
        </w:rPr>
      </w:pPr>
      <w:r w:rsidRPr="00CE022C">
        <w:rPr>
          <w:rFonts w:ascii="Times New Roman" w:hAnsi="Times New Roman" w:cs="Times New Roman"/>
          <w:sz w:val="24"/>
          <w:szCs w:val="24"/>
        </w:rPr>
        <w:t>Tel.: +82-33-741-0644</w:t>
      </w:r>
    </w:p>
    <w:p w14:paraId="3136609B" w14:textId="77777777" w:rsidR="00213AD9" w:rsidRPr="00700D21" w:rsidRDefault="00213AD9" w:rsidP="00C13F33">
      <w:pPr>
        <w:spacing w:line="276" w:lineRule="auto"/>
        <w:jc w:val="left"/>
        <w:rPr>
          <w:rFonts w:ascii="Times New Roman" w:hAnsi="Times New Roman" w:cs="Times New Roman"/>
          <w:b/>
          <w:sz w:val="24"/>
          <w:szCs w:val="24"/>
        </w:rPr>
      </w:pPr>
    </w:p>
    <w:p w14:paraId="3AA30862" w14:textId="5EE7F281" w:rsidR="00213AD9" w:rsidRPr="00482E4F" w:rsidRDefault="00213AD9" w:rsidP="00C13F33">
      <w:pPr>
        <w:spacing w:line="276" w:lineRule="auto"/>
        <w:jc w:val="left"/>
        <w:rPr>
          <w:rFonts w:ascii="Times New Roman" w:hAnsi="Times New Roman" w:cs="Times New Roman"/>
          <w:b/>
          <w:sz w:val="24"/>
          <w:szCs w:val="24"/>
        </w:rPr>
      </w:pPr>
    </w:p>
    <w:p w14:paraId="4BCD32C2" w14:textId="57609266" w:rsidR="00DA6218" w:rsidRPr="00DA6218" w:rsidRDefault="008C7F64" w:rsidP="00C13F33">
      <w:pPr>
        <w:spacing w:line="276" w:lineRule="auto"/>
        <w:rPr>
          <w:rFonts w:ascii="Times New Roman" w:hAnsi="Times New Roman" w:cs="Times New Roman"/>
          <w:b/>
          <w:sz w:val="24"/>
          <w:szCs w:val="24"/>
        </w:rPr>
      </w:pPr>
      <w:r>
        <w:rPr>
          <w:rFonts w:ascii="Times New Roman" w:hAnsi="Times New Roman" w:cs="Times New Roman"/>
          <w:b/>
          <w:noProof/>
          <w:sz w:val="24"/>
          <w:szCs w:val="24"/>
        </w:rPr>
        <w:lastRenderedPageBreak/>
        <w:pict w14:anchorId="3799E32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5pt;height:269pt">
            <v:imagedata r:id="rId8" o:title="그림1"/>
          </v:shape>
        </w:pict>
      </w:r>
    </w:p>
    <w:p w14:paraId="368DFF68" w14:textId="1B3B6019" w:rsidR="00DA6218" w:rsidRPr="00DA6218" w:rsidRDefault="00FA4EF7" w:rsidP="00C13F33">
      <w:pPr>
        <w:spacing w:line="276" w:lineRule="auto"/>
        <w:rPr>
          <w:rFonts w:ascii="Times New Roman" w:hAnsi="Times New Roman" w:cs="Times New Roman"/>
          <w:b/>
          <w:sz w:val="24"/>
          <w:szCs w:val="24"/>
        </w:rPr>
      </w:pPr>
      <w:r>
        <w:rPr>
          <w:rFonts w:ascii="Times New Roman" w:hAnsi="Times New Roman" w:cs="Times New Roman"/>
          <w:b/>
          <w:sz w:val="24"/>
          <w:szCs w:val="24"/>
        </w:rPr>
        <w:t>Figure</w:t>
      </w:r>
      <w:r w:rsidR="007C4B61" w:rsidRPr="00DA6218">
        <w:rPr>
          <w:rFonts w:ascii="Times New Roman" w:hAnsi="Times New Roman" w:cs="Times New Roman"/>
          <w:b/>
          <w:sz w:val="24"/>
          <w:szCs w:val="24"/>
        </w:rPr>
        <w:t xml:space="preserve"> S1</w:t>
      </w:r>
      <w:r w:rsidR="007C4B61">
        <w:rPr>
          <w:rFonts w:ascii="Times New Roman" w:hAnsi="Times New Roman" w:cs="Times New Roman"/>
          <w:b/>
          <w:sz w:val="24"/>
          <w:szCs w:val="24"/>
        </w:rPr>
        <w:t xml:space="preserve"> </w:t>
      </w:r>
      <w:proofErr w:type="gramStart"/>
      <w:r w:rsidR="007C4B61" w:rsidRPr="00EA437F">
        <w:rPr>
          <w:rFonts w:ascii="Times New Roman" w:hAnsi="Times New Roman" w:cs="Times New Roman"/>
          <w:bCs/>
          <w:sz w:val="24"/>
          <w:szCs w:val="24"/>
        </w:rPr>
        <w:t>The</w:t>
      </w:r>
      <w:proofErr w:type="gramEnd"/>
      <w:r w:rsidR="007C4B61" w:rsidRPr="00EA437F">
        <w:rPr>
          <w:rFonts w:ascii="Times New Roman" w:hAnsi="Times New Roman" w:cs="Times New Roman"/>
          <w:bCs/>
          <w:sz w:val="24"/>
          <w:szCs w:val="24"/>
        </w:rPr>
        <w:t xml:space="preserve"> three surface-modified nanoparticles and two purchased nanoparticles used in the study.</w:t>
      </w:r>
      <w:r w:rsidR="007C4B61" w:rsidRPr="00D42149">
        <w:rPr>
          <w:rFonts w:ascii="Times New Roman" w:hAnsi="Times New Roman" w:cs="Times New Roman"/>
          <w:b/>
          <w:bCs/>
          <w:sz w:val="24"/>
          <w:szCs w:val="24"/>
        </w:rPr>
        <w:t xml:space="preserve"> </w:t>
      </w:r>
      <w:r w:rsidR="007C4B61" w:rsidRPr="00D42149">
        <w:rPr>
          <w:rFonts w:ascii="Times New Roman" w:hAnsi="Times New Roman" w:cs="Times New Roman"/>
          <w:bCs/>
          <w:sz w:val="24"/>
          <w:szCs w:val="24"/>
        </w:rPr>
        <w:t>All nanoparticles are about 100 nm with different surface charges. The surface ζ-potential of PLGA-PEI (ratio 8:2)</w:t>
      </w:r>
      <w:r w:rsidR="007C4B61">
        <w:rPr>
          <w:rFonts w:ascii="Times New Roman" w:hAnsi="Times New Roman" w:cs="Times New Roman"/>
          <w:bCs/>
          <w:sz w:val="24"/>
          <w:szCs w:val="24"/>
        </w:rPr>
        <w:t xml:space="preserve"> </w:t>
      </w:r>
      <w:r w:rsidR="007C4B61" w:rsidRPr="00D42149">
        <w:rPr>
          <w:rFonts w:ascii="Times New Roman" w:hAnsi="Times New Roman" w:cs="Times New Roman"/>
          <w:bCs/>
          <w:sz w:val="24"/>
          <w:szCs w:val="24"/>
        </w:rPr>
        <w:t xml:space="preserve">and </w:t>
      </w:r>
      <w:proofErr w:type="spellStart"/>
      <w:r w:rsidR="007C4B61" w:rsidRPr="00D42149">
        <w:rPr>
          <w:rFonts w:ascii="Times New Roman" w:hAnsi="Times New Roman" w:cs="Times New Roman"/>
          <w:bCs/>
          <w:sz w:val="24"/>
          <w:szCs w:val="24"/>
        </w:rPr>
        <w:t>FluidMAG</w:t>
      </w:r>
      <w:proofErr w:type="spellEnd"/>
      <w:r w:rsidR="007C4B61" w:rsidRPr="00D42149">
        <w:rPr>
          <w:rFonts w:ascii="Times New Roman" w:hAnsi="Times New Roman" w:cs="Times New Roman"/>
          <w:bCs/>
          <w:sz w:val="24"/>
          <w:szCs w:val="24"/>
        </w:rPr>
        <w:t>-Chitosan are positively charged</w:t>
      </w:r>
      <w:r w:rsidR="00323E9C">
        <w:rPr>
          <w:rFonts w:ascii="Times New Roman" w:hAnsi="Times New Roman" w:cs="Times New Roman"/>
          <w:bCs/>
          <w:sz w:val="24"/>
          <w:szCs w:val="24"/>
        </w:rPr>
        <w:t xml:space="preserve"> NPs</w:t>
      </w:r>
      <w:r w:rsidR="007C4B61" w:rsidRPr="00D42149">
        <w:rPr>
          <w:rFonts w:ascii="Times New Roman" w:hAnsi="Times New Roman" w:cs="Times New Roman"/>
          <w:bCs/>
          <w:sz w:val="24"/>
          <w:szCs w:val="24"/>
        </w:rPr>
        <w:t>. Whereas, PLGA</w:t>
      </w:r>
      <w:r w:rsidR="007C4B61">
        <w:rPr>
          <w:rFonts w:ascii="Times New Roman" w:hAnsi="Times New Roman" w:cs="Times New Roman"/>
          <w:bCs/>
          <w:sz w:val="24"/>
          <w:szCs w:val="24"/>
        </w:rPr>
        <w:t xml:space="preserve"> </w:t>
      </w:r>
      <w:r w:rsidR="007C4B61" w:rsidRPr="00D42149">
        <w:rPr>
          <w:rFonts w:ascii="Times New Roman" w:hAnsi="Times New Roman" w:cs="Times New Roman"/>
          <w:bCs/>
          <w:sz w:val="24"/>
          <w:szCs w:val="24"/>
        </w:rPr>
        <w:t xml:space="preserve">(100%) and </w:t>
      </w:r>
      <w:proofErr w:type="spellStart"/>
      <w:r w:rsidR="007C4B61" w:rsidRPr="00D42149">
        <w:rPr>
          <w:rFonts w:ascii="Times New Roman" w:hAnsi="Times New Roman" w:cs="Times New Roman"/>
          <w:bCs/>
          <w:sz w:val="24"/>
          <w:szCs w:val="24"/>
        </w:rPr>
        <w:t>FluidMAG</w:t>
      </w:r>
      <w:proofErr w:type="spellEnd"/>
      <w:r w:rsidR="007C4B61" w:rsidRPr="00D42149">
        <w:rPr>
          <w:rFonts w:ascii="Times New Roman" w:hAnsi="Times New Roman" w:cs="Times New Roman"/>
          <w:bCs/>
          <w:sz w:val="24"/>
          <w:szCs w:val="24"/>
        </w:rPr>
        <w:t>-CMX showed a negative surface charge</w:t>
      </w:r>
      <w:r w:rsidR="00323E9C">
        <w:rPr>
          <w:rFonts w:ascii="Times New Roman" w:hAnsi="Times New Roman" w:cs="Times New Roman"/>
          <w:bCs/>
          <w:sz w:val="24"/>
          <w:szCs w:val="24"/>
        </w:rPr>
        <w:t>d NPs</w:t>
      </w:r>
      <w:r w:rsidR="007C4B61" w:rsidRPr="00D42149">
        <w:rPr>
          <w:rFonts w:ascii="Times New Roman" w:hAnsi="Times New Roman" w:cs="Times New Roman"/>
          <w:bCs/>
          <w:sz w:val="24"/>
          <w:szCs w:val="24"/>
        </w:rPr>
        <w:t>.</w:t>
      </w:r>
      <w:r w:rsidR="00323E9C">
        <w:rPr>
          <w:rFonts w:ascii="Times New Roman" w:hAnsi="Times New Roman" w:cs="Times New Roman"/>
          <w:bCs/>
          <w:sz w:val="24"/>
          <w:szCs w:val="24"/>
        </w:rPr>
        <w:t xml:space="preserve"> </w:t>
      </w:r>
    </w:p>
    <w:p w14:paraId="15159914" w14:textId="789E5DEB" w:rsidR="00DA6218" w:rsidRPr="00DA6218" w:rsidRDefault="00DA6218" w:rsidP="00C13F33">
      <w:pPr>
        <w:spacing w:line="276" w:lineRule="auto"/>
        <w:rPr>
          <w:rFonts w:ascii="Times New Roman" w:hAnsi="Times New Roman" w:cs="Times New Roman"/>
          <w:b/>
          <w:sz w:val="24"/>
          <w:szCs w:val="24"/>
        </w:rPr>
      </w:pPr>
    </w:p>
    <w:p w14:paraId="20E4B7FC" w14:textId="77777777" w:rsidR="00421D9E" w:rsidRDefault="00421D9E">
      <w:pPr>
        <w:rPr>
          <w:rFonts w:ascii="Times New Roman" w:hAnsi="Times New Roman" w:cs="Times New Roman"/>
          <w:b/>
          <w:sz w:val="24"/>
          <w:szCs w:val="24"/>
        </w:rPr>
      </w:pPr>
      <w:r>
        <w:rPr>
          <w:rFonts w:ascii="Times New Roman" w:hAnsi="Times New Roman" w:cs="Times New Roman"/>
          <w:b/>
          <w:sz w:val="24"/>
          <w:szCs w:val="24"/>
        </w:rPr>
        <w:br w:type="page"/>
      </w:r>
    </w:p>
    <w:p w14:paraId="32EC5425" w14:textId="56AB2955" w:rsidR="00421D9E" w:rsidRDefault="00421D9E" w:rsidP="00C13F33">
      <w:pPr>
        <w:spacing w:line="276" w:lineRule="auto"/>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2F1FD3D6" wp14:editId="071BF5A3">
            <wp:extent cx="5250815" cy="4474845"/>
            <wp:effectExtent l="0" t="0" r="6985" b="1905"/>
            <wp:docPr id="1" name="그림 1" descr="F:\명하\학술논문지원서비스\신청자료\박동준(이비인후과)\20200518 Nano letter\Figure S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명하\학술논문지원서비스\신청자료\박동준(이비인후과)\20200518 Nano letter\Figure S2.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50815" cy="4474845"/>
                    </a:xfrm>
                    <a:prstGeom prst="rect">
                      <a:avLst/>
                    </a:prstGeom>
                    <a:noFill/>
                    <a:ln>
                      <a:noFill/>
                    </a:ln>
                  </pic:spPr>
                </pic:pic>
              </a:graphicData>
            </a:graphic>
          </wp:inline>
        </w:drawing>
      </w:r>
    </w:p>
    <w:p w14:paraId="4B0BE6B6" w14:textId="77777777" w:rsidR="00421D9E" w:rsidRDefault="00421D9E" w:rsidP="00C13F33">
      <w:pPr>
        <w:spacing w:line="276" w:lineRule="auto"/>
        <w:rPr>
          <w:rFonts w:ascii="Times New Roman" w:hAnsi="Times New Roman" w:cs="Times New Roman"/>
          <w:b/>
          <w:sz w:val="24"/>
          <w:szCs w:val="24"/>
        </w:rPr>
      </w:pPr>
    </w:p>
    <w:p w14:paraId="410B655F" w14:textId="205CD7B2" w:rsidR="007C4B61" w:rsidRDefault="00FA4EF7" w:rsidP="00C13F33">
      <w:pPr>
        <w:spacing w:line="276" w:lineRule="auto"/>
        <w:rPr>
          <w:rFonts w:ascii="Times New Roman" w:hAnsi="Times New Roman" w:cs="Times New Roman"/>
          <w:b/>
          <w:sz w:val="24"/>
          <w:szCs w:val="24"/>
        </w:rPr>
      </w:pPr>
      <w:r>
        <w:rPr>
          <w:rFonts w:ascii="Times New Roman" w:hAnsi="Times New Roman" w:cs="Times New Roman" w:hint="eastAsia"/>
          <w:b/>
          <w:sz w:val="24"/>
          <w:szCs w:val="24"/>
        </w:rPr>
        <w:t>Figure</w:t>
      </w:r>
      <w:r w:rsidR="007C4B61">
        <w:rPr>
          <w:rFonts w:ascii="Times New Roman" w:hAnsi="Times New Roman" w:cs="Times New Roman"/>
          <w:b/>
          <w:sz w:val="24"/>
          <w:szCs w:val="24"/>
        </w:rPr>
        <w:t xml:space="preserve"> S2 </w:t>
      </w:r>
      <w:r w:rsidR="007C4B61" w:rsidRPr="00EA437F">
        <w:rPr>
          <w:rFonts w:ascii="Times New Roman" w:hAnsi="Times New Roman" w:cs="Times New Roman"/>
          <w:bCs/>
          <w:sz w:val="24"/>
          <w:szCs w:val="24"/>
        </w:rPr>
        <w:t xml:space="preserve">Properties of </w:t>
      </w:r>
      <w:r w:rsidR="007C4B61">
        <w:rPr>
          <w:rFonts w:ascii="Times New Roman" w:hAnsi="Times New Roman" w:cs="Times New Roman"/>
          <w:bCs/>
          <w:sz w:val="24"/>
          <w:szCs w:val="24"/>
        </w:rPr>
        <w:t>negative</w:t>
      </w:r>
      <w:r w:rsidR="007C4B61" w:rsidRPr="00EA437F">
        <w:rPr>
          <w:rFonts w:ascii="Times New Roman" w:hAnsi="Times New Roman" w:cs="Times New Roman"/>
          <w:bCs/>
          <w:sz w:val="24"/>
          <w:szCs w:val="24"/>
        </w:rPr>
        <w:t xml:space="preserve"> charged PCS NPs. </w:t>
      </w:r>
      <w:r w:rsidR="007C4B61">
        <w:rPr>
          <w:rFonts w:ascii="Times New Roman" w:hAnsi="Times New Roman" w:cs="Times New Roman"/>
          <w:bCs/>
          <w:sz w:val="24"/>
          <w:szCs w:val="24"/>
        </w:rPr>
        <w:t>(</w:t>
      </w:r>
      <w:r w:rsidR="007C4B61" w:rsidRPr="00EA437F">
        <w:rPr>
          <w:rFonts w:ascii="Times New Roman" w:hAnsi="Times New Roman" w:cs="Times New Roman"/>
          <w:bCs/>
          <w:sz w:val="24"/>
          <w:szCs w:val="24"/>
        </w:rPr>
        <w:t>a</w:t>
      </w:r>
      <w:r w:rsidR="007C4B61">
        <w:rPr>
          <w:rFonts w:ascii="Times New Roman" w:hAnsi="Times New Roman" w:cs="Times New Roman"/>
          <w:bCs/>
          <w:sz w:val="24"/>
          <w:szCs w:val="24"/>
        </w:rPr>
        <w:t>)</w:t>
      </w:r>
      <w:r w:rsidR="007C4B61" w:rsidRPr="00EA437F">
        <w:rPr>
          <w:rFonts w:ascii="Times New Roman" w:hAnsi="Times New Roman" w:cs="Times New Roman"/>
          <w:bCs/>
          <w:sz w:val="24"/>
          <w:szCs w:val="24"/>
        </w:rPr>
        <w:t xml:space="preserve"> Schematic of PCS NPs. </w:t>
      </w:r>
      <w:r w:rsidR="007C4B61">
        <w:rPr>
          <w:rFonts w:ascii="Times New Roman" w:hAnsi="Times New Roman" w:cs="Times New Roman"/>
          <w:bCs/>
          <w:sz w:val="24"/>
          <w:szCs w:val="24"/>
        </w:rPr>
        <w:t>(</w:t>
      </w:r>
      <w:r w:rsidR="007C4B61" w:rsidRPr="00EA437F">
        <w:rPr>
          <w:rFonts w:ascii="Times New Roman" w:hAnsi="Times New Roman" w:cs="Times New Roman"/>
          <w:bCs/>
          <w:sz w:val="24"/>
          <w:szCs w:val="24"/>
        </w:rPr>
        <w:t>b</w:t>
      </w:r>
      <w:r w:rsidR="007C4B61">
        <w:rPr>
          <w:rFonts w:ascii="Times New Roman" w:hAnsi="Times New Roman" w:cs="Times New Roman"/>
          <w:bCs/>
          <w:sz w:val="24"/>
          <w:szCs w:val="24"/>
        </w:rPr>
        <w:t>)</w:t>
      </w:r>
      <w:r w:rsidR="007C4B61" w:rsidRPr="00EA437F">
        <w:rPr>
          <w:rFonts w:ascii="Times New Roman" w:hAnsi="Times New Roman" w:cs="Times New Roman"/>
          <w:bCs/>
          <w:sz w:val="24"/>
          <w:szCs w:val="24"/>
        </w:rPr>
        <w:t xml:space="preserve"> Size. </w:t>
      </w:r>
      <w:r w:rsidR="007C4B61">
        <w:rPr>
          <w:rFonts w:ascii="Times New Roman" w:hAnsi="Times New Roman" w:cs="Times New Roman"/>
          <w:bCs/>
          <w:sz w:val="24"/>
          <w:szCs w:val="24"/>
        </w:rPr>
        <w:t>(</w:t>
      </w:r>
      <w:r w:rsidR="007C4B61" w:rsidRPr="00EA437F">
        <w:rPr>
          <w:rFonts w:ascii="Times New Roman" w:hAnsi="Times New Roman" w:cs="Times New Roman"/>
          <w:bCs/>
          <w:sz w:val="24"/>
          <w:szCs w:val="24"/>
        </w:rPr>
        <w:t>c</w:t>
      </w:r>
      <w:r w:rsidR="007C4B61">
        <w:rPr>
          <w:rFonts w:ascii="Times New Roman" w:hAnsi="Times New Roman" w:cs="Times New Roman"/>
          <w:bCs/>
          <w:sz w:val="24"/>
          <w:szCs w:val="24"/>
        </w:rPr>
        <w:t>)</w:t>
      </w:r>
      <w:r w:rsidR="007C4B61" w:rsidRPr="00EA437F">
        <w:rPr>
          <w:rFonts w:ascii="Times New Roman" w:hAnsi="Times New Roman" w:cs="Times New Roman"/>
          <w:bCs/>
          <w:sz w:val="24"/>
          <w:szCs w:val="24"/>
        </w:rPr>
        <w:t xml:space="preserve"> ζ-potential. </w:t>
      </w:r>
      <w:r w:rsidR="007C4B61">
        <w:rPr>
          <w:rFonts w:ascii="Times New Roman" w:hAnsi="Times New Roman" w:cs="Times New Roman"/>
          <w:bCs/>
          <w:sz w:val="24"/>
          <w:szCs w:val="24"/>
        </w:rPr>
        <w:t>(</w:t>
      </w:r>
      <w:r w:rsidR="007C4B61" w:rsidRPr="00EA437F">
        <w:rPr>
          <w:rFonts w:ascii="Times New Roman" w:hAnsi="Times New Roman" w:cs="Times New Roman"/>
          <w:bCs/>
          <w:sz w:val="24"/>
          <w:szCs w:val="24"/>
        </w:rPr>
        <w:t>d</w:t>
      </w:r>
      <w:r w:rsidR="007C4B61">
        <w:rPr>
          <w:rFonts w:ascii="Times New Roman" w:hAnsi="Times New Roman" w:cs="Times New Roman"/>
          <w:bCs/>
          <w:sz w:val="24"/>
          <w:szCs w:val="24"/>
        </w:rPr>
        <w:t>)</w:t>
      </w:r>
      <w:r w:rsidR="007C4B61" w:rsidRPr="00EA437F">
        <w:rPr>
          <w:rFonts w:ascii="Times New Roman" w:hAnsi="Times New Roman" w:cs="Times New Roman"/>
          <w:bCs/>
          <w:sz w:val="24"/>
          <w:szCs w:val="24"/>
        </w:rPr>
        <w:t xml:space="preserve"> TEM image.</w:t>
      </w:r>
      <w:r w:rsidR="007C4B61" w:rsidRPr="00EA437F">
        <w:rPr>
          <w:rFonts w:ascii="Times New Roman" w:hAnsi="Times New Roman" w:cs="Times New Roman"/>
          <w:sz w:val="24"/>
          <w:szCs w:val="24"/>
        </w:rPr>
        <w:t xml:space="preserve"> e</w:t>
      </w:r>
      <w:r w:rsidR="007C4B61" w:rsidRPr="00EA437F">
        <w:rPr>
          <w:rFonts w:ascii="Times New Roman" w:hAnsi="Times New Roman" w:cs="Times New Roman"/>
          <w:bCs/>
          <w:sz w:val="24"/>
          <w:szCs w:val="24"/>
        </w:rPr>
        <w:t xml:space="preserve"> SEM image.</w:t>
      </w:r>
    </w:p>
    <w:p w14:paraId="0B56817B" w14:textId="10B20B73" w:rsidR="007C4B61" w:rsidRDefault="007C4B61" w:rsidP="00C13F33">
      <w:pPr>
        <w:spacing w:line="276" w:lineRule="auto"/>
        <w:rPr>
          <w:rFonts w:ascii="Times New Roman" w:hAnsi="Times New Roman" w:cs="Times New Roman"/>
          <w:b/>
          <w:sz w:val="24"/>
          <w:szCs w:val="24"/>
        </w:rPr>
      </w:pPr>
    </w:p>
    <w:p w14:paraId="10ADA0A8" w14:textId="77777777" w:rsidR="007C4B61" w:rsidRDefault="007C4B61" w:rsidP="00C13F33">
      <w:pPr>
        <w:spacing w:line="276" w:lineRule="auto"/>
        <w:rPr>
          <w:rFonts w:ascii="Times New Roman" w:hAnsi="Times New Roman" w:cs="Times New Roman"/>
          <w:b/>
          <w:sz w:val="24"/>
          <w:szCs w:val="24"/>
        </w:rPr>
        <w:sectPr w:rsidR="007C4B61">
          <w:pgSz w:w="11906" w:h="16838"/>
          <w:pgMar w:top="1701" w:right="1440" w:bottom="1440" w:left="1440" w:header="851" w:footer="992" w:gutter="0"/>
          <w:cols w:space="425"/>
          <w:docGrid w:linePitch="360"/>
        </w:sectPr>
      </w:pPr>
    </w:p>
    <w:p w14:paraId="38AD239C" w14:textId="72D2821B" w:rsidR="003513AA" w:rsidRPr="00DA6218" w:rsidRDefault="007C4B61" w:rsidP="00C13F33">
      <w:pPr>
        <w:spacing w:line="276"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5874DF68" wp14:editId="40C1355C">
            <wp:extent cx="5727700" cy="3168650"/>
            <wp:effectExtent l="0" t="0" r="635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27700" cy="3168650"/>
                    </a:xfrm>
                    <a:prstGeom prst="rect">
                      <a:avLst/>
                    </a:prstGeom>
                    <a:noFill/>
                    <a:ln>
                      <a:noFill/>
                    </a:ln>
                  </pic:spPr>
                </pic:pic>
              </a:graphicData>
            </a:graphic>
          </wp:inline>
        </w:drawing>
      </w:r>
    </w:p>
    <w:p w14:paraId="4F88477F" w14:textId="634F1262" w:rsidR="007C4B61" w:rsidRDefault="00FA4EF7" w:rsidP="00C13F33">
      <w:pPr>
        <w:spacing w:line="276" w:lineRule="auto"/>
        <w:rPr>
          <w:rFonts w:ascii="Times New Roman" w:hAnsi="Times New Roman" w:cs="Times New Roman"/>
          <w:bCs/>
          <w:sz w:val="24"/>
          <w:szCs w:val="24"/>
        </w:rPr>
      </w:pPr>
      <w:r>
        <w:rPr>
          <w:rFonts w:ascii="Times New Roman" w:hAnsi="Times New Roman" w:cs="Times New Roman" w:hint="eastAsia"/>
          <w:b/>
          <w:sz w:val="24"/>
          <w:szCs w:val="24"/>
        </w:rPr>
        <w:t>Figure</w:t>
      </w:r>
      <w:r w:rsidR="007C4B61">
        <w:rPr>
          <w:rFonts w:ascii="Times New Roman" w:hAnsi="Times New Roman" w:cs="Times New Roman"/>
          <w:b/>
          <w:sz w:val="24"/>
          <w:szCs w:val="24"/>
        </w:rPr>
        <w:t xml:space="preserve"> S3 </w:t>
      </w:r>
      <w:r w:rsidR="007C4B61" w:rsidRPr="00EA437F">
        <w:rPr>
          <w:rFonts w:ascii="Times New Roman" w:hAnsi="Times New Roman" w:cs="Times New Roman" w:hint="eastAsia"/>
          <w:bCs/>
          <w:sz w:val="24"/>
          <w:szCs w:val="24"/>
        </w:rPr>
        <w:t xml:space="preserve">Establishment of mesenchymal stem cell (MSC)-derived exosomes and concentration conditions of the various nanoparticles (NPs). </w:t>
      </w:r>
      <w:r w:rsidR="007C4B61">
        <w:rPr>
          <w:rFonts w:ascii="Times New Roman" w:hAnsi="Times New Roman" w:cs="Times New Roman"/>
          <w:bCs/>
          <w:sz w:val="24"/>
          <w:szCs w:val="24"/>
        </w:rPr>
        <w:t>(A)</w:t>
      </w:r>
      <w:r w:rsidR="007C4B61" w:rsidRPr="00EA437F">
        <w:rPr>
          <w:rFonts w:ascii="Times New Roman" w:hAnsi="Times New Roman" w:cs="Times New Roman" w:hint="eastAsia"/>
          <w:bCs/>
          <w:sz w:val="24"/>
          <w:szCs w:val="24"/>
        </w:rPr>
        <w:t xml:space="preserve"> Cell viability of M</w:t>
      </w:r>
      <w:r w:rsidR="007C4B61" w:rsidRPr="00D42149">
        <w:rPr>
          <w:rFonts w:ascii="Times New Roman" w:hAnsi="Times New Roman" w:cs="Times New Roman" w:hint="eastAsia"/>
          <w:bCs/>
          <w:sz w:val="24"/>
          <w:szCs w:val="24"/>
        </w:rPr>
        <w:t xml:space="preserve">SCs incubated with </w:t>
      </w:r>
      <w:r w:rsidR="007C4B61">
        <w:rPr>
          <w:rFonts w:ascii="Times New Roman" w:hAnsi="Times New Roman" w:cs="Times New Roman"/>
          <w:bCs/>
          <w:sz w:val="24"/>
          <w:szCs w:val="24"/>
        </w:rPr>
        <w:t>PLGA-</w:t>
      </w:r>
      <w:r w:rsidR="007C4B61" w:rsidRPr="00D42149">
        <w:rPr>
          <w:rFonts w:ascii="Times New Roman" w:hAnsi="Times New Roman" w:cs="Times New Roman" w:hint="eastAsia"/>
          <w:bCs/>
          <w:sz w:val="24"/>
          <w:szCs w:val="24"/>
        </w:rPr>
        <w:t>PEI and PLGA PCS</w:t>
      </w:r>
      <w:r w:rsidR="007C4B61">
        <w:rPr>
          <w:rFonts w:ascii="Times New Roman" w:hAnsi="Times New Roman" w:cs="Times New Roman"/>
          <w:bCs/>
          <w:sz w:val="24"/>
          <w:szCs w:val="24"/>
        </w:rPr>
        <w:t xml:space="preserve"> </w:t>
      </w:r>
      <w:r w:rsidR="007C4B61" w:rsidRPr="00D42149">
        <w:rPr>
          <w:rFonts w:ascii="Times New Roman" w:hAnsi="Times New Roman" w:cs="Times New Roman" w:hint="eastAsia"/>
          <w:bCs/>
          <w:sz w:val="24"/>
          <w:szCs w:val="24"/>
        </w:rPr>
        <w:t xml:space="preserve">NPs at different concentrations for </w:t>
      </w:r>
      <w:r w:rsidR="007C4B61" w:rsidRPr="00671D7E">
        <w:rPr>
          <w:rFonts w:ascii="Times New Roman" w:hAnsi="Times New Roman" w:cs="Times New Roman" w:hint="eastAsia"/>
          <w:bCs/>
          <w:sz w:val="24"/>
          <w:szCs w:val="24"/>
        </w:rPr>
        <w:t xml:space="preserve">24 h. </w:t>
      </w:r>
      <w:r w:rsidR="007C4B61">
        <w:rPr>
          <w:rFonts w:ascii="Times New Roman" w:hAnsi="Times New Roman" w:cs="Times New Roman"/>
          <w:bCs/>
          <w:sz w:val="24"/>
          <w:szCs w:val="24"/>
        </w:rPr>
        <w:t>(B)</w:t>
      </w:r>
      <w:r w:rsidR="007C4B61" w:rsidRPr="00671D7E">
        <w:rPr>
          <w:rFonts w:ascii="Times New Roman" w:hAnsi="Times New Roman" w:cs="Times New Roman" w:hint="eastAsia"/>
          <w:bCs/>
          <w:sz w:val="24"/>
          <w:szCs w:val="24"/>
        </w:rPr>
        <w:t xml:space="preserve"> Cell viability of MSCs incubated with </w:t>
      </w:r>
      <w:proofErr w:type="spellStart"/>
      <w:r w:rsidR="007C4B61" w:rsidRPr="00671D7E">
        <w:rPr>
          <w:rFonts w:ascii="Times New Roman" w:hAnsi="Times New Roman" w:cs="Times New Roman" w:hint="eastAsia"/>
          <w:bCs/>
          <w:sz w:val="24"/>
          <w:szCs w:val="24"/>
        </w:rPr>
        <w:t>FluidMag</w:t>
      </w:r>
      <w:proofErr w:type="spellEnd"/>
      <w:r w:rsidR="007C4B61" w:rsidRPr="00671D7E">
        <w:rPr>
          <w:rFonts w:ascii="Times New Roman" w:hAnsi="Times New Roman" w:cs="Times New Roman" w:hint="eastAsia"/>
          <w:bCs/>
          <w:sz w:val="24"/>
          <w:szCs w:val="24"/>
        </w:rPr>
        <w:t xml:space="preserve">-CMX and </w:t>
      </w:r>
      <w:proofErr w:type="spellStart"/>
      <w:r w:rsidR="007C4B61" w:rsidRPr="00671D7E">
        <w:rPr>
          <w:rFonts w:ascii="Times New Roman" w:hAnsi="Times New Roman" w:cs="Times New Roman" w:hint="eastAsia"/>
          <w:bCs/>
          <w:sz w:val="24"/>
          <w:szCs w:val="24"/>
        </w:rPr>
        <w:t>FluidMag</w:t>
      </w:r>
      <w:proofErr w:type="spellEnd"/>
      <w:r w:rsidR="007C4B61" w:rsidRPr="00671D7E">
        <w:rPr>
          <w:rFonts w:ascii="Times New Roman" w:hAnsi="Times New Roman" w:cs="Times New Roman" w:hint="eastAsia"/>
          <w:bCs/>
          <w:sz w:val="24"/>
          <w:szCs w:val="24"/>
        </w:rPr>
        <w:t xml:space="preserve">-Chitosan at different concentrations for 24 h. </w:t>
      </w:r>
      <w:r w:rsidR="007C4B61">
        <w:rPr>
          <w:rFonts w:ascii="Times New Roman" w:hAnsi="Times New Roman" w:cs="Times New Roman"/>
          <w:bCs/>
          <w:sz w:val="24"/>
          <w:szCs w:val="24"/>
        </w:rPr>
        <w:t>(C)</w:t>
      </w:r>
      <w:r w:rsidR="007C4B61" w:rsidRPr="00D42149">
        <w:rPr>
          <w:rFonts w:ascii="Times New Roman" w:hAnsi="Times New Roman" w:cs="Times New Roman" w:hint="eastAsia"/>
          <w:bCs/>
          <w:sz w:val="24"/>
          <w:szCs w:val="24"/>
        </w:rPr>
        <w:t xml:space="preserve"> Exosomes released from MSCs exposed to NPs with different surface charges.  </w:t>
      </w:r>
    </w:p>
    <w:p w14:paraId="414D0EED" w14:textId="44427B34" w:rsidR="007C4B61" w:rsidRDefault="007C4B61" w:rsidP="00C13F33">
      <w:pPr>
        <w:spacing w:line="276" w:lineRule="auto"/>
        <w:rPr>
          <w:rFonts w:ascii="Times New Roman" w:hAnsi="Times New Roman" w:cs="Times New Roman"/>
          <w:bCs/>
          <w:sz w:val="24"/>
          <w:szCs w:val="24"/>
        </w:rPr>
      </w:pPr>
    </w:p>
    <w:p w14:paraId="457D6351" w14:textId="7657E3B4" w:rsidR="007C4B61" w:rsidRDefault="007C4B61" w:rsidP="00C13F33">
      <w:pPr>
        <w:spacing w:line="276" w:lineRule="auto"/>
        <w:rPr>
          <w:rFonts w:ascii="Times New Roman" w:hAnsi="Times New Roman" w:cs="Times New Roman"/>
          <w:bCs/>
          <w:sz w:val="24"/>
          <w:szCs w:val="24"/>
        </w:rPr>
      </w:pPr>
    </w:p>
    <w:p w14:paraId="24C762F5" w14:textId="77777777" w:rsidR="007C4B61" w:rsidRPr="00D42149" w:rsidRDefault="007C4B61" w:rsidP="00C13F33">
      <w:pPr>
        <w:spacing w:line="276" w:lineRule="auto"/>
        <w:rPr>
          <w:rFonts w:ascii="Times New Roman" w:hAnsi="Times New Roman" w:cs="Times New Roman"/>
          <w:bCs/>
          <w:sz w:val="24"/>
          <w:szCs w:val="24"/>
        </w:rPr>
      </w:pPr>
    </w:p>
    <w:p w14:paraId="47BB5F9D" w14:textId="32C16DE6" w:rsidR="003513AA" w:rsidRPr="00DA6218" w:rsidRDefault="003513AA" w:rsidP="00C13F33">
      <w:pPr>
        <w:spacing w:line="276" w:lineRule="auto"/>
        <w:rPr>
          <w:rFonts w:ascii="Times New Roman" w:hAnsi="Times New Roman" w:cs="Times New Roman"/>
          <w:b/>
          <w:sz w:val="24"/>
          <w:szCs w:val="24"/>
        </w:rPr>
      </w:pPr>
    </w:p>
    <w:p w14:paraId="65FA91D1" w14:textId="58B8D996" w:rsidR="003513AA" w:rsidRPr="00DA6218" w:rsidRDefault="003513AA" w:rsidP="00C13F33">
      <w:pPr>
        <w:spacing w:line="276" w:lineRule="auto"/>
        <w:rPr>
          <w:rFonts w:ascii="Times New Roman" w:hAnsi="Times New Roman" w:cs="Times New Roman"/>
          <w:b/>
          <w:sz w:val="24"/>
          <w:szCs w:val="24"/>
        </w:rPr>
      </w:pPr>
    </w:p>
    <w:p w14:paraId="46804774" w14:textId="4241FF90" w:rsidR="003513AA" w:rsidRPr="00DA6218" w:rsidRDefault="003513AA" w:rsidP="00C13F33">
      <w:pPr>
        <w:spacing w:line="276" w:lineRule="auto"/>
        <w:rPr>
          <w:rFonts w:ascii="Times New Roman" w:hAnsi="Times New Roman" w:cs="Times New Roman"/>
          <w:b/>
          <w:sz w:val="24"/>
          <w:szCs w:val="24"/>
        </w:rPr>
      </w:pPr>
    </w:p>
    <w:p w14:paraId="118D342C" w14:textId="77777777" w:rsidR="007C4B61" w:rsidRDefault="007C4B61" w:rsidP="00C13F33">
      <w:pPr>
        <w:spacing w:line="276" w:lineRule="auto"/>
        <w:rPr>
          <w:rFonts w:ascii="Times New Roman" w:hAnsi="Times New Roman" w:cs="Times New Roman"/>
          <w:b/>
          <w:sz w:val="24"/>
          <w:szCs w:val="24"/>
        </w:rPr>
        <w:sectPr w:rsidR="007C4B61">
          <w:pgSz w:w="11906" w:h="16838"/>
          <w:pgMar w:top="1701" w:right="1440" w:bottom="1440" w:left="1440" w:header="851" w:footer="992" w:gutter="0"/>
          <w:cols w:space="425"/>
          <w:docGrid w:linePitch="360"/>
        </w:sectPr>
      </w:pPr>
    </w:p>
    <w:p w14:paraId="33D89AD4" w14:textId="77777777" w:rsidR="007C4B61" w:rsidRDefault="007C4B61" w:rsidP="00C13F33">
      <w:pPr>
        <w:spacing w:line="276" w:lineRule="auto"/>
        <w:rPr>
          <w:rFonts w:ascii="Times New Roman" w:hAnsi="Times New Roman" w:cs="Times New Roman"/>
          <w:b/>
          <w:sz w:val="24"/>
          <w:szCs w:val="24"/>
        </w:rPr>
      </w:pPr>
    </w:p>
    <w:p w14:paraId="12240DFF" w14:textId="76D46EEE" w:rsidR="007C4B61" w:rsidRPr="00DA6218" w:rsidRDefault="007C4B61" w:rsidP="00C13F33">
      <w:pPr>
        <w:spacing w:line="276"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0FDC5F01" wp14:editId="7517AAB1">
            <wp:extent cx="5219700" cy="4013200"/>
            <wp:effectExtent l="0" t="0" r="0" b="635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19700" cy="4013200"/>
                    </a:xfrm>
                    <a:prstGeom prst="rect">
                      <a:avLst/>
                    </a:prstGeom>
                    <a:noFill/>
                    <a:ln>
                      <a:noFill/>
                    </a:ln>
                  </pic:spPr>
                </pic:pic>
              </a:graphicData>
            </a:graphic>
          </wp:inline>
        </w:drawing>
      </w:r>
      <w:r>
        <w:rPr>
          <w:rFonts w:ascii="Times New Roman" w:hAnsi="Times New Roman" w:cs="Times New Roman"/>
          <w:b/>
          <w:sz w:val="24"/>
          <w:szCs w:val="24"/>
        </w:rPr>
        <w:t>.</w:t>
      </w:r>
    </w:p>
    <w:p w14:paraId="48C2B6B2" w14:textId="56F26CC0" w:rsidR="007C4B61" w:rsidRPr="00D42149" w:rsidRDefault="00FA4EF7" w:rsidP="00C13F33">
      <w:pPr>
        <w:spacing w:line="276" w:lineRule="auto"/>
        <w:rPr>
          <w:rFonts w:ascii="Times New Roman" w:eastAsia="굴림" w:hAnsi="Times New Roman" w:cs="Times New Roman"/>
          <w:sz w:val="24"/>
          <w:szCs w:val="24"/>
        </w:rPr>
      </w:pPr>
      <w:r>
        <w:rPr>
          <w:rFonts w:ascii="Times New Roman" w:hAnsi="Times New Roman" w:cs="Times New Roman" w:hint="eastAsia"/>
          <w:b/>
          <w:sz w:val="24"/>
          <w:szCs w:val="24"/>
        </w:rPr>
        <w:t>Figure</w:t>
      </w:r>
      <w:r w:rsidR="007C4B61">
        <w:rPr>
          <w:rFonts w:ascii="Times New Roman" w:hAnsi="Times New Roman" w:cs="Times New Roman"/>
          <w:b/>
          <w:sz w:val="24"/>
          <w:szCs w:val="24"/>
        </w:rPr>
        <w:t xml:space="preserve"> S4 </w:t>
      </w:r>
      <w:r w:rsidR="007C4B61" w:rsidRPr="00EA437F">
        <w:rPr>
          <w:rFonts w:ascii="Times New Roman" w:hAnsi="Times New Roman" w:cs="Times New Roman"/>
          <w:bCs/>
          <w:sz w:val="24"/>
          <w:szCs w:val="24"/>
        </w:rPr>
        <w:t xml:space="preserve">Diameter of MSC-derived exosomes measured by image analysis. </w:t>
      </w:r>
      <w:r w:rsidR="007C4B61" w:rsidRPr="00EA437F">
        <w:rPr>
          <w:rFonts w:ascii="Times New Roman" w:hAnsi="Times New Roman" w:cs="Times New Roman"/>
          <w:sz w:val="24"/>
          <w:szCs w:val="24"/>
        </w:rPr>
        <w:t>T</w:t>
      </w:r>
      <w:r w:rsidR="007C4B61" w:rsidRPr="00D42149">
        <w:rPr>
          <w:rFonts w:ascii="Times New Roman" w:hAnsi="Times New Roman" w:cs="Times New Roman"/>
          <w:sz w:val="24"/>
          <w:szCs w:val="24"/>
        </w:rPr>
        <w:t xml:space="preserve">o determine the overexpression of exosomes by our NPs, the exosomes were purified using the exosome isolation kit after treating the MSCs with PCS-NPs for 24 h. Purified </w:t>
      </w:r>
      <w:proofErr w:type="spellStart"/>
      <w:r w:rsidR="007C4B61" w:rsidRPr="00D42149">
        <w:rPr>
          <w:rFonts w:ascii="Times New Roman" w:hAnsi="Times New Roman" w:cs="Times New Roman"/>
          <w:sz w:val="24"/>
          <w:szCs w:val="24"/>
        </w:rPr>
        <w:t>exosomal</w:t>
      </w:r>
      <w:proofErr w:type="spellEnd"/>
      <w:r w:rsidR="007C4B61" w:rsidRPr="00D42149">
        <w:rPr>
          <w:rFonts w:ascii="Times New Roman" w:hAnsi="Times New Roman" w:cs="Times New Roman"/>
          <w:sz w:val="24"/>
          <w:szCs w:val="24"/>
        </w:rPr>
        <w:t xml:space="preserve"> total RNA was isolated, and the samples were quantified as described in the methods section. </w:t>
      </w:r>
      <w:r w:rsidR="007C4B61" w:rsidRPr="00D42149">
        <w:rPr>
          <w:rFonts w:ascii="Times New Roman" w:hAnsi="Times New Roman" w:cs="Times New Roman"/>
          <w:bCs/>
          <w:sz w:val="24"/>
          <w:szCs w:val="24"/>
        </w:rPr>
        <w:t>The exosomes released from MSCs were randomly measured. The sizes were 91.49, 121.9, 91.49, 96.95, 98.01, 106.69, 132.32, 147.25 nm, and the average was 110.76 ± 20.8 nm.</w:t>
      </w:r>
      <w:r w:rsidR="007C4B61" w:rsidRPr="00D42149">
        <w:rPr>
          <w:rFonts w:ascii="Times New Roman" w:hAnsi="Times New Roman" w:cs="Times New Roman"/>
          <w:b/>
          <w:bCs/>
          <w:sz w:val="24"/>
          <w:szCs w:val="24"/>
        </w:rPr>
        <w:t xml:space="preserve"> </w:t>
      </w:r>
      <w:r w:rsidR="007C4B61" w:rsidRPr="00D42149">
        <w:rPr>
          <w:rFonts w:ascii="Times New Roman" w:hAnsi="Times New Roman" w:cs="Times New Roman"/>
          <w:sz w:val="24"/>
          <w:szCs w:val="24"/>
        </w:rPr>
        <w:t>The cells were fixed in 2.5 % glutaraldehyde for 2 h at 4 ºC, and the specimens were left to solidify in 2 % agar. Samples were post-fixed in 1% osmium tetroxide (OsO</w:t>
      </w:r>
      <w:r w:rsidR="007C4B61" w:rsidRPr="00D42149">
        <w:rPr>
          <w:rFonts w:ascii="Times New Roman" w:hAnsi="Times New Roman" w:cs="Times New Roman"/>
          <w:sz w:val="24"/>
          <w:szCs w:val="24"/>
          <w:vertAlign w:val="subscript"/>
        </w:rPr>
        <w:t>4</w:t>
      </w:r>
      <w:r w:rsidR="007C4B61" w:rsidRPr="00D42149">
        <w:rPr>
          <w:rFonts w:ascii="Times New Roman" w:hAnsi="Times New Roman" w:cs="Times New Roman"/>
          <w:sz w:val="24"/>
          <w:szCs w:val="24"/>
        </w:rPr>
        <w:t xml:space="preserve">) after being washed in 0.1 M cacodylate buffer. The dehydration steps were performed using 50 to 100 % ethanol and embedded in </w:t>
      </w:r>
      <w:proofErr w:type="spellStart"/>
      <w:r w:rsidR="007C4B61" w:rsidRPr="00D42149">
        <w:rPr>
          <w:rFonts w:ascii="Times New Roman" w:hAnsi="Times New Roman" w:cs="Times New Roman"/>
          <w:sz w:val="24"/>
          <w:szCs w:val="24"/>
        </w:rPr>
        <w:t>Epon</w:t>
      </w:r>
      <w:proofErr w:type="spellEnd"/>
      <w:r w:rsidR="007C4B61" w:rsidRPr="00D42149">
        <w:rPr>
          <w:rFonts w:ascii="Times New Roman" w:hAnsi="Times New Roman" w:cs="Times New Roman"/>
          <w:sz w:val="24"/>
          <w:szCs w:val="24"/>
        </w:rPr>
        <w:t xml:space="preserve"> resin. Ultrathin sections were cut using an ultra-microtome and stained using uranyl acetate and lead citrate.</w:t>
      </w:r>
      <w:r w:rsidR="007C4B61" w:rsidRPr="00D42149">
        <w:rPr>
          <w:rFonts w:ascii="Times New Roman" w:eastAsia="굴림" w:hAnsi="Times New Roman" w:cs="Times New Roman" w:hint="eastAsia"/>
          <w:sz w:val="24"/>
          <w:szCs w:val="24"/>
        </w:rPr>
        <w:t xml:space="preserve"> After observ</w:t>
      </w:r>
      <w:r w:rsidR="007C4B61" w:rsidRPr="00D42149">
        <w:rPr>
          <w:rFonts w:ascii="Times New Roman" w:eastAsia="굴림" w:hAnsi="Times New Roman" w:cs="Times New Roman"/>
          <w:sz w:val="24"/>
          <w:szCs w:val="24"/>
        </w:rPr>
        <w:t>ation</w:t>
      </w:r>
      <w:r w:rsidR="007C4B61" w:rsidRPr="00D42149">
        <w:rPr>
          <w:rFonts w:ascii="Times New Roman" w:eastAsia="굴림" w:hAnsi="Times New Roman" w:cs="Times New Roman" w:hint="eastAsia"/>
          <w:sz w:val="24"/>
          <w:szCs w:val="24"/>
        </w:rPr>
        <w:t xml:space="preserve"> using a transmission electron microscope, all sample</w:t>
      </w:r>
      <w:r w:rsidR="007C4B61" w:rsidRPr="00D42149">
        <w:rPr>
          <w:rFonts w:ascii="Times New Roman" w:eastAsia="굴림" w:hAnsi="Times New Roman" w:cs="Times New Roman"/>
          <w:sz w:val="24"/>
          <w:szCs w:val="24"/>
        </w:rPr>
        <w:t>s</w:t>
      </w:r>
      <w:r w:rsidR="007C4B61" w:rsidRPr="00D42149">
        <w:rPr>
          <w:rFonts w:ascii="Times New Roman" w:eastAsia="굴림" w:hAnsi="Times New Roman" w:cs="Times New Roman" w:hint="eastAsia"/>
          <w:sz w:val="24"/>
          <w:szCs w:val="24"/>
        </w:rPr>
        <w:t xml:space="preserve"> were measured by </w:t>
      </w:r>
      <w:r w:rsidR="007C4B61" w:rsidRPr="00D42149">
        <w:rPr>
          <w:rFonts w:ascii="Times New Roman" w:eastAsia="굴림" w:hAnsi="Times New Roman" w:cs="Times New Roman"/>
          <w:sz w:val="24"/>
          <w:szCs w:val="24"/>
        </w:rPr>
        <w:t>the calculate</w:t>
      </w:r>
      <w:r w:rsidR="007C4B61" w:rsidRPr="00D42149">
        <w:rPr>
          <w:rFonts w:ascii="Times New Roman" w:eastAsia="굴림" w:hAnsi="Times New Roman" w:cs="Times New Roman" w:hint="eastAsia"/>
          <w:sz w:val="24"/>
          <w:szCs w:val="24"/>
        </w:rPr>
        <w:t xml:space="preserve"> module </w:t>
      </w:r>
      <w:r w:rsidR="007C4B61" w:rsidRPr="00D42149">
        <w:rPr>
          <w:rFonts w:ascii="Times New Roman" w:eastAsia="굴림" w:hAnsi="Times New Roman" w:cs="Times New Roman"/>
          <w:sz w:val="24"/>
          <w:szCs w:val="24"/>
        </w:rPr>
        <w:t xml:space="preserve">of </w:t>
      </w:r>
      <w:r w:rsidR="007C4B61">
        <w:rPr>
          <w:rFonts w:ascii="Times New Roman" w:eastAsia="굴림" w:hAnsi="Times New Roman" w:cs="Times New Roman"/>
          <w:sz w:val="24"/>
          <w:szCs w:val="24"/>
        </w:rPr>
        <w:t>imaging analysis</w:t>
      </w:r>
      <w:r w:rsidR="007C4B61" w:rsidRPr="00D42149">
        <w:rPr>
          <w:rFonts w:ascii="Times New Roman" w:eastAsia="굴림" w:hAnsi="Times New Roman" w:cs="Times New Roman"/>
          <w:sz w:val="24"/>
          <w:szCs w:val="24"/>
        </w:rPr>
        <w:t xml:space="preserve">. The diameter of the </w:t>
      </w:r>
      <w:proofErr w:type="gramStart"/>
      <w:r w:rsidR="007C4B61" w:rsidRPr="00D42149">
        <w:rPr>
          <w:rFonts w:ascii="Times New Roman" w:eastAsia="굴림" w:hAnsi="Times New Roman" w:cs="Times New Roman"/>
          <w:sz w:val="24"/>
          <w:szCs w:val="24"/>
        </w:rPr>
        <w:t>exosomes</w:t>
      </w:r>
      <w:proofErr w:type="gramEnd"/>
      <w:r w:rsidR="007C4B61" w:rsidRPr="00D42149">
        <w:rPr>
          <w:rFonts w:ascii="Times New Roman" w:eastAsia="굴림" w:hAnsi="Times New Roman" w:cs="Times New Roman"/>
          <w:sz w:val="24"/>
          <w:szCs w:val="24"/>
        </w:rPr>
        <w:t xml:space="preserve"> length was measured to represent the mean and to calculate the error.</w:t>
      </w:r>
    </w:p>
    <w:p w14:paraId="086664F2" w14:textId="70E7AF71" w:rsidR="007C4B61" w:rsidRPr="007C4B61" w:rsidRDefault="007C4B61" w:rsidP="00C13F33">
      <w:pPr>
        <w:spacing w:line="276" w:lineRule="auto"/>
        <w:rPr>
          <w:rFonts w:ascii="Times New Roman" w:hAnsi="Times New Roman" w:cs="Times New Roman"/>
          <w:b/>
          <w:sz w:val="24"/>
          <w:szCs w:val="24"/>
        </w:rPr>
      </w:pPr>
    </w:p>
    <w:p w14:paraId="4F321950" w14:textId="5002006E" w:rsidR="007C4B61" w:rsidRDefault="007C4B61" w:rsidP="00C13F33">
      <w:pPr>
        <w:spacing w:line="276" w:lineRule="auto"/>
        <w:rPr>
          <w:rFonts w:ascii="Times New Roman" w:hAnsi="Times New Roman" w:cs="Times New Roman"/>
          <w:b/>
          <w:sz w:val="24"/>
          <w:szCs w:val="24"/>
        </w:rPr>
      </w:pPr>
    </w:p>
    <w:p w14:paraId="77D76B27" w14:textId="1E36A64A" w:rsidR="007C4B61" w:rsidRDefault="007C4B61" w:rsidP="00C13F33">
      <w:pPr>
        <w:spacing w:line="276" w:lineRule="auto"/>
        <w:rPr>
          <w:rFonts w:ascii="Times New Roman" w:hAnsi="Times New Roman" w:cs="Times New Roman"/>
          <w:b/>
          <w:sz w:val="24"/>
          <w:szCs w:val="24"/>
        </w:rPr>
      </w:pPr>
    </w:p>
    <w:p w14:paraId="319626BF" w14:textId="68593A43" w:rsidR="007C4B61" w:rsidRDefault="007C4B61" w:rsidP="00C13F33">
      <w:pPr>
        <w:spacing w:line="276" w:lineRule="auto"/>
        <w:rPr>
          <w:rFonts w:ascii="Times New Roman" w:hAnsi="Times New Roman" w:cs="Times New Roman"/>
          <w:b/>
          <w:sz w:val="24"/>
          <w:szCs w:val="24"/>
        </w:rPr>
      </w:pPr>
    </w:p>
    <w:p w14:paraId="1CAB897A" w14:textId="77777777" w:rsidR="007C4B61" w:rsidRDefault="007C4B61" w:rsidP="00C13F33">
      <w:pPr>
        <w:spacing w:line="276" w:lineRule="auto"/>
        <w:rPr>
          <w:rFonts w:ascii="Times New Roman" w:hAnsi="Times New Roman" w:cs="Times New Roman"/>
          <w:b/>
          <w:sz w:val="24"/>
          <w:szCs w:val="24"/>
        </w:rPr>
        <w:sectPr w:rsidR="007C4B61">
          <w:pgSz w:w="11906" w:h="16838"/>
          <w:pgMar w:top="1701" w:right="1440" w:bottom="1440" w:left="1440" w:header="851" w:footer="992" w:gutter="0"/>
          <w:cols w:space="425"/>
          <w:docGrid w:linePitch="360"/>
        </w:sectPr>
      </w:pPr>
    </w:p>
    <w:p w14:paraId="421D041E" w14:textId="7BC5D2A0" w:rsidR="007C4B61" w:rsidRDefault="007C4B61" w:rsidP="00C13F33">
      <w:pPr>
        <w:spacing w:line="276" w:lineRule="auto"/>
        <w:rPr>
          <w:rFonts w:ascii="Times New Roman" w:hAnsi="Times New Roman" w:cs="Times New Roman"/>
          <w:b/>
          <w:sz w:val="24"/>
          <w:szCs w:val="24"/>
        </w:rPr>
      </w:pPr>
    </w:p>
    <w:p w14:paraId="6F2E4500" w14:textId="5D19FB06" w:rsidR="007C4B61" w:rsidRDefault="007C4B61" w:rsidP="00C13F33">
      <w:pPr>
        <w:spacing w:line="276" w:lineRule="auto"/>
        <w:rPr>
          <w:rFonts w:ascii="Times New Roman" w:hAnsi="Times New Roman" w:cs="Times New Roman"/>
          <w:b/>
          <w:sz w:val="24"/>
          <w:szCs w:val="24"/>
        </w:rPr>
      </w:pPr>
    </w:p>
    <w:p w14:paraId="48BFEFEB" w14:textId="0663E2F1" w:rsidR="007C4B61" w:rsidRDefault="007C4B61" w:rsidP="00C13F33">
      <w:pPr>
        <w:spacing w:line="276" w:lineRule="auto"/>
        <w:rPr>
          <w:rFonts w:ascii="Times New Roman" w:hAnsi="Times New Roman" w:cs="Times New Roman"/>
          <w:b/>
          <w:sz w:val="24"/>
          <w:szCs w:val="24"/>
        </w:rPr>
      </w:pPr>
    </w:p>
    <w:p w14:paraId="4105DF7D" w14:textId="195B9122" w:rsidR="007C4B61" w:rsidRDefault="007C4B61" w:rsidP="00C13F33">
      <w:pPr>
        <w:spacing w:line="276" w:lineRule="auto"/>
        <w:rPr>
          <w:rFonts w:ascii="Times New Roman" w:hAnsi="Times New Roman" w:cs="Times New Roman"/>
          <w:b/>
          <w:sz w:val="24"/>
          <w:szCs w:val="24"/>
        </w:rPr>
      </w:pPr>
    </w:p>
    <w:p w14:paraId="68DB8D35" w14:textId="77E06956" w:rsidR="007C4B61" w:rsidRDefault="007C4B61" w:rsidP="00C13F33">
      <w:pPr>
        <w:spacing w:line="276" w:lineRule="auto"/>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379E3F1D" wp14:editId="3355A67A">
            <wp:extent cx="5283200" cy="4044950"/>
            <wp:effectExtent l="0" t="0" r="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3200" cy="4044950"/>
                    </a:xfrm>
                    <a:prstGeom prst="rect">
                      <a:avLst/>
                    </a:prstGeom>
                    <a:noFill/>
                    <a:ln>
                      <a:noFill/>
                    </a:ln>
                  </pic:spPr>
                </pic:pic>
              </a:graphicData>
            </a:graphic>
          </wp:inline>
        </w:drawing>
      </w:r>
    </w:p>
    <w:p w14:paraId="5F109D11" w14:textId="78FA8102" w:rsidR="007C4B61" w:rsidRPr="00D42149" w:rsidRDefault="00FA4EF7" w:rsidP="00C13F33">
      <w:pPr>
        <w:spacing w:line="276" w:lineRule="auto"/>
        <w:rPr>
          <w:rFonts w:ascii="Times New Roman" w:hAnsi="Times New Roman" w:cs="Times New Roman"/>
          <w:bCs/>
          <w:sz w:val="24"/>
          <w:szCs w:val="24"/>
        </w:rPr>
      </w:pPr>
      <w:r>
        <w:rPr>
          <w:rFonts w:ascii="Times New Roman" w:hAnsi="Times New Roman" w:cs="Times New Roman" w:hint="eastAsia"/>
          <w:b/>
          <w:sz w:val="24"/>
          <w:szCs w:val="24"/>
        </w:rPr>
        <w:t>Figure</w:t>
      </w:r>
      <w:r w:rsidR="007C4B61">
        <w:rPr>
          <w:rFonts w:ascii="Times New Roman" w:hAnsi="Times New Roman" w:cs="Times New Roman"/>
          <w:b/>
          <w:sz w:val="24"/>
          <w:szCs w:val="24"/>
        </w:rPr>
        <w:t xml:space="preserve"> S5 </w:t>
      </w:r>
      <w:proofErr w:type="gramStart"/>
      <w:r w:rsidR="007C4B61" w:rsidRPr="00EA437F">
        <w:rPr>
          <w:rFonts w:ascii="Times New Roman" w:hAnsi="Times New Roman" w:cs="Times New Roman"/>
          <w:bCs/>
          <w:sz w:val="24"/>
          <w:szCs w:val="24"/>
        </w:rPr>
        <w:t>The</w:t>
      </w:r>
      <w:proofErr w:type="gramEnd"/>
      <w:r w:rsidR="007C4B61" w:rsidRPr="00EA437F">
        <w:rPr>
          <w:rFonts w:ascii="Times New Roman" w:hAnsi="Times New Roman" w:cs="Times New Roman"/>
          <w:bCs/>
          <w:sz w:val="24"/>
          <w:szCs w:val="24"/>
        </w:rPr>
        <w:t xml:space="preserve"> various images of internalization of nanoparticles on the MSC surface.</w:t>
      </w:r>
      <w:r w:rsidR="007C4B61" w:rsidRPr="00D42149">
        <w:rPr>
          <w:rFonts w:ascii="Times New Roman" w:hAnsi="Times New Roman" w:cs="Times New Roman"/>
          <w:b/>
          <w:bCs/>
          <w:sz w:val="24"/>
          <w:szCs w:val="24"/>
        </w:rPr>
        <w:t xml:space="preserve"> </w:t>
      </w:r>
      <w:r w:rsidR="00C13F33" w:rsidRPr="00C13F33">
        <w:rPr>
          <w:rFonts w:ascii="Times New Roman" w:hAnsi="Times New Roman" w:cs="Times New Roman"/>
          <w:sz w:val="24"/>
          <w:szCs w:val="24"/>
        </w:rPr>
        <w:t>PLGA-</w:t>
      </w:r>
      <w:r w:rsidR="007C4B61" w:rsidRPr="00C13F33">
        <w:rPr>
          <w:rFonts w:ascii="Times New Roman" w:hAnsi="Times New Roman" w:cs="Times New Roman"/>
          <w:sz w:val="24"/>
          <w:szCs w:val="24"/>
        </w:rPr>
        <w:t xml:space="preserve">PEI and </w:t>
      </w:r>
      <w:proofErr w:type="spellStart"/>
      <w:r w:rsidR="007C4B61" w:rsidRPr="00C13F33">
        <w:rPr>
          <w:rFonts w:ascii="Times New Roman" w:hAnsi="Times New Roman" w:cs="Times New Roman"/>
          <w:sz w:val="24"/>
          <w:szCs w:val="24"/>
        </w:rPr>
        <w:t>FluidMAG</w:t>
      </w:r>
      <w:proofErr w:type="spellEnd"/>
      <w:r w:rsidR="007C4B61" w:rsidRPr="00C13F33">
        <w:rPr>
          <w:rFonts w:ascii="Times New Roman" w:hAnsi="Times New Roman" w:cs="Times New Roman"/>
          <w:sz w:val="24"/>
          <w:szCs w:val="24"/>
        </w:rPr>
        <w:t xml:space="preserve">-Chitosan were used as positively charged </w:t>
      </w:r>
      <w:r w:rsidR="00C13F33">
        <w:rPr>
          <w:rFonts w:ascii="Times New Roman" w:hAnsi="Times New Roman" w:cs="Times New Roman"/>
          <w:sz w:val="24"/>
          <w:szCs w:val="24"/>
        </w:rPr>
        <w:t>PCS NPs</w:t>
      </w:r>
      <w:r w:rsidR="007C4B61" w:rsidRPr="00C13F33">
        <w:rPr>
          <w:rFonts w:ascii="Times New Roman" w:hAnsi="Times New Roman" w:cs="Times New Roman"/>
          <w:sz w:val="24"/>
          <w:szCs w:val="24"/>
        </w:rPr>
        <w:t>. PLGA and</w:t>
      </w:r>
      <w:r w:rsidR="007C4B61" w:rsidRPr="00D42149">
        <w:rPr>
          <w:rFonts w:ascii="Times New Roman" w:hAnsi="Times New Roman" w:cs="Times New Roman"/>
          <w:bCs/>
          <w:sz w:val="24"/>
          <w:szCs w:val="24"/>
        </w:rPr>
        <w:t xml:space="preserve"> </w:t>
      </w:r>
      <w:proofErr w:type="spellStart"/>
      <w:r w:rsidR="007C4B61" w:rsidRPr="00D42149">
        <w:rPr>
          <w:rFonts w:ascii="Times New Roman" w:hAnsi="Times New Roman" w:cs="Times New Roman"/>
          <w:bCs/>
          <w:sz w:val="24"/>
          <w:szCs w:val="24"/>
        </w:rPr>
        <w:t>FuildMAG</w:t>
      </w:r>
      <w:proofErr w:type="spellEnd"/>
      <w:r w:rsidR="007C4B61" w:rsidRPr="00D42149">
        <w:rPr>
          <w:rFonts w:ascii="Times New Roman" w:hAnsi="Times New Roman" w:cs="Times New Roman"/>
          <w:bCs/>
          <w:sz w:val="24"/>
          <w:szCs w:val="24"/>
        </w:rPr>
        <w:t xml:space="preserve">-CMX were used negatively charged </w:t>
      </w:r>
      <w:r w:rsidR="00C13F33">
        <w:rPr>
          <w:rFonts w:ascii="Times New Roman" w:hAnsi="Times New Roman" w:cs="Times New Roman"/>
          <w:bCs/>
          <w:sz w:val="24"/>
          <w:szCs w:val="24"/>
        </w:rPr>
        <w:t>PCS NPs</w:t>
      </w:r>
      <w:r w:rsidR="007C4B61" w:rsidRPr="00D42149">
        <w:rPr>
          <w:rFonts w:ascii="Times New Roman" w:hAnsi="Times New Roman" w:cs="Times New Roman"/>
          <w:bCs/>
          <w:sz w:val="24"/>
          <w:szCs w:val="24"/>
        </w:rPr>
        <w:t>. The MSCs were treated with non-toxic concentrations of nanoparticles.</w:t>
      </w:r>
    </w:p>
    <w:p w14:paraId="77361255" w14:textId="1B667BD5" w:rsidR="007C4B61" w:rsidRPr="007C4B61" w:rsidRDefault="007C4B61" w:rsidP="00C13F33">
      <w:pPr>
        <w:spacing w:line="276" w:lineRule="auto"/>
        <w:rPr>
          <w:rFonts w:ascii="Times New Roman" w:hAnsi="Times New Roman" w:cs="Times New Roman"/>
          <w:b/>
          <w:sz w:val="24"/>
          <w:szCs w:val="24"/>
        </w:rPr>
      </w:pPr>
    </w:p>
    <w:p w14:paraId="27577197" w14:textId="77777777" w:rsidR="007C4B61" w:rsidRDefault="007C4B61" w:rsidP="00C13F33">
      <w:pPr>
        <w:spacing w:line="276" w:lineRule="auto"/>
        <w:rPr>
          <w:rFonts w:ascii="Times New Roman" w:hAnsi="Times New Roman" w:cs="Times New Roman"/>
          <w:b/>
          <w:sz w:val="24"/>
          <w:szCs w:val="24"/>
        </w:rPr>
      </w:pPr>
    </w:p>
    <w:p w14:paraId="26F25FAC" w14:textId="3B4D0C3F" w:rsidR="007C4B61" w:rsidRDefault="007C4B61" w:rsidP="00C13F33">
      <w:pPr>
        <w:spacing w:line="276" w:lineRule="auto"/>
        <w:rPr>
          <w:rFonts w:ascii="Times New Roman" w:hAnsi="Times New Roman" w:cs="Times New Roman"/>
          <w:b/>
          <w:sz w:val="24"/>
          <w:szCs w:val="24"/>
        </w:rPr>
      </w:pPr>
    </w:p>
    <w:p w14:paraId="15DBA0A9" w14:textId="25AF29B8" w:rsidR="007C4B61" w:rsidRDefault="007C4B61" w:rsidP="00C13F33">
      <w:pPr>
        <w:spacing w:line="276" w:lineRule="auto"/>
        <w:rPr>
          <w:rFonts w:ascii="Times New Roman" w:hAnsi="Times New Roman" w:cs="Times New Roman"/>
          <w:b/>
          <w:sz w:val="24"/>
          <w:szCs w:val="24"/>
        </w:rPr>
      </w:pPr>
    </w:p>
    <w:p w14:paraId="4BE045C5" w14:textId="75E16CCE" w:rsidR="007C4B61" w:rsidRDefault="007C4B61" w:rsidP="00C13F33">
      <w:pPr>
        <w:spacing w:line="276" w:lineRule="auto"/>
        <w:rPr>
          <w:rFonts w:ascii="Times New Roman" w:hAnsi="Times New Roman" w:cs="Times New Roman"/>
          <w:b/>
          <w:sz w:val="24"/>
          <w:szCs w:val="24"/>
        </w:rPr>
      </w:pPr>
    </w:p>
    <w:p w14:paraId="64181DA9" w14:textId="0C36BBEE" w:rsidR="007C4B61" w:rsidRDefault="007C4B61" w:rsidP="00C13F33">
      <w:pPr>
        <w:spacing w:line="276" w:lineRule="auto"/>
        <w:rPr>
          <w:rFonts w:ascii="Times New Roman" w:hAnsi="Times New Roman" w:cs="Times New Roman"/>
          <w:b/>
          <w:sz w:val="24"/>
          <w:szCs w:val="24"/>
        </w:rPr>
      </w:pPr>
    </w:p>
    <w:p w14:paraId="2AD463A4" w14:textId="30FF5DAD" w:rsidR="007C4B61" w:rsidRDefault="007C4B61" w:rsidP="00C13F33">
      <w:pPr>
        <w:spacing w:line="276" w:lineRule="auto"/>
        <w:rPr>
          <w:rFonts w:ascii="Times New Roman" w:hAnsi="Times New Roman" w:cs="Times New Roman"/>
          <w:b/>
          <w:sz w:val="24"/>
          <w:szCs w:val="24"/>
        </w:rPr>
      </w:pPr>
    </w:p>
    <w:p w14:paraId="049BB872" w14:textId="77777777" w:rsidR="007C4B61" w:rsidRDefault="007C4B61" w:rsidP="00C13F33">
      <w:pPr>
        <w:spacing w:line="276" w:lineRule="auto"/>
        <w:rPr>
          <w:rFonts w:ascii="Times New Roman" w:hAnsi="Times New Roman" w:cs="Times New Roman"/>
          <w:b/>
          <w:sz w:val="24"/>
          <w:szCs w:val="24"/>
        </w:rPr>
        <w:sectPr w:rsidR="007C4B61">
          <w:pgSz w:w="11906" w:h="16838"/>
          <w:pgMar w:top="1701" w:right="1440" w:bottom="1440" w:left="1440" w:header="851" w:footer="992" w:gutter="0"/>
          <w:cols w:space="425"/>
          <w:docGrid w:linePitch="360"/>
        </w:sectPr>
      </w:pPr>
    </w:p>
    <w:p w14:paraId="2BEBBC74" w14:textId="69D9A35A" w:rsidR="007C4B61" w:rsidRDefault="007C4B61" w:rsidP="00C13F33">
      <w:pPr>
        <w:spacing w:line="276" w:lineRule="auto"/>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4A8DEB35" wp14:editId="41AB75F9">
            <wp:extent cx="5727700" cy="3409950"/>
            <wp:effectExtent l="0" t="0" r="6350"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27700" cy="3409950"/>
                    </a:xfrm>
                    <a:prstGeom prst="rect">
                      <a:avLst/>
                    </a:prstGeom>
                    <a:noFill/>
                    <a:ln>
                      <a:noFill/>
                    </a:ln>
                  </pic:spPr>
                </pic:pic>
              </a:graphicData>
            </a:graphic>
          </wp:inline>
        </w:drawing>
      </w:r>
    </w:p>
    <w:p w14:paraId="56FC8E3E" w14:textId="12AFBE70" w:rsidR="00C13F33" w:rsidRDefault="00FA4EF7" w:rsidP="00C13F33">
      <w:pPr>
        <w:spacing w:line="276" w:lineRule="auto"/>
        <w:rPr>
          <w:rFonts w:ascii="Times New Roman" w:hAnsi="Times New Roman" w:cs="Times New Roman"/>
          <w:bCs/>
          <w:sz w:val="24"/>
          <w:szCs w:val="24"/>
        </w:rPr>
      </w:pPr>
      <w:r>
        <w:rPr>
          <w:rFonts w:ascii="Times New Roman" w:hAnsi="Times New Roman" w:cs="Times New Roman" w:hint="eastAsia"/>
          <w:b/>
          <w:sz w:val="24"/>
          <w:szCs w:val="24"/>
        </w:rPr>
        <w:t>Figure</w:t>
      </w:r>
      <w:r w:rsidR="007C4B61">
        <w:rPr>
          <w:rFonts w:ascii="Times New Roman" w:hAnsi="Times New Roman" w:cs="Times New Roman"/>
          <w:b/>
          <w:sz w:val="24"/>
          <w:szCs w:val="24"/>
        </w:rPr>
        <w:t xml:space="preserve"> S6</w:t>
      </w:r>
      <w:r w:rsidR="00C13F33">
        <w:rPr>
          <w:rFonts w:ascii="Times New Roman" w:hAnsi="Times New Roman" w:cs="Times New Roman"/>
          <w:b/>
          <w:sz w:val="24"/>
          <w:szCs w:val="24"/>
        </w:rPr>
        <w:t xml:space="preserve"> </w:t>
      </w:r>
      <w:r w:rsidR="00C13F33" w:rsidRPr="00CE02DA">
        <w:rPr>
          <w:rFonts w:ascii="Times New Roman" w:hAnsi="Times New Roman" w:cs="Times New Roman"/>
          <w:bCs/>
          <w:sz w:val="24"/>
          <w:szCs w:val="24"/>
        </w:rPr>
        <w:t>List of analyzed miRNA of MSC-derived exosomes after treatment with 5 and 20 µg of PCS nanoparticles.</w:t>
      </w:r>
      <w:r w:rsidR="00C13F33" w:rsidRPr="00D42149">
        <w:rPr>
          <w:rFonts w:ascii="Times New Roman" w:hAnsi="Times New Roman" w:cs="Times New Roman"/>
          <w:b/>
          <w:bCs/>
          <w:sz w:val="24"/>
          <w:szCs w:val="24"/>
        </w:rPr>
        <w:t xml:space="preserve"> </w:t>
      </w:r>
      <w:r w:rsidR="00C13F33" w:rsidRPr="00D42149">
        <w:rPr>
          <w:rFonts w:ascii="Times New Roman" w:hAnsi="Times New Roman" w:cs="Times New Roman"/>
          <w:bCs/>
          <w:sz w:val="24"/>
          <w:szCs w:val="24"/>
        </w:rPr>
        <w:t xml:space="preserve">A total of 29 miRNA were analyzed and normalized by comparing control, 5, and 20 µg samples. In addition, we compared control-5 µg, control-20 µg, and 5 µg-20 µg. Fold change increases of more than 1.5 times are shown in red, and decreases of more than 1.5 times are in blue. The shaded area in yellow represents the analyzed miRNA. </w:t>
      </w:r>
      <w:r w:rsidR="00C13F33" w:rsidRPr="00D42149">
        <w:rPr>
          <w:rFonts w:ascii="Times New Roman" w:hAnsi="Times New Roman" w:cs="Times New Roman"/>
          <w:bCs/>
          <w:sz w:val="24"/>
          <w:szCs w:val="24"/>
        </w:rPr>
        <w:br/>
        <w:t xml:space="preserve">   </w:t>
      </w:r>
    </w:p>
    <w:p w14:paraId="4F24B846" w14:textId="3C096D79" w:rsidR="00C13F33" w:rsidRPr="00D42149" w:rsidRDefault="00C13F33" w:rsidP="00C13F33">
      <w:pPr>
        <w:spacing w:line="276" w:lineRule="auto"/>
        <w:rPr>
          <w:rFonts w:ascii="Times New Roman" w:hAnsi="Times New Roman" w:cs="Times New Roman"/>
          <w:sz w:val="24"/>
          <w:szCs w:val="24"/>
        </w:rPr>
      </w:pPr>
      <w:r w:rsidRPr="00D42149">
        <w:rPr>
          <w:rFonts w:ascii="Times New Roman" w:hAnsi="Times New Roman" w:cs="Times New Roman"/>
          <w:b/>
          <w:sz w:val="24"/>
          <w:szCs w:val="24"/>
        </w:rPr>
        <w:t>miRNA analysis.</w:t>
      </w:r>
      <w:r w:rsidRPr="00D42149">
        <w:rPr>
          <w:rFonts w:ascii="Times New Roman" w:hAnsi="Times New Roman" w:cs="Times New Roman"/>
          <w:sz w:val="24"/>
          <w:szCs w:val="24"/>
        </w:rPr>
        <w:t xml:space="preserve"> As a result of analyzing the four miRNAs commonly increased in cells exposed to NPs, 178 mRNAs were predicted in mmu-miR-2137. We selected targets with a matching score over 90% in the predicted target database that were involved in antioxidant efficacy and anti-apoptosis, according to previous reports</w:t>
      </w:r>
      <w:r w:rsidR="00DF6B22">
        <w:rPr>
          <w:rFonts w:ascii="Times New Roman" w:hAnsi="Times New Roman" w:cs="Times New Roman"/>
          <w:sz w:val="24"/>
          <w:szCs w:val="24"/>
        </w:rPr>
        <w:t xml:space="preserve"> [7].</w:t>
      </w:r>
      <w:r w:rsidRPr="00D42149">
        <w:rPr>
          <w:rFonts w:ascii="Times New Roman" w:hAnsi="Times New Roman" w:cs="Times New Roman"/>
          <w:sz w:val="24"/>
          <w:szCs w:val="24"/>
        </w:rPr>
        <w:t xml:space="preserve"> They included glutathione peroxidase 4 (Gpx4), Golgi SNAP receptor complex member 1 (Gosr1), Ras-related protein Rab-4A (Rab4A), paired related homeobox 1 (Prrx1), and peroxisomal biogenesis factor 26 (Pex26). In more detail, Gpx4 is known to play a key role in protecting cells from oxidative damage by preventing membrane lipid peroxidation</w:t>
      </w:r>
      <w:r w:rsidR="00DF6B22">
        <w:rPr>
          <w:rFonts w:ascii="Times New Roman" w:hAnsi="Times New Roman" w:cs="Times New Roman"/>
          <w:sz w:val="24"/>
          <w:szCs w:val="24"/>
        </w:rPr>
        <w:t xml:space="preserve"> [8]</w:t>
      </w:r>
      <w:r w:rsidR="00972302">
        <w:rPr>
          <w:rFonts w:ascii="Times New Roman" w:hAnsi="Times New Roman" w:cs="Times New Roman"/>
          <w:sz w:val="24"/>
          <w:szCs w:val="24"/>
        </w:rPr>
        <w:t>.</w:t>
      </w:r>
      <w:r w:rsidRPr="00D42149">
        <w:rPr>
          <w:rFonts w:ascii="Times New Roman" w:hAnsi="Times New Roman" w:cs="Times New Roman"/>
          <w:sz w:val="24"/>
          <w:szCs w:val="24"/>
        </w:rPr>
        <w:t xml:space="preserve"> Gosr1 is known to regulate intracellular ROS levels via inhibition of p38 MAPK (MAPK11, MAPK12, MAPK13, and MAPK14)</w:t>
      </w:r>
      <w:r w:rsidR="00DF6B22">
        <w:rPr>
          <w:rFonts w:ascii="Times New Roman" w:hAnsi="Times New Roman" w:cs="Times New Roman"/>
          <w:sz w:val="24"/>
          <w:szCs w:val="24"/>
        </w:rPr>
        <w:t xml:space="preserve"> [9]</w:t>
      </w:r>
      <w:r w:rsidR="00972302">
        <w:rPr>
          <w:rFonts w:ascii="Times New Roman" w:hAnsi="Times New Roman" w:cs="Times New Roman"/>
          <w:sz w:val="24"/>
          <w:szCs w:val="24"/>
        </w:rPr>
        <w:t>.</w:t>
      </w:r>
      <w:r w:rsidRPr="00D42149">
        <w:rPr>
          <w:rFonts w:ascii="Times New Roman" w:hAnsi="Times New Roman" w:cs="Times New Roman"/>
          <w:sz w:val="24"/>
          <w:szCs w:val="24"/>
        </w:rPr>
        <w:t xml:space="preserve"> RAB4A is related to protein transport processes; it plays a role in vesicular traffic and mediates VEGFR2 endosomal trafficking to enhance VEGFR2 signaling</w:t>
      </w:r>
      <w:r w:rsidR="00DF6B22">
        <w:rPr>
          <w:rFonts w:ascii="Times New Roman" w:hAnsi="Times New Roman" w:cs="Times New Roman"/>
          <w:sz w:val="24"/>
          <w:szCs w:val="24"/>
        </w:rPr>
        <w:t xml:space="preserve"> [10]</w:t>
      </w:r>
      <w:r w:rsidR="00972302">
        <w:rPr>
          <w:rFonts w:ascii="Times New Roman" w:hAnsi="Times New Roman" w:cs="Times New Roman"/>
          <w:sz w:val="24"/>
          <w:szCs w:val="24"/>
        </w:rPr>
        <w:t>.</w:t>
      </w:r>
      <w:r w:rsidRPr="00D42149">
        <w:rPr>
          <w:rFonts w:ascii="Times New Roman" w:hAnsi="Times New Roman" w:cs="Times New Roman"/>
          <w:sz w:val="24"/>
          <w:szCs w:val="24"/>
        </w:rPr>
        <w:t xml:space="preserve"> The other two mRNAs were not reported to be </w:t>
      </w:r>
      <w:proofErr w:type="spellStart"/>
      <w:r w:rsidRPr="00D42149">
        <w:rPr>
          <w:rFonts w:ascii="Times New Roman" w:hAnsi="Times New Roman" w:cs="Times New Roman"/>
          <w:sz w:val="24"/>
          <w:szCs w:val="24"/>
        </w:rPr>
        <w:t>exosomal</w:t>
      </w:r>
      <w:proofErr w:type="spellEnd"/>
      <w:r w:rsidRPr="00D42149">
        <w:rPr>
          <w:rFonts w:ascii="Times New Roman" w:hAnsi="Times New Roman" w:cs="Times New Roman"/>
          <w:sz w:val="24"/>
          <w:szCs w:val="24"/>
        </w:rPr>
        <w:t xml:space="preserve"> target mRNAs; however, they could be inferred to be target RNAs. Prrx1 is known to enhance DNA-binding activity and the induction of genes by growth and differentiation factors</w:t>
      </w:r>
      <w:r w:rsidR="00DF6B22">
        <w:rPr>
          <w:rFonts w:ascii="Times New Roman" w:hAnsi="Times New Roman" w:cs="Times New Roman"/>
          <w:sz w:val="24"/>
          <w:szCs w:val="24"/>
        </w:rPr>
        <w:t xml:space="preserve"> [11]</w:t>
      </w:r>
      <w:r w:rsidR="00972302">
        <w:rPr>
          <w:rFonts w:ascii="Times New Roman" w:hAnsi="Times New Roman" w:cs="Times New Roman"/>
          <w:sz w:val="24"/>
          <w:szCs w:val="24"/>
        </w:rPr>
        <w:t>.</w:t>
      </w:r>
      <w:r w:rsidRPr="00D42149">
        <w:rPr>
          <w:rFonts w:ascii="Times New Roman" w:hAnsi="Times New Roman" w:cs="Times New Roman"/>
          <w:sz w:val="24"/>
          <w:szCs w:val="24"/>
        </w:rPr>
        <w:t xml:space="preserve"> Pex26 is related to peroxisome biogenesis factor 1 (also known as PEX1)</w:t>
      </w:r>
      <w:r w:rsidR="00DF6B22">
        <w:rPr>
          <w:rFonts w:ascii="Times New Roman" w:hAnsi="Times New Roman" w:cs="Times New Roman"/>
          <w:sz w:val="24"/>
          <w:szCs w:val="24"/>
        </w:rPr>
        <w:t xml:space="preserve"> [12]</w:t>
      </w:r>
      <w:r w:rsidR="00972302">
        <w:rPr>
          <w:rFonts w:ascii="Times New Roman" w:hAnsi="Times New Roman" w:cs="Times New Roman"/>
          <w:sz w:val="24"/>
          <w:szCs w:val="24"/>
        </w:rPr>
        <w:t>.</w:t>
      </w:r>
      <w:r w:rsidRPr="00D42149">
        <w:rPr>
          <w:rFonts w:ascii="Times New Roman" w:hAnsi="Times New Roman" w:cs="Times New Roman"/>
          <w:sz w:val="24"/>
          <w:szCs w:val="24"/>
        </w:rPr>
        <w:t xml:space="preserve"> The five predicted target mRNAs were involved in antioxidants or the conjugation of vacuoles. </w:t>
      </w:r>
    </w:p>
    <w:p w14:paraId="4EBE4572" w14:textId="7B5BB795" w:rsidR="00C13F33" w:rsidRPr="00D42149" w:rsidRDefault="00C13F33" w:rsidP="00C13F33">
      <w:pPr>
        <w:spacing w:line="276" w:lineRule="auto"/>
        <w:ind w:firstLineChars="200" w:firstLine="480"/>
        <w:rPr>
          <w:rFonts w:ascii="Times New Roman" w:hAnsi="Times New Roman" w:cs="Times New Roman"/>
          <w:sz w:val="24"/>
          <w:szCs w:val="24"/>
        </w:rPr>
      </w:pPr>
      <w:r w:rsidRPr="00D42149">
        <w:rPr>
          <w:rFonts w:ascii="Times New Roman" w:hAnsi="Times New Roman" w:cs="Times New Roman"/>
          <w:sz w:val="24"/>
          <w:szCs w:val="24"/>
        </w:rPr>
        <w:t xml:space="preserve">Next, mmu-miR-3473b was analyzed, and it included 613 predicted target mRNAs, including Ring finger and SPRY domain containing 1 (Rspry1), Eph receptor B2 (Ephb2), </w:t>
      </w:r>
      <w:proofErr w:type="spellStart"/>
      <w:r w:rsidRPr="00D42149">
        <w:rPr>
          <w:rFonts w:ascii="Times New Roman" w:hAnsi="Times New Roman" w:cs="Times New Roman"/>
          <w:sz w:val="24"/>
          <w:szCs w:val="24"/>
        </w:rPr>
        <w:lastRenderedPageBreak/>
        <w:t>complexin</w:t>
      </w:r>
      <w:proofErr w:type="spellEnd"/>
      <w:r w:rsidRPr="00D42149">
        <w:rPr>
          <w:rFonts w:ascii="Times New Roman" w:hAnsi="Times New Roman" w:cs="Times New Roman"/>
          <w:sz w:val="24"/>
          <w:szCs w:val="24"/>
        </w:rPr>
        <w:t xml:space="preserve"> 2 (Cplx2), interleukin 7 (IL-7), and RAB11 family interacting protein 1 (class I) (Rab11fip1). These mRNAs were primarily involved in stimulating the differentiation of multipotent hematopoietic stem cells or encoded binding receptors and were associated with exosome release. Cplx2 refers to a one of a small set of eukaryotic cytoplasmic neuronal proteins that binds to the SNARE protein complex (SNARE pin) with a high affinity. It acts as both an inhibitor and a facilitator of synaptic vesicle fusion and neurotransmitter release</w:t>
      </w:r>
      <w:r w:rsidR="00DF6B22">
        <w:rPr>
          <w:rFonts w:ascii="Times New Roman" w:hAnsi="Times New Roman" w:cs="Times New Roman"/>
          <w:sz w:val="24"/>
          <w:szCs w:val="24"/>
        </w:rPr>
        <w:t xml:space="preserve"> [13]</w:t>
      </w:r>
      <w:r w:rsidR="00972302">
        <w:rPr>
          <w:rFonts w:ascii="Times New Roman" w:hAnsi="Times New Roman" w:cs="Times New Roman"/>
          <w:sz w:val="24"/>
          <w:szCs w:val="24"/>
        </w:rPr>
        <w:t>.</w:t>
      </w:r>
      <w:r w:rsidRPr="00D42149">
        <w:rPr>
          <w:rFonts w:ascii="Times New Roman" w:hAnsi="Times New Roman" w:cs="Times New Roman"/>
          <w:sz w:val="24"/>
          <w:szCs w:val="24"/>
        </w:rPr>
        <w:t xml:space="preserve"> IL-7 stimulates the differentiation of multipotent (pluripotent) hematopoietic stem cells into lymphoid progenitor cells</w:t>
      </w:r>
      <w:r w:rsidR="00DF6B22">
        <w:rPr>
          <w:rFonts w:ascii="Times New Roman" w:hAnsi="Times New Roman" w:cs="Times New Roman"/>
          <w:sz w:val="24"/>
          <w:szCs w:val="24"/>
        </w:rPr>
        <w:t xml:space="preserve"> [14]</w:t>
      </w:r>
      <w:r w:rsidR="00972302">
        <w:rPr>
          <w:rFonts w:ascii="Times New Roman" w:hAnsi="Times New Roman" w:cs="Times New Roman"/>
          <w:sz w:val="24"/>
          <w:szCs w:val="24"/>
        </w:rPr>
        <w:t>.</w:t>
      </w:r>
      <w:r w:rsidRPr="00D42149">
        <w:rPr>
          <w:rFonts w:ascii="Times New Roman" w:hAnsi="Times New Roman" w:cs="Times New Roman"/>
          <w:sz w:val="24"/>
          <w:szCs w:val="24"/>
        </w:rPr>
        <w:t xml:space="preserve"> The function of Rab11fip1, which encodes the interaction of Rab11 and FIP, is unknown; however, it is involved in the formation of a targeting complex that recruits a group of proteins involved in membrane transport to organelles. Currently, several Rab11-FIP complex-binding proteins have been identified that regulate distinct membrane traffic pathways. Rab11 is also involved in controlling membrane trafficking with the endosomal recycling process along the phagocytic pathway and in phagocytosis</w:t>
      </w:r>
      <w:r w:rsidR="00DF6B22">
        <w:rPr>
          <w:rFonts w:ascii="Times New Roman" w:hAnsi="Times New Roman" w:cs="Times New Roman"/>
          <w:sz w:val="24"/>
          <w:szCs w:val="24"/>
        </w:rPr>
        <w:t xml:space="preserve"> [15, 16]</w:t>
      </w:r>
      <w:r w:rsidR="00972302">
        <w:rPr>
          <w:rFonts w:ascii="Times New Roman" w:hAnsi="Times New Roman" w:cs="Times New Roman"/>
          <w:sz w:val="24"/>
          <w:szCs w:val="24"/>
        </w:rPr>
        <w:t>.</w:t>
      </w:r>
    </w:p>
    <w:p w14:paraId="747B1574" w14:textId="17223B04" w:rsidR="00C13F33" w:rsidRPr="00D42149" w:rsidRDefault="00C13F33" w:rsidP="00C13F33">
      <w:pPr>
        <w:spacing w:line="276" w:lineRule="auto"/>
        <w:ind w:firstLineChars="200" w:firstLine="480"/>
        <w:rPr>
          <w:rFonts w:ascii="Times New Roman" w:hAnsi="Times New Roman" w:cs="Times New Roman"/>
          <w:sz w:val="24"/>
          <w:szCs w:val="24"/>
        </w:rPr>
      </w:pPr>
      <w:r w:rsidRPr="00D42149">
        <w:rPr>
          <w:rFonts w:ascii="Times New Roman" w:hAnsi="Times New Roman" w:cs="Times New Roman"/>
          <w:sz w:val="24"/>
          <w:szCs w:val="24"/>
        </w:rPr>
        <w:t>Mmu-miR-3473e was also analyzed and predicted 613 target mRNAs. Of these, we selected four predicted mRNAs, including ST6-N-acetylgalactosaminide alpha-2,6-sialyltransferase 6 (St6galnac6), adenylate cyclase 1 (Adcy1), serine/threonine-protein kinase WNK2 (Wnk2), and signal-induced proliferation-associated 1-like protein 3 (Sipa1l3). Most of these were involved in endosomal and intracellular binding. Importantly, a case was found involving mRNA-encoding proteins that affect cell differentiation. St6galnac6 is related to the modification of ceramides on the cell surface to alter cell-cell or cell-extracellular matrix interactions. Adcy1, Wnk2, and Sipa1l3 play important roles in the regulation of homeostasis, cell survival, and proliferation</w:t>
      </w:r>
      <w:r w:rsidR="00DF6B22">
        <w:rPr>
          <w:rFonts w:ascii="Times New Roman" w:hAnsi="Times New Roman" w:cs="Times New Roman"/>
          <w:sz w:val="24"/>
          <w:szCs w:val="24"/>
        </w:rPr>
        <w:t xml:space="preserve"> [17-19]</w:t>
      </w:r>
      <w:r w:rsidR="00972302">
        <w:rPr>
          <w:rFonts w:ascii="Times New Roman" w:hAnsi="Times New Roman" w:cs="Times New Roman"/>
          <w:sz w:val="24"/>
          <w:szCs w:val="24"/>
        </w:rPr>
        <w:t>,</w:t>
      </w:r>
      <w:r w:rsidRPr="00D42149">
        <w:rPr>
          <w:rFonts w:ascii="Times New Roman" w:hAnsi="Times New Roman" w:cs="Times New Roman"/>
          <w:sz w:val="24"/>
          <w:szCs w:val="24"/>
        </w:rPr>
        <w:t xml:space="preserve"> and these are involved in hearing loss and cell structure formation that may be caused by a defect in the gene. Therefore, these findings may be useful for the application of therapeutic efficacy.</w:t>
      </w:r>
    </w:p>
    <w:p w14:paraId="30F30AB0" w14:textId="5D15871F" w:rsidR="00C13F33" w:rsidRPr="00D42149" w:rsidRDefault="00C13F33" w:rsidP="00C13F33">
      <w:pPr>
        <w:spacing w:line="276" w:lineRule="auto"/>
        <w:ind w:firstLineChars="200" w:firstLine="480"/>
        <w:rPr>
          <w:rFonts w:ascii="Times New Roman" w:hAnsi="Times New Roman" w:cs="Times New Roman"/>
          <w:sz w:val="24"/>
          <w:szCs w:val="24"/>
        </w:rPr>
      </w:pPr>
      <w:r w:rsidRPr="00D42149">
        <w:rPr>
          <w:rFonts w:ascii="Times New Roman" w:hAnsi="Times New Roman" w:cs="Times New Roman"/>
          <w:sz w:val="24"/>
          <w:szCs w:val="24"/>
        </w:rPr>
        <w:t>Finally, mmu-miR-5126 identified four predicted target mRNAs out of 10 candidates, which included paired box 2 (Pax2), V-type proton ATPase subunit C 2 (Atp6v1c2), CD4 molecules (CD4), and autoimmune regulator (Aire).</w:t>
      </w:r>
      <w:r w:rsidRPr="00D42149">
        <w:t xml:space="preserve"> </w:t>
      </w:r>
      <w:r w:rsidRPr="00D42149">
        <w:rPr>
          <w:rFonts w:ascii="Times New Roman" w:hAnsi="Times New Roman" w:cs="Times New Roman"/>
          <w:sz w:val="24"/>
          <w:szCs w:val="24"/>
        </w:rPr>
        <w:t>These primarily have anti-immune roles and serve to encode proteins involved in membrane construction and physiological responses. One of them, AIRE, expressed by a distinct bone marrow-derived population, induces self-tolerance through a mechanism that does not require regulatory T-cells and is resistant to innate inflammatory stimuli</w:t>
      </w:r>
      <w:r w:rsidR="00DF6B22">
        <w:rPr>
          <w:rFonts w:ascii="Times New Roman" w:hAnsi="Times New Roman" w:cs="Times New Roman"/>
          <w:sz w:val="24"/>
          <w:szCs w:val="24"/>
        </w:rPr>
        <w:t>.[20].</w:t>
      </w:r>
      <w:r w:rsidR="00323E9C">
        <w:rPr>
          <w:rFonts w:ascii="Times New Roman" w:hAnsi="Times New Roman" w:cs="Times New Roman"/>
          <w:sz w:val="24"/>
          <w:szCs w:val="24"/>
        </w:rPr>
        <w:t xml:space="preserve"> </w:t>
      </w:r>
      <w:r w:rsidR="00355F77">
        <w:rPr>
          <w:rFonts w:ascii="Times New Roman" w:hAnsi="Times New Roman" w:cs="Times New Roman" w:hint="eastAsia"/>
          <w:sz w:val="24"/>
          <w:szCs w:val="24"/>
        </w:rPr>
        <w:t>H</w:t>
      </w:r>
      <w:r w:rsidRPr="00D42149">
        <w:rPr>
          <w:rFonts w:ascii="Times New Roman" w:hAnsi="Times New Roman" w:cs="Times New Roman"/>
          <w:sz w:val="24"/>
          <w:szCs w:val="24"/>
        </w:rPr>
        <w:t xml:space="preserve">owever, CD4 and Atp6v1c3 were reported in the </w:t>
      </w:r>
      <w:proofErr w:type="spellStart"/>
      <w:r w:rsidRPr="00D42149">
        <w:rPr>
          <w:rFonts w:ascii="Times New Roman" w:hAnsi="Times New Roman" w:cs="Times New Roman"/>
          <w:sz w:val="24"/>
          <w:szCs w:val="24"/>
        </w:rPr>
        <w:t>exosomal</w:t>
      </w:r>
      <w:proofErr w:type="spellEnd"/>
      <w:r w:rsidRPr="00D42149">
        <w:rPr>
          <w:rFonts w:ascii="Times New Roman" w:hAnsi="Times New Roman" w:cs="Times New Roman"/>
          <w:sz w:val="24"/>
          <w:szCs w:val="24"/>
        </w:rPr>
        <w:t xml:space="preserve"> miRNA database. </w:t>
      </w:r>
    </w:p>
    <w:p w14:paraId="76EDCC0A" w14:textId="05059951" w:rsidR="00C13F33" w:rsidRPr="00D42149" w:rsidRDefault="00C13F33" w:rsidP="00C13F33">
      <w:pPr>
        <w:spacing w:line="276" w:lineRule="auto"/>
        <w:ind w:firstLineChars="200" w:firstLine="480"/>
        <w:rPr>
          <w:rFonts w:ascii="Times New Roman" w:hAnsi="Times New Roman" w:cs="Times New Roman"/>
          <w:sz w:val="24"/>
          <w:szCs w:val="24"/>
        </w:rPr>
      </w:pPr>
      <w:r w:rsidRPr="00D42149">
        <w:rPr>
          <w:rFonts w:ascii="Times New Roman" w:hAnsi="Times New Roman" w:cs="Times New Roman"/>
          <w:sz w:val="24"/>
          <w:szCs w:val="24"/>
        </w:rPr>
        <w:t xml:space="preserve">A comparison of the 5 and 20 </w:t>
      </w:r>
      <w:proofErr w:type="spellStart"/>
      <w:r w:rsidRPr="00D42149">
        <w:rPr>
          <w:rFonts w:ascii="Times New Roman" w:hAnsi="Times New Roman" w:cs="Times New Roman"/>
          <w:sz w:val="24"/>
          <w:szCs w:val="24"/>
        </w:rPr>
        <w:t>μg</w:t>
      </w:r>
      <w:proofErr w:type="spellEnd"/>
      <w:r w:rsidRPr="00D42149">
        <w:rPr>
          <w:rFonts w:ascii="Times New Roman" w:hAnsi="Times New Roman" w:cs="Times New Roman"/>
          <w:sz w:val="24"/>
          <w:szCs w:val="24"/>
        </w:rPr>
        <w:t>/mL groups showed two miRNAs to be increased (mmu-miR-877-5p and mmu-miR-455-3p), and three miRNAs to be decreased (mmu-miR-7025-5p, mmu-miR-3473e, and 677-3p) (</w:t>
      </w:r>
      <w:r w:rsidR="00FA4EF7">
        <w:rPr>
          <w:rFonts w:ascii="Times New Roman" w:hAnsi="Times New Roman" w:cs="Times New Roman"/>
          <w:sz w:val="24"/>
          <w:szCs w:val="24"/>
        </w:rPr>
        <w:t>Figure</w:t>
      </w:r>
      <w:r w:rsidRPr="00D42149">
        <w:rPr>
          <w:rFonts w:ascii="Times New Roman" w:hAnsi="Times New Roman" w:cs="Times New Roman"/>
          <w:sz w:val="24"/>
          <w:szCs w:val="24"/>
        </w:rPr>
        <w:t xml:space="preserve"> 2</w:t>
      </w:r>
      <w:r w:rsidR="00DF6B22">
        <w:rPr>
          <w:rFonts w:ascii="Times New Roman" w:hAnsi="Times New Roman" w:cs="Times New Roman"/>
          <w:sz w:val="24"/>
          <w:szCs w:val="24"/>
        </w:rPr>
        <w:t>E</w:t>
      </w:r>
      <w:r w:rsidRPr="00D42149">
        <w:rPr>
          <w:rFonts w:ascii="Times New Roman" w:hAnsi="Times New Roman" w:cs="Times New Roman"/>
          <w:sz w:val="24"/>
          <w:szCs w:val="24"/>
        </w:rPr>
        <w:t xml:space="preserve">). We selected mmu-miR-455-3p, which predicted 393 target genes, including TELO2-interacting protein 1 homolog (Tti1), hexokinase 3 (Hk3), secretion associated Ras related GTPase 1A (Sar1a), fibroblast growth factor 4 (Fgf4), and peroxisomal biogenesis factor 5 (Pex5). Tti1, Hk3, and Sar1a were reported in the </w:t>
      </w:r>
      <w:proofErr w:type="spellStart"/>
      <w:r w:rsidRPr="00D42149">
        <w:rPr>
          <w:rFonts w:ascii="Times New Roman" w:hAnsi="Times New Roman" w:cs="Times New Roman"/>
          <w:sz w:val="24"/>
          <w:szCs w:val="24"/>
        </w:rPr>
        <w:t>exosomal</w:t>
      </w:r>
      <w:proofErr w:type="spellEnd"/>
      <w:r w:rsidRPr="00D42149">
        <w:rPr>
          <w:rFonts w:ascii="Times New Roman" w:hAnsi="Times New Roman" w:cs="Times New Roman"/>
          <w:sz w:val="24"/>
          <w:szCs w:val="24"/>
        </w:rPr>
        <w:t xml:space="preserve"> miRNA database, but Fgf4 and Pex5 were not. HK3 also functions to protect the cell against apoptosis. Overexpression of HK3 results in increased ATP levels, decreased ROS production, an attenuated reduction in the mitochondrial membrane potential, and enhanced mitochondrial </w:t>
      </w:r>
      <w:r w:rsidRPr="00D42149">
        <w:rPr>
          <w:rFonts w:ascii="Times New Roman" w:hAnsi="Times New Roman" w:cs="Times New Roman"/>
          <w:sz w:val="24"/>
          <w:szCs w:val="24"/>
        </w:rPr>
        <w:lastRenderedPageBreak/>
        <w:t>biogenesis</w:t>
      </w:r>
      <w:r w:rsidR="00DF6B22">
        <w:rPr>
          <w:rFonts w:ascii="Times New Roman" w:hAnsi="Times New Roman" w:cs="Times New Roman"/>
          <w:sz w:val="24"/>
          <w:szCs w:val="24"/>
        </w:rPr>
        <w:t xml:space="preserve"> [21]</w:t>
      </w:r>
      <w:r w:rsidR="00972302">
        <w:rPr>
          <w:rFonts w:ascii="Times New Roman" w:hAnsi="Times New Roman" w:cs="Times New Roman"/>
          <w:sz w:val="24"/>
          <w:szCs w:val="24"/>
        </w:rPr>
        <w:t>.</w:t>
      </w:r>
      <w:r w:rsidRPr="00D42149">
        <w:rPr>
          <w:rFonts w:ascii="Times New Roman" w:hAnsi="Times New Roman" w:cs="Times New Roman"/>
          <w:sz w:val="24"/>
          <w:szCs w:val="24"/>
        </w:rPr>
        <w:t xml:space="preserve"> Sar1a is involved in membrane trafficking. It is a monomeric small GTPase found in COPI vesicles and protects against oxidative stress and inflammation. It also regulates the assembly and disassembly of COPII coats</w:t>
      </w:r>
      <w:r w:rsidR="00DF6B22">
        <w:rPr>
          <w:rFonts w:ascii="Times New Roman" w:hAnsi="Times New Roman" w:cs="Times New Roman"/>
          <w:sz w:val="24"/>
          <w:szCs w:val="24"/>
        </w:rPr>
        <w:t xml:space="preserve"> [22]</w:t>
      </w:r>
      <w:r w:rsidR="00972302">
        <w:rPr>
          <w:rFonts w:ascii="Times New Roman" w:hAnsi="Times New Roman" w:cs="Times New Roman"/>
          <w:sz w:val="24"/>
          <w:szCs w:val="24"/>
        </w:rPr>
        <w:t>.</w:t>
      </w:r>
      <w:r w:rsidR="00DF6B22">
        <w:rPr>
          <w:rFonts w:ascii="Times New Roman" w:hAnsi="Times New Roman" w:cs="Times New Roman"/>
          <w:sz w:val="24"/>
          <w:szCs w:val="24"/>
        </w:rPr>
        <w:t xml:space="preserve"> </w:t>
      </w:r>
      <w:r w:rsidRPr="00D42149">
        <w:rPr>
          <w:rFonts w:ascii="Times New Roman" w:hAnsi="Times New Roman" w:cs="Times New Roman"/>
          <w:sz w:val="24"/>
          <w:szCs w:val="24"/>
        </w:rPr>
        <w:t xml:space="preserve">Mmu-miR-149-3p was analyzed to predict 170 target mRNAs with the highest fold change value in the control and 5 </w:t>
      </w:r>
      <w:proofErr w:type="spellStart"/>
      <w:r w:rsidRPr="00D42149">
        <w:rPr>
          <w:rFonts w:ascii="Times New Roman" w:hAnsi="Times New Roman" w:cs="Times New Roman"/>
          <w:sz w:val="24"/>
          <w:szCs w:val="24"/>
        </w:rPr>
        <w:t>μg</w:t>
      </w:r>
      <w:proofErr w:type="spellEnd"/>
      <w:r w:rsidRPr="00D42149">
        <w:rPr>
          <w:rFonts w:ascii="Times New Roman" w:hAnsi="Times New Roman" w:cs="Times New Roman"/>
          <w:sz w:val="24"/>
          <w:szCs w:val="24"/>
        </w:rPr>
        <w:t>/mL groups.</w:t>
      </w:r>
      <w:r w:rsidRPr="00D42149">
        <w:t xml:space="preserve"> </w:t>
      </w:r>
      <w:r w:rsidRPr="00D42149">
        <w:rPr>
          <w:rFonts w:ascii="Times New Roman" w:hAnsi="Times New Roman" w:cs="Times New Roman"/>
          <w:sz w:val="24"/>
          <w:szCs w:val="24"/>
        </w:rPr>
        <w:t>As a result, it did not appear much in the exosome database, and only apolipoprotein C-II (APO2) was confirmed.</w:t>
      </w:r>
      <w:r w:rsidRPr="00D42149">
        <w:t xml:space="preserve"> </w:t>
      </w:r>
      <w:r w:rsidRPr="00D42149">
        <w:rPr>
          <w:rFonts w:ascii="Times New Roman" w:hAnsi="Times New Roman" w:cs="Times New Roman"/>
          <w:sz w:val="24"/>
          <w:szCs w:val="24"/>
        </w:rPr>
        <w:t>This miRNA encodes AP2 and is known to be a factor involved in the secretion of vesicles. It also known to hydrolyze triglycerides and thus provides free fatty acids for cells</w:t>
      </w:r>
      <w:r w:rsidR="00DF6B22">
        <w:rPr>
          <w:rFonts w:ascii="Times New Roman" w:hAnsi="Times New Roman" w:cs="Times New Roman"/>
          <w:sz w:val="24"/>
          <w:szCs w:val="24"/>
        </w:rPr>
        <w:t xml:space="preserve"> [23]</w:t>
      </w:r>
      <w:r w:rsidR="00972302">
        <w:rPr>
          <w:rFonts w:ascii="Times New Roman" w:hAnsi="Times New Roman" w:cs="Times New Roman"/>
          <w:sz w:val="24"/>
          <w:szCs w:val="24"/>
        </w:rPr>
        <w:t>.</w:t>
      </w:r>
    </w:p>
    <w:p w14:paraId="403D7529" w14:textId="10C46EA7" w:rsidR="007C4B61" w:rsidRDefault="007C4B61" w:rsidP="00C13F33">
      <w:pPr>
        <w:spacing w:line="276" w:lineRule="auto"/>
        <w:rPr>
          <w:rFonts w:ascii="Arial" w:hAnsi="Arial" w:cs="Arial"/>
          <w:b/>
          <w:sz w:val="24"/>
          <w:szCs w:val="24"/>
        </w:rPr>
      </w:pPr>
    </w:p>
    <w:p w14:paraId="5AD5BE74" w14:textId="7C157818" w:rsidR="007C4B61" w:rsidRDefault="00C13F33" w:rsidP="00C13F33">
      <w:pPr>
        <w:spacing w:line="276" w:lineRule="auto"/>
        <w:jc w:val="center"/>
        <w:rPr>
          <w:rFonts w:ascii="Arial" w:hAnsi="Arial" w:cs="Arial"/>
          <w:b/>
          <w:sz w:val="24"/>
          <w:szCs w:val="24"/>
        </w:rPr>
      </w:pPr>
      <w:r w:rsidRPr="00D42149">
        <w:rPr>
          <w:rFonts w:ascii="Times New Roman" w:eastAsia="굴림" w:hAnsi="Times New Roman" w:cs="Times New Roman"/>
          <w:b/>
          <w:noProof/>
          <w:sz w:val="24"/>
          <w:szCs w:val="24"/>
        </w:rPr>
        <w:drawing>
          <wp:inline distT="0" distB="0" distL="0" distR="0" wp14:anchorId="5EAD3E55" wp14:editId="373D2868">
            <wp:extent cx="4351337" cy="3263900"/>
            <wp:effectExtent l="0" t="0" r="0" b="0"/>
            <wp:docPr id="13" name="Z-YRB_40ug_ml_During 1h(1)">
              <a:hlinkClick xmlns:a="http://schemas.openxmlformats.org/drawingml/2006/main" r:id="" action="ppaction://media"/>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Z-YRB_40ug_ml_During 1h(1)">
                      <a:hlinkClick r:id="" action="ppaction://media"/>
                    </pic:cNvPr>
                    <pic:cNvPicPr>
                      <a:picLocks noChangeAspect="1"/>
                    </pic:cNvPicPr>
                  </pic:nvPicPr>
                  <pic:blipFill>
                    <a:blip r:embed="rId14"/>
                    <a:stretch>
                      <a:fillRect/>
                    </a:stretch>
                  </pic:blipFill>
                  <pic:spPr>
                    <a:xfrm>
                      <a:off x="0" y="0"/>
                      <a:ext cx="4351337" cy="3263900"/>
                    </a:xfrm>
                    <a:prstGeom prst="rect">
                      <a:avLst/>
                    </a:prstGeom>
                  </pic:spPr>
                </pic:pic>
              </a:graphicData>
            </a:graphic>
          </wp:inline>
        </w:drawing>
      </w:r>
    </w:p>
    <w:p w14:paraId="44604E2E" w14:textId="64D4A167" w:rsidR="00C13F33" w:rsidRPr="00D42149" w:rsidRDefault="00FA4EF7" w:rsidP="00C13F33">
      <w:pPr>
        <w:spacing w:line="276" w:lineRule="auto"/>
        <w:rPr>
          <w:rFonts w:ascii="Times New Roman" w:hAnsi="Times New Roman" w:cs="Times New Roman"/>
          <w:bCs/>
          <w:sz w:val="24"/>
          <w:szCs w:val="24"/>
        </w:rPr>
      </w:pPr>
      <w:r>
        <w:rPr>
          <w:rFonts w:ascii="Times New Roman" w:hAnsi="Times New Roman" w:cs="Times New Roman" w:hint="eastAsia"/>
          <w:b/>
          <w:sz w:val="24"/>
          <w:szCs w:val="24"/>
        </w:rPr>
        <w:t>Figure</w:t>
      </w:r>
      <w:r w:rsidR="007C4B61">
        <w:rPr>
          <w:rFonts w:ascii="Times New Roman" w:hAnsi="Times New Roman" w:cs="Times New Roman"/>
          <w:b/>
          <w:sz w:val="24"/>
          <w:szCs w:val="24"/>
        </w:rPr>
        <w:t xml:space="preserve"> S7</w:t>
      </w:r>
      <w:r w:rsidR="00C13F33">
        <w:rPr>
          <w:rFonts w:ascii="Times New Roman" w:hAnsi="Times New Roman" w:cs="Times New Roman"/>
          <w:b/>
          <w:sz w:val="24"/>
          <w:szCs w:val="24"/>
        </w:rPr>
        <w:t xml:space="preserve"> </w:t>
      </w:r>
      <w:r w:rsidR="00C13F33" w:rsidRPr="006B6D04">
        <w:rPr>
          <w:rFonts w:ascii="Times New Roman" w:hAnsi="Times New Roman" w:cs="Times New Roman"/>
          <w:bCs/>
          <w:sz w:val="24"/>
          <w:szCs w:val="24"/>
        </w:rPr>
        <w:t xml:space="preserve">Live cell image of PCS nanoparticle internalization into MSCs. </w:t>
      </w:r>
      <w:r w:rsidR="00C13F33" w:rsidRPr="006B6D04">
        <w:rPr>
          <w:rFonts w:ascii="Times New Roman" w:hAnsi="Times New Roman" w:cs="Times New Roman" w:hint="eastAsia"/>
          <w:sz w:val="24"/>
          <w:szCs w:val="24"/>
        </w:rPr>
        <w:t>The</w:t>
      </w:r>
      <w:r w:rsidR="00C13F33" w:rsidRPr="00D42149">
        <w:rPr>
          <w:rFonts w:ascii="Times New Roman" w:hAnsi="Times New Roman" w:cs="Times New Roman" w:hint="eastAsia"/>
          <w:sz w:val="24"/>
          <w:szCs w:val="24"/>
        </w:rPr>
        <w:t xml:space="preserve"> MSCs</w:t>
      </w:r>
      <w:r w:rsidR="00C13F33" w:rsidRPr="00D42149">
        <w:rPr>
          <w:rFonts w:ascii="Times New Roman" w:hAnsi="Times New Roman" w:cs="Times New Roman"/>
          <w:sz w:val="24"/>
          <w:szCs w:val="24"/>
        </w:rPr>
        <w:t xml:space="preserve"> were seeded onto confocal dishes at a density of 5×10</w:t>
      </w:r>
      <w:r w:rsidR="00C13F33" w:rsidRPr="00D42149">
        <w:rPr>
          <w:rFonts w:ascii="Times New Roman" w:hAnsi="Times New Roman" w:cs="Times New Roman"/>
          <w:sz w:val="24"/>
          <w:szCs w:val="24"/>
          <w:vertAlign w:val="superscript"/>
        </w:rPr>
        <w:t>3</w:t>
      </w:r>
      <w:r w:rsidR="00C13F33" w:rsidRPr="00D42149">
        <w:rPr>
          <w:rFonts w:ascii="Times New Roman" w:hAnsi="Times New Roman" w:cs="Times New Roman"/>
          <w:sz w:val="24"/>
          <w:szCs w:val="24"/>
        </w:rPr>
        <w:t xml:space="preserve"> cells/well. After 24 h of incubation, the culture media was replaced with fresh media and treated with PCS nanoparticles. The MSCs were washed twice with PBS and observed on Cy5.5 (red) immediately. </w:t>
      </w:r>
      <w:r w:rsidR="00C13F33" w:rsidRPr="00D42149">
        <w:rPr>
          <w:rFonts w:ascii="Times New Roman" w:hAnsi="Times New Roman" w:cs="Times New Roman"/>
          <w:bCs/>
          <w:sz w:val="24"/>
          <w:szCs w:val="24"/>
        </w:rPr>
        <w:t xml:space="preserve">After treatment with 5 µg PCS nanoparticles, the cells were imaged for 2 h to record the initial stage of internalization. As a result, we confirmed that the nanoparticles were slowly introduced into the interior after they adhered to the surface. </w:t>
      </w:r>
      <w:r w:rsidR="00C13F33">
        <w:rPr>
          <w:rFonts w:ascii="Times New Roman" w:hAnsi="Times New Roman" w:cs="Times New Roman"/>
          <w:bCs/>
          <w:sz w:val="24"/>
          <w:szCs w:val="24"/>
        </w:rPr>
        <w:t>(Attached movie</w:t>
      </w:r>
      <w:r w:rsidR="008C7F64">
        <w:rPr>
          <w:rFonts w:ascii="Times New Roman" w:hAnsi="Times New Roman" w:cs="Times New Roman"/>
          <w:bCs/>
          <w:sz w:val="24"/>
          <w:szCs w:val="24"/>
        </w:rPr>
        <w:t xml:space="preserve">: </w:t>
      </w:r>
      <w:r w:rsidR="008C7F64" w:rsidRPr="008C7F64">
        <w:rPr>
          <w:rFonts w:ascii="Times New Roman" w:hAnsi="Times New Roman" w:cs="Times New Roman"/>
          <w:bCs/>
          <w:sz w:val="24"/>
          <w:szCs w:val="24"/>
        </w:rPr>
        <w:t xml:space="preserve">Additional file </w:t>
      </w:r>
      <w:r w:rsidR="008C7F64">
        <w:rPr>
          <w:rFonts w:ascii="Times New Roman" w:hAnsi="Times New Roman" w:cs="Times New Roman"/>
          <w:bCs/>
          <w:sz w:val="24"/>
          <w:szCs w:val="24"/>
        </w:rPr>
        <w:t>2</w:t>
      </w:r>
      <w:r w:rsidR="00C13F33">
        <w:rPr>
          <w:rFonts w:ascii="Times New Roman" w:hAnsi="Times New Roman" w:cs="Times New Roman"/>
          <w:bCs/>
          <w:sz w:val="24"/>
          <w:szCs w:val="24"/>
        </w:rPr>
        <w:t>)</w:t>
      </w:r>
    </w:p>
    <w:p w14:paraId="04526D52" w14:textId="6938A147" w:rsidR="007C4B61" w:rsidRDefault="007C4B61" w:rsidP="00C13F33">
      <w:pPr>
        <w:spacing w:line="276" w:lineRule="auto"/>
        <w:rPr>
          <w:rFonts w:ascii="Arial" w:hAnsi="Arial" w:cs="Arial"/>
          <w:b/>
          <w:sz w:val="24"/>
          <w:szCs w:val="24"/>
        </w:rPr>
      </w:pPr>
    </w:p>
    <w:p w14:paraId="3D3C3B20" w14:textId="77777777" w:rsidR="007C4B61" w:rsidRDefault="007C4B61" w:rsidP="00C13F33">
      <w:pPr>
        <w:spacing w:line="276" w:lineRule="auto"/>
        <w:rPr>
          <w:rFonts w:ascii="Arial" w:hAnsi="Arial" w:cs="Arial"/>
          <w:b/>
          <w:sz w:val="24"/>
          <w:szCs w:val="24"/>
        </w:rPr>
        <w:sectPr w:rsidR="007C4B61">
          <w:pgSz w:w="11906" w:h="16838"/>
          <w:pgMar w:top="1701" w:right="1440" w:bottom="1440" w:left="1440" w:header="851" w:footer="992" w:gutter="0"/>
          <w:cols w:space="425"/>
          <w:docGrid w:linePitch="360"/>
        </w:sectPr>
      </w:pPr>
    </w:p>
    <w:p w14:paraId="1C6D5D46" w14:textId="2A9FF6AF" w:rsidR="007C4B61" w:rsidRDefault="007C4B61" w:rsidP="00C13F33">
      <w:pPr>
        <w:spacing w:line="276" w:lineRule="auto"/>
        <w:rPr>
          <w:rFonts w:ascii="Arial" w:hAnsi="Arial" w:cs="Arial"/>
          <w:b/>
          <w:sz w:val="24"/>
          <w:szCs w:val="24"/>
        </w:rPr>
      </w:pPr>
    </w:p>
    <w:p w14:paraId="55C77083" w14:textId="4879AC9C" w:rsidR="007C4B61" w:rsidRDefault="007C4B61" w:rsidP="00C13F33">
      <w:pPr>
        <w:spacing w:line="276" w:lineRule="auto"/>
        <w:jc w:val="center"/>
        <w:rPr>
          <w:rFonts w:ascii="Arial" w:hAnsi="Arial" w:cs="Arial"/>
          <w:b/>
          <w:sz w:val="24"/>
          <w:szCs w:val="24"/>
        </w:rPr>
      </w:pPr>
      <w:r>
        <w:rPr>
          <w:rFonts w:ascii="Arial" w:hAnsi="Arial" w:cs="Arial"/>
          <w:b/>
          <w:noProof/>
          <w:sz w:val="24"/>
          <w:szCs w:val="24"/>
        </w:rPr>
        <w:drawing>
          <wp:inline distT="0" distB="0" distL="0" distR="0" wp14:anchorId="7EDFC86A" wp14:editId="1E0CD424">
            <wp:extent cx="3787486" cy="4629150"/>
            <wp:effectExtent l="0" t="0" r="3810"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03864" cy="4649168"/>
                    </a:xfrm>
                    <a:prstGeom prst="rect">
                      <a:avLst/>
                    </a:prstGeom>
                    <a:noFill/>
                    <a:ln>
                      <a:noFill/>
                    </a:ln>
                  </pic:spPr>
                </pic:pic>
              </a:graphicData>
            </a:graphic>
          </wp:inline>
        </w:drawing>
      </w:r>
    </w:p>
    <w:p w14:paraId="23BA5EC9" w14:textId="47B277AA" w:rsidR="00C13F33" w:rsidRPr="00C13F33" w:rsidRDefault="00FA4EF7" w:rsidP="00C13F33">
      <w:pPr>
        <w:spacing w:line="276" w:lineRule="auto"/>
        <w:rPr>
          <w:rFonts w:ascii="Times New Roman" w:hAnsi="Times New Roman" w:cs="Times New Roman"/>
          <w:sz w:val="24"/>
          <w:szCs w:val="24"/>
        </w:rPr>
      </w:pPr>
      <w:r>
        <w:rPr>
          <w:rFonts w:ascii="Times New Roman" w:hAnsi="Times New Roman" w:cs="Times New Roman"/>
          <w:b/>
          <w:sz w:val="24"/>
          <w:szCs w:val="24"/>
        </w:rPr>
        <w:t>Figure</w:t>
      </w:r>
      <w:r w:rsidR="007C4B61" w:rsidRPr="00C13F33">
        <w:rPr>
          <w:rFonts w:ascii="Times New Roman" w:hAnsi="Times New Roman" w:cs="Times New Roman"/>
          <w:b/>
          <w:sz w:val="24"/>
          <w:szCs w:val="24"/>
        </w:rPr>
        <w:t xml:space="preserve"> S8</w:t>
      </w:r>
      <w:r w:rsidR="00C13F33" w:rsidRPr="00C13F33">
        <w:rPr>
          <w:rFonts w:ascii="Times New Roman" w:hAnsi="Times New Roman" w:cs="Times New Roman"/>
          <w:b/>
          <w:sz w:val="24"/>
          <w:szCs w:val="24"/>
        </w:rPr>
        <w:t xml:space="preserve"> </w:t>
      </w:r>
      <w:r w:rsidR="00C13F33" w:rsidRPr="00C13F33">
        <w:rPr>
          <w:rFonts w:ascii="Times New Roman" w:hAnsi="Times New Roman" w:cs="Times New Roman"/>
          <w:sz w:val="24"/>
          <w:szCs w:val="24"/>
        </w:rPr>
        <w:t xml:space="preserve">Observation of PCS-NPs internalization after treatment of endocytic inhibitors. (A) Confocal image analysis of MSCs with inhibitors after 5 </w:t>
      </w:r>
      <w:proofErr w:type="spellStart"/>
      <w:r w:rsidR="00C13F33" w:rsidRPr="00C13F33">
        <w:rPr>
          <w:rFonts w:ascii="Times New Roman" w:hAnsi="Times New Roman" w:cs="Times New Roman"/>
          <w:sz w:val="24"/>
          <w:szCs w:val="24"/>
        </w:rPr>
        <w:t>μg</w:t>
      </w:r>
      <w:proofErr w:type="spellEnd"/>
      <w:r w:rsidR="00C13F33" w:rsidRPr="00C13F33">
        <w:rPr>
          <w:rFonts w:ascii="Times New Roman" w:hAnsi="Times New Roman" w:cs="Times New Roman"/>
          <w:sz w:val="24"/>
          <w:szCs w:val="24"/>
        </w:rPr>
        <w:t xml:space="preserve">/mL PCS-NP treatment. </w:t>
      </w:r>
      <w:r w:rsidR="00C13F33" w:rsidRPr="00C13F33">
        <w:rPr>
          <w:rFonts w:ascii="Times New Roman" w:hAnsi="Times New Roman" w:cs="Times New Roman"/>
          <w:bCs/>
          <w:sz w:val="24"/>
          <w:szCs w:val="24"/>
        </w:rPr>
        <w:t xml:space="preserve">(B) </w:t>
      </w:r>
      <w:r w:rsidR="00C13F33" w:rsidRPr="00C13F33">
        <w:rPr>
          <w:rFonts w:ascii="Times New Roman" w:hAnsi="Times New Roman" w:cs="Times New Roman"/>
          <w:sz w:val="24"/>
          <w:szCs w:val="24"/>
        </w:rPr>
        <w:t>Intracellular observation of MSCs and PCS-NPs by TEM after treatment with the two internalization inhibitors.</w:t>
      </w:r>
    </w:p>
    <w:p w14:paraId="4BB36CAC" w14:textId="3FD306BB" w:rsidR="007C4B61" w:rsidRPr="00C13F33" w:rsidRDefault="00C13F33" w:rsidP="00C13F33">
      <w:pPr>
        <w:spacing w:line="276" w:lineRule="auto"/>
        <w:rPr>
          <w:rFonts w:ascii="Times New Roman" w:hAnsi="Times New Roman" w:cs="Times New Roman"/>
          <w:b/>
          <w:sz w:val="24"/>
          <w:szCs w:val="24"/>
        </w:rPr>
      </w:pPr>
      <w:r w:rsidRPr="00C13F33">
        <w:rPr>
          <w:rFonts w:ascii="Times New Roman" w:hAnsi="Times New Roman" w:cs="Times New Roman"/>
          <w:sz w:val="24"/>
          <w:szCs w:val="24"/>
        </w:rPr>
        <w:t xml:space="preserve"> </w:t>
      </w:r>
    </w:p>
    <w:p w14:paraId="72F0E469" w14:textId="1E77803D" w:rsidR="007C4B61" w:rsidRDefault="007C4B61" w:rsidP="00C13F33">
      <w:pPr>
        <w:spacing w:line="276" w:lineRule="auto"/>
        <w:rPr>
          <w:rFonts w:ascii="Arial" w:hAnsi="Arial" w:cs="Arial"/>
          <w:b/>
          <w:sz w:val="24"/>
          <w:szCs w:val="24"/>
        </w:rPr>
      </w:pPr>
    </w:p>
    <w:p w14:paraId="697F73CF" w14:textId="396F71D6" w:rsidR="007C4B61" w:rsidRDefault="007C4B61" w:rsidP="00C13F33">
      <w:pPr>
        <w:spacing w:line="276" w:lineRule="auto"/>
        <w:rPr>
          <w:rFonts w:ascii="Arial" w:hAnsi="Arial" w:cs="Arial"/>
          <w:b/>
          <w:sz w:val="24"/>
          <w:szCs w:val="24"/>
        </w:rPr>
      </w:pPr>
    </w:p>
    <w:p w14:paraId="23438FE0" w14:textId="71F34017" w:rsidR="007C4B61" w:rsidRDefault="007C4B61" w:rsidP="00C13F33">
      <w:pPr>
        <w:spacing w:line="276" w:lineRule="auto"/>
        <w:rPr>
          <w:rFonts w:ascii="Arial" w:hAnsi="Arial" w:cs="Arial"/>
          <w:b/>
          <w:sz w:val="24"/>
          <w:szCs w:val="24"/>
        </w:rPr>
      </w:pPr>
    </w:p>
    <w:p w14:paraId="69446598" w14:textId="77777777" w:rsidR="007C4B61" w:rsidRDefault="007C4B61" w:rsidP="00C13F33">
      <w:pPr>
        <w:spacing w:line="276" w:lineRule="auto"/>
        <w:rPr>
          <w:rFonts w:ascii="Arial" w:hAnsi="Arial" w:cs="Arial"/>
          <w:b/>
          <w:sz w:val="24"/>
          <w:szCs w:val="24"/>
        </w:rPr>
        <w:sectPr w:rsidR="007C4B61">
          <w:pgSz w:w="11906" w:h="16838"/>
          <w:pgMar w:top="1701" w:right="1440" w:bottom="1440" w:left="1440" w:header="851" w:footer="992" w:gutter="0"/>
          <w:cols w:space="425"/>
          <w:docGrid w:linePitch="360"/>
        </w:sectPr>
      </w:pPr>
    </w:p>
    <w:p w14:paraId="2B3C07B7" w14:textId="6C16C6A2" w:rsidR="007C4B61" w:rsidRDefault="007C4B61" w:rsidP="00C13F33">
      <w:pPr>
        <w:spacing w:line="276" w:lineRule="auto"/>
        <w:rPr>
          <w:rFonts w:ascii="Arial" w:hAnsi="Arial" w:cs="Arial"/>
          <w:b/>
          <w:sz w:val="24"/>
          <w:szCs w:val="24"/>
        </w:rPr>
      </w:pPr>
      <w:r>
        <w:rPr>
          <w:rFonts w:ascii="Arial" w:hAnsi="Arial" w:cs="Arial"/>
          <w:b/>
          <w:noProof/>
          <w:sz w:val="24"/>
          <w:szCs w:val="24"/>
        </w:rPr>
        <w:lastRenderedPageBreak/>
        <w:drawing>
          <wp:inline distT="0" distB="0" distL="0" distR="0" wp14:anchorId="1725F982" wp14:editId="4FE05481">
            <wp:extent cx="5727700" cy="3213100"/>
            <wp:effectExtent l="0" t="0" r="6350" b="635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27700" cy="3213100"/>
                    </a:xfrm>
                    <a:prstGeom prst="rect">
                      <a:avLst/>
                    </a:prstGeom>
                    <a:noFill/>
                    <a:ln>
                      <a:noFill/>
                    </a:ln>
                  </pic:spPr>
                </pic:pic>
              </a:graphicData>
            </a:graphic>
          </wp:inline>
        </w:drawing>
      </w:r>
    </w:p>
    <w:p w14:paraId="4158EA3E" w14:textId="7FEEC325" w:rsidR="00C13F33" w:rsidRPr="00D42149" w:rsidRDefault="00FA4EF7" w:rsidP="00C13F33">
      <w:pPr>
        <w:spacing w:line="276" w:lineRule="auto"/>
        <w:ind w:firstLineChars="200" w:firstLine="480"/>
        <w:rPr>
          <w:rFonts w:ascii="Times New Roman" w:hAnsi="Times New Roman" w:cs="Times New Roman"/>
          <w:bCs/>
          <w:sz w:val="24"/>
          <w:szCs w:val="24"/>
        </w:rPr>
      </w:pPr>
      <w:r>
        <w:rPr>
          <w:rFonts w:ascii="Times New Roman" w:hAnsi="Times New Roman" w:cs="Times New Roman" w:hint="eastAsia"/>
          <w:b/>
          <w:sz w:val="24"/>
          <w:szCs w:val="24"/>
        </w:rPr>
        <w:t>Figure</w:t>
      </w:r>
      <w:r w:rsidR="007C4B61">
        <w:rPr>
          <w:rFonts w:ascii="Times New Roman" w:hAnsi="Times New Roman" w:cs="Times New Roman"/>
          <w:b/>
          <w:sz w:val="24"/>
          <w:szCs w:val="24"/>
        </w:rPr>
        <w:t xml:space="preserve"> S9</w:t>
      </w:r>
      <w:r w:rsidR="00C13F33">
        <w:rPr>
          <w:rFonts w:ascii="Times New Roman" w:hAnsi="Times New Roman" w:cs="Times New Roman"/>
          <w:b/>
          <w:sz w:val="24"/>
          <w:szCs w:val="24"/>
        </w:rPr>
        <w:t xml:space="preserve"> </w:t>
      </w:r>
      <w:r w:rsidR="00C13F33" w:rsidRPr="00DF469B">
        <w:rPr>
          <w:rFonts w:ascii="Times New Roman" w:hAnsi="Times New Roman" w:cs="Times New Roman"/>
          <w:bCs/>
          <w:sz w:val="24"/>
          <w:szCs w:val="24"/>
        </w:rPr>
        <w:t xml:space="preserve">Using Rab7 inhibitor, we confirmed the merge efficiency of intracellular nanoparticles with organelles. </w:t>
      </w:r>
      <w:r w:rsidR="00C13F33" w:rsidRPr="00D42149">
        <w:rPr>
          <w:rFonts w:ascii="Times New Roman" w:hAnsi="Times New Roman" w:cs="Times New Roman"/>
          <w:sz w:val="24"/>
          <w:szCs w:val="24"/>
        </w:rPr>
        <w:t xml:space="preserve">The fluorescence image analysis showed that the merge efficiency decreased between Rab7 and NPs in the inhibited cells, after exposure of 30 </w:t>
      </w:r>
      <w:proofErr w:type="spellStart"/>
      <w:r w:rsidR="00C13F33" w:rsidRPr="00D42149">
        <w:rPr>
          <w:rFonts w:ascii="Times New Roman" w:hAnsi="Times New Roman" w:cs="Times New Roman"/>
          <w:sz w:val="24"/>
          <w:szCs w:val="24"/>
        </w:rPr>
        <w:t>μM</w:t>
      </w:r>
      <w:proofErr w:type="spellEnd"/>
      <w:r w:rsidR="00C13F33" w:rsidRPr="00D42149">
        <w:rPr>
          <w:rFonts w:ascii="Times New Roman" w:hAnsi="Times New Roman" w:cs="Times New Roman"/>
          <w:sz w:val="24"/>
          <w:szCs w:val="24"/>
        </w:rPr>
        <w:t xml:space="preserve"> Rab7 inhibitor for 1 h. We determined the merge efficiency of cellular organelles with nanoparticles using confocal microscopy. Intensity was confirmed by cutting the fluorescent image horizontally. The nanoparticles (red) were increased, but organelles (green) did not express Rab7; </w:t>
      </w:r>
      <w:r w:rsidR="00007491" w:rsidRPr="00D42149">
        <w:rPr>
          <w:rFonts w:ascii="Times New Roman" w:hAnsi="Times New Roman" w:cs="Times New Roman"/>
          <w:sz w:val="24"/>
          <w:szCs w:val="24"/>
        </w:rPr>
        <w:t>therefore,</w:t>
      </w:r>
      <w:r w:rsidR="00C13F33" w:rsidRPr="00D42149">
        <w:rPr>
          <w:rFonts w:ascii="Times New Roman" w:hAnsi="Times New Roman" w:cs="Times New Roman"/>
          <w:sz w:val="24"/>
          <w:szCs w:val="24"/>
        </w:rPr>
        <w:t xml:space="preserve"> nanoparticles did not enter the organelles after treatment with Rab7 inhibitor. The distances were plotted on the chart and averaged. </w:t>
      </w:r>
      <w:r w:rsidR="00C13F33" w:rsidRPr="00D42149">
        <w:rPr>
          <w:rFonts w:ascii="Times New Roman" w:hAnsi="Times New Roman" w:cs="Times New Roman"/>
          <w:bCs/>
          <w:sz w:val="24"/>
          <w:szCs w:val="24"/>
        </w:rPr>
        <w:t xml:space="preserve">The merge efficiency was analyzed by comparing the fluorescence intensity vacuoles of Rab7 expression (green) and nanoparticles (red) at the overlapping part of organelles and particles. When observed for 30 min, 1 h, and 6 h, it was clear that inhibition of Rab7 prevented </w:t>
      </w:r>
      <w:r w:rsidR="00C13F33" w:rsidRPr="00D42149">
        <w:rPr>
          <w:rFonts w:ascii="Times New Roman" w:hAnsi="Times New Roman" w:cs="Times New Roman"/>
          <w:sz w:val="24"/>
          <w:szCs w:val="24"/>
        </w:rPr>
        <w:t xml:space="preserve">nanoparticle </w:t>
      </w:r>
      <w:r w:rsidR="00C13F33" w:rsidRPr="00D42149">
        <w:rPr>
          <w:rFonts w:ascii="Times New Roman" w:hAnsi="Times New Roman" w:cs="Times New Roman"/>
          <w:bCs/>
          <w:sz w:val="24"/>
          <w:szCs w:val="24"/>
        </w:rPr>
        <w:t xml:space="preserve">transport to late endosomes and autolysosomes.  </w:t>
      </w:r>
    </w:p>
    <w:p w14:paraId="58F7538A" w14:textId="234CA77B" w:rsidR="007C4B61" w:rsidRDefault="007C4B61" w:rsidP="00C13F33">
      <w:pPr>
        <w:spacing w:line="276" w:lineRule="auto"/>
        <w:rPr>
          <w:rFonts w:ascii="Arial" w:hAnsi="Arial" w:cs="Arial"/>
          <w:b/>
          <w:sz w:val="24"/>
          <w:szCs w:val="24"/>
        </w:rPr>
      </w:pPr>
    </w:p>
    <w:p w14:paraId="4EC1E510" w14:textId="7F7D664F" w:rsidR="007C4B61" w:rsidRDefault="007C4B61" w:rsidP="00C13F33">
      <w:pPr>
        <w:spacing w:line="276" w:lineRule="auto"/>
        <w:rPr>
          <w:rFonts w:ascii="Arial" w:hAnsi="Arial" w:cs="Arial"/>
          <w:b/>
          <w:sz w:val="24"/>
          <w:szCs w:val="24"/>
        </w:rPr>
      </w:pPr>
    </w:p>
    <w:p w14:paraId="08CADA31" w14:textId="69213615" w:rsidR="007C4B61" w:rsidRDefault="007C4B61" w:rsidP="00C13F33">
      <w:pPr>
        <w:spacing w:line="276" w:lineRule="auto"/>
        <w:rPr>
          <w:rFonts w:ascii="Arial" w:hAnsi="Arial" w:cs="Arial"/>
          <w:b/>
          <w:sz w:val="24"/>
          <w:szCs w:val="24"/>
        </w:rPr>
      </w:pPr>
    </w:p>
    <w:p w14:paraId="3A24AAE1" w14:textId="2BBC5F1E" w:rsidR="007C4B61" w:rsidRDefault="007C4B61" w:rsidP="00C13F33">
      <w:pPr>
        <w:spacing w:line="276" w:lineRule="auto"/>
        <w:rPr>
          <w:rFonts w:ascii="Arial" w:hAnsi="Arial" w:cs="Arial"/>
          <w:b/>
          <w:sz w:val="24"/>
          <w:szCs w:val="24"/>
        </w:rPr>
      </w:pPr>
    </w:p>
    <w:p w14:paraId="7E351AC1" w14:textId="77777777" w:rsidR="007C4B61" w:rsidRDefault="007C4B61" w:rsidP="00C13F33">
      <w:pPr>
        <w:spacing w:line="276" w:lineRule="auto"/>
        <w:rPr>
          <w:rFonts w:ascii="Arial" w:hAnsi="Arial" w:cs="Arial"/>
          <w:b/>
          <w:sz w:val="24"/>
          <w:szCs w:val="24"/>
        </w:rPr>
        <w:sectPr w:rsidR="007C4B61">
          <w:pgSz w:w="11906" w:h="16838"/>
          <w:pgMar w:top="1701" w:right="1440" w:bottom="1440" w:left="1440" w:header="851" w:footer="992" w:gutter="0"/>
          <w:cols w:space="425"/>
          <w:docGrid w:linePitch="360"/>
        </w:sectPr>
      </w:pPr>
    </w:p>
    <w:p w14:paraId="225CC550" w14:textId="5C0A4668" w:rsidR="007C4B61" w:rsidRDefault="007C4B61" w:rsidP="00C13F33">
      <w:pPr>
        <w:spacing w:line="276" w:lineRule="auto"/>
        <w:rPr>
          <w:rFonts w:ascii="Arial" w:hAnsi="Arial" w:cs="Arial"/>
          <w:b/>
          <w:sz w:val="24"/>
          <w:szCs w:val="24"/>
        </w:rPr>
      </w:pPr>
    </w:p>
    <w:p w14:paraId="113BF467" w14:textId="417238D0" w:rsidR="007C4B61" w:rsidRDefault="00C13F33" w:rsidP="00C13F33">
      <w:pPr>
        <w:spacing w:line="276" w:lineRule="auto"/>
        <w:rPr>
          <w:rFonts w:ascii="Arial" w:hAnsi="Arial" w:cs="Arial"/>
          <w:b/>
          <w:sz w:val="24"/>
          <w:szCs w:val="24"/>
        </w:rPr>
      </w:pPr>
      <w:r>
        <w:rPr>
          <w:rFonts w:ascii="Arial" w:hAnsi="Arial" w:cs="Arial"/>
          <w:b/>
          <w:noProof/>
          <w:sz w:val="24"/>
          <w:szCs w:val="24"/>
        </w:rPr>
        <w:drawing>
          <wp:inline distT="0" distB="0" distL="0" distR="0" wp14:anchorId="55FA4B0B" wp14:editId="7E1DC9C5">
            <wp:extent cx="5727700" cy="2489200"/>
            <wp:effectExtent l="0" t="0" r="6350" b="6350"/>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27700" cy="2489200"/>
                    </a:xfrm>
                    <a:prstGeom prst="rect">
                      <a:avLst/>
                    </a:prstGeom>
                    <a:noFill/>
                    <a:ln>
                      <a:noFill/>
                    </a:ln>
                  </pic:spPr>
                </pic:pic>
              </a:graphicData>
            </a:graphic>
          </wp:inline>
        </w:drawing>
      </w:r>
    </w:p>
    <w:p w14:paraId="0E86ECA1" w14:textId="66A7690C" w:rsidR="00C13F33" w:rsidRPr="00C13F33" w:rsidRDefault="00FA4EF7" w:rsidP="00C13F33">
      <w:pPr>
        <w:spacing w:line="276" w:lineRule="auto"/>
        <w:rPr>
          <w:rFonts w:ascii="Times New Roman" w:hAnsi="Times New Roman" w:cs="Times New Roman"/>
          <w:sz w:val="24"/>
          <w:szCs w:val="24"/>
        </w:rPr>
      </w:pPr>
      <w:r>
        <w:rPr>
          <w:rFonts w:ascii="Times New Roman" w:hAnsi="Times New Roman" w:cs="Times New Roman"/>
          <w:b/>
          <w:sz w:val="24"/>
          <w:szCs w:val="24"/>
        </w:rPr>
        <w:t>Figure</w:t>
      </w:r>
      <w:r w:rsidR="00C13F33" w:rsidRPr="00C13F33">
        <w:rPr>
          <w:rFonts w:ascii="Times New Roman" w:hAnsi="Times New Roman" w:cs="Times New Roman"/>
          <w:b/>
          <w:sz w:val="24"/>
          <w:szCs w:val="24"/>
        </w:rPr>
        <w:t xml:space="preserve"> S10 </w:t>
      </w:r>
      <w:r w:rsidR="00C13F33" w:rsidRPr="00C13F33">
        <w:rPr>
          <w:rFonts w:ascii="Times New Roman" w:hAnsi="Times New Roman" w:cs="Times New Roman"/>
          <w:bCs/>
          <w:sz w:val="24"/>
          <w:szCs w:val="24"/>
        </w:rPr>
        <w:t>Analysis of transportation pathway of PCS-NPs by Rab7 inhibitors</w:t>
      </w:r>
      <w:r w:rsidR="00C13F33">
        <w:rPr>
          <w:rFonts w:ascii="Times New Roman" w:hAnsi="Times New Roman" w:cs="Times New Roman"/>
          <w:bCs/>
          <w:sz w:val="24"/>
          <w:szCs w:val="24"/>
        </w:rPr>
        <w:t xml:space="preserve"> by TEM</w:t>
      </w:r>
      <w:r w:rsidR="00C13F33" w:rsidRPr="00C13F33">
        <w:rPr>
          <w:rFonts w:ascii="Times New Roman" w:hAnsi="Times New Roman" w:cs="Times New Roman"/>
          <w:bCs/>
          <w:sz w:val="24"/>
          <w:szCs w:val="24"/>
        </w:rPr>
        <w:t>.</w:t>
      </w:r>
      <w:r w:rsidR="00C13F33" w:rsidRPr="00C13F33">
        <w:rPr>
          <w:rFonts w:ascii="Times New Roman" w:hAnsi="Times New Roman" w:cs="Times New Roman"/>
          <w:b/>
          <w:bCs/>
          <w:sz w:val="24"/>
          <w:szCs w:val="24"/>
        </w:rPr>
        <w:t xml:space="preserve"> </w:t>
      </w:r>
      <w:r w:rsidR="00C13F33" w:rsidRPr="00C13F33">
        <w:rPr>
          <w:rFonts w:ascii="Times New Roman" w:hAnsi="Times New Roman" w:cs="Times New Roman"/>
          <w:sz w:val="24"/>
          <w:szCs w:val="24"/>
        </w:rPr>
        <w:t>If the inhibitor is not reacted, NP enters the autolysosome-like organelle while the inhibitor does not proceed in the early stage.</w:t>
      </w:r>
    </w:p>
    <w:p w14:paraId="44E5C4EF" w14:textId="6930998D" w:rsidR="00C13F33" w:rsidRPr="00C13F33" w:rsidRDefault="00C13F33" w:rsidP="00C13F33">
      <w:pPr>
        <w:spacing w:line="276" w:lineRule="auto"/>
        <w:rPr>
          <w:rFonts w:ascii="Times New Roman" w:hAnsi="Times New Roman" w:cs="Times New Roman"/>
          <w:b/>
          <w:sz w:val="24"/>
          <w:szCs w:val="24"/>
        </w:rPr>
      </w:pPr>
    </w:p>
    <w:p w14:paraId="78B2B079" w14:textId="7A290558" w:rsidR="007C4B61" w:rsidRDefault="007C4B61" w:rsidP="00C13F33">
      <w:pPr>
        <w:spacing w:line="276" w:lineRule="auto"/>
        <w:rPr>
          <w:rFonts w:ascii="Arial" w:hAnsi="Arial" w:cs="Arial"/>
          <w:b/>
          <w:sz w:val="24"/>
          <w:szCs w:val="24"/>
        </w:rPr>
      </w:pPr>
    </w:p>
    <w:p w14:paraId="12BEF6AF" w14:textId="430A58D6" w:rsidR="007C4B61" w:rsidRDefault="007C4B61" w:rsidP="00C13F33">
      <w:pPr>
        <w:spacing w:line="276" w:lineRule="auto"/>
        <w:rPr>
          <w:rFonts w:ascii="Arial" w:hAnsi="Arial" w:cs="Arial"/>
          <w:b/>
          <w:sz w:val="24"/>
          <w:szCs w:val="24"/>
        </w:rPr>
      </w:pPr>
    </w:p>
    <w:p w14:paraId="7EFEEB98" w14:textId="14A12EF7" w:rsidR="007C4B61" w:rsidRDefault="007C4B61" w:rsidP="00C13F33">
      <w:pPr>
        <w:spacing w:line="276" w:lineRule="auto"/>
        <w:rPr>
          <w:rFonts w:ascii="Arial" w:hAnsi="Arial" w:cs="Arial"/>
          <w:b/>
          <w:sz w:val="24"/>
          <w:szCs w:val="24"/>
        </w:rPr>
      </w:pPr>
    </w:p>
    <w:p w14:paraId="0693803E" w14:textId="63AB7B13" w:rsidR="007C4B61" w:rsidRDefault="007C4B61" w:rsidP="00C13F33">
      <w:pPr>
        <w:spacing w:line="276" w:lineRule="auto"/>
        <w:rPr>
          <w:rFonts w:ascii="Arial" w:hAnsi="Arial" w:cs="Arial"/>
          <w:b/>
          <w:sz w:val="24"/>
          <w:szCs w:val="24"/>
        </w:rPr>
      </w:pPr>
    </w:p>
    <w:p w14:paraId="449D7CB7" w14:textId="68C65923" w:rsidR="007C4B61" w:rsidRDefault="007C4B61" w:rsidP="00C13F33">
      <w:pPr>
        <w:spacing w:line="276" w:lineRule="auto"/>
        <w:rPr>
          <w:rFonts w:ascii="Arial" w:hAnsi="Arial" w:cs="Arial"/>
          <w:b/>
          <w:sz w:val="24"/>
          <w:szCs w:val="24"/>
        </w:rPr>
      </w:pPr>
    </w:p>
    <w:p w14:paraId="1C5679B2" w14:textId="3C875D4F" w:rsidR="007C4B61" w:rsidRDefault="007C4B61" w:rsidP="00C13F33">
      <w:pPr>
        <w:spacing w:line="276" w:lineRule="auto"/>
        <w:rPr>
          <w:rFonts w:ascii="Arial" w:hAnsi="Arial" w:cs="Arial"/>
          <w:b/>
          <w:sz w:val="24"/>
          <w:szCs w:val="24"/>
        </w:rPr>
      </w:pPr>
    </w:p>
    <w:p w14:paraId="301369A8" w14:textId="73C91038" w:rsidR="007C4B61" w:rsidRDefault="007C4B61" w:rsidP="00C13F33">
      <w:pPr>
        <w:spacing w:line="276" w:lineRule="auto"/>
        <w:rPr>
          <w:rFonts w:ascii="Arial" w:hAnsi="Arial" w:cs="Arial"/>
          <w:b/>
          <w:sz w:val="24"/>
          <w:szCs w:val="24"/>
        </w:rPr>
      </w:pPr>
    </w:p>
    <w:p w14:paraId="03802B69" w14:textId="670E0062" w:rsidR="007C4B61" w:rsidRDefault="007C4B61" w:rsidP="00C13F33">
      <w:pPr>
        <w:spacing w:line="276" w:lineRule="auto"/>
        <w:rPr>
          <w:rFonts w:ascii="Arial" w:hAnsi="Arial" w:cs="Arial"/>
          <w:b/>
          <w:sz w:val="24"/>
          <w:szCs w:val="24"/>
        </w:rPr>
      </w:pPr>
    </w:p>
    <w:p w14:paraId="7426289C" w14:textId="77777777" w:rsidR="007C4B61" w:rsidRDefault="007C4B61" w:rsidP="00C13F33">
      <w:pPr>
        <w:spacing w:line="276" w:lineRule="auto"/>
        <w:rPr>
          <w:rFonts w:ascii="Arial" w:hAnsi="Arial" w:cs="Arial"/>
          <w:b/>
          <w:sz w:val="24"/>
          <w:szCs w:val="24"/>
        </w:rPr>
        <w:sectPr w:rsidR="007C4B61">
          <w:pgSz w:w="11906" w:h="16838"/>
          <w:pgMar w:top="1701" w:right="1440" w:bottom="1440" w:left="1440" w:header="851" w:footer="992" w:gutter="0"/>
          <w:cols w:space="425"/>
          <w:docGrid w:linePitch="360"/>
        </w:sectPr>
      </w:pPr>
    </w:p>
    <w:p w14:paraId="35781A0F" w14:textId="5C8C7B0F" w:rsidR="007C4B61" w:rsidRDefault="007C4B61" w:rsidP="00C13F33">
      <w:pPr>
        <w:spacing w:line="276" w:lineRule="auto"/>
        <w:rPr>
          <w:rFonts w:ascii="Arial" w:hAnsi="Arial" w:cs="Arial"/>
          <w:b/>
          <w:sz w:val="24"/>
          <w:szCs w:val="24"/>
        </w:rPr>
      </w:pPr>
      <w:r>
        <w:rPr>
          <w:rFonts w:ascii="Arial" w:hAnsi="Arial" w:cs="Arial"/>
          <w:b/>
          <w:noProof/>
          <w:sz w:val="24"/>
          <w:szCs w:val="24"/>
        </w:rPr>
        <w:lastRenderedPageBreak/>
        <w:drawing>
          <wp:inline distT="0" distB="0" distL="0" distR="0" wp14:anchorId="1459E3F1" wp14:editId="6B4609DC">
            <wp:extent cx="5731510" cy="2703902"/>
            <wp:effectExtent l="0" t="0" r="2540" b="1270"/>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1510" cy="2703902"/>
                    </a:xfrm>
                    <a:prstGeom prst="rect">
                      <a:avLst/>
                    </a:prstGeom>
                    <a:noFill/>
                    <a:ln>
                      <a:noFill/>
                    </a:ln>
                  </pic:spPr>
                </pic:pic>
              </a:graphicData>
            </a:graphic>
          </wp:inline>
        </w:drawing>
      </w:r>
    </w:p>
    <w:p w14:paraId="78F51A5B" w14:textId="2A8A5571" w:rsidR="007C4B61" w:rsidRPr="00DA6218" w:rsidRDefault="00FA4EF7" w:rsidP="00C13F33">
      <w:pPr>
        <w:spacing w:line="276" w:lineRule="auto"/>
        <w:rPr>
          <w:rFonts w:ascii="Times New Roman" w:hAnsi="Times New Roman" w:cs="Times New Roman"/>
          <w:b/>
          <w:sz w:val="24"/>
          <w:szCs w:val="24"/>
        </w:rPr>
      </w:pPr>
      <w:r>
        <w:rPr>
          <w:rFonts w:ascii="Times New Roman" w:hAnsi="Times New Roman" w:cs="Times New Roman" w:hint="eastAsia"/>
          <w:b/>
          <w:sz w:val="24"/>
          <w:szCs w:val="24"/>
        </w:rPr>
        <w:t>Figure</w:t>
      </w:r>
      <w:r w:rsidR="007C4B61">
        <w:rPr>
          <w:rFonts w:ascii="Times New Roman" w:hAnsi="Times New Roman" w:cs="Times New Roman"/>
          <w:b/>
          <w:sz w:val="24"/>
          <w:szCs w:val="24"/>
        </w:rPr>
        <w:t xml:space="preserve"> S11</w:t>
      </w:r>
      <w:r w:rsidR="00C13F33">
        <w:rPr>
          <w:rFonts w:ascii="Times New Roman" w:hAnsi="Times New Roman" w:cs="Times New Roman"/>
          <w:b/>
          <w:sz w:val="24"/>
          <w:szCs w:val="24"/>
        </w:rPr>
        <w:t xml:space="preserve"> </w:t>
      </w:r>
      <w:r w:rsidR="00C13F33" w:rsidRPr="0000162D">
        <w:rPr>
          <w:rFonts w:ascii="Times New Roman" w:hAnsi="Times New Roman" w:cs="Times New Roman"/>
          <w:bCs/>
          <w:sz w:val="24"/>
          <w:szCs w:val="24"/>
        </w:rPr>
        <w:t>List of primers related to autophagy.</w:t>
      </w:r>
      <w:r w:rsidR="00C13F33" w:rsidRPr="00ED7004">
        <w:rPr>
          <w:rFonts w:ascii="Times New Roman" w:hAnsi="Times New Roman" w:cs="Times New Roman"/>
          <w:b/>
          <w:bCs/>
          <w:sz w:val="24"/>
          <w:szCs w:val="24"/>
        </w:rPr>
        <w:t xml:space="preserve"> </w:t>
      </w:r>
      <w:r w:rsidR="00C13F33" w:rsidRPr="00ED7004">
        <w:rPr>
          <w:rFonts w:ascii="Times New Roman" w:hAnsi="Times New Roman" w:cs="Times New Roman"/>
          <w:bCs/>
          <w:sz w:val="24"/>
          <w:szCs w:val="24"/>
        </w:rPr>
        <w:t xml:space="preserve">NCBI database was used to </w:t>
      </w:r>
      <w:r w:rsidR="00C13F33" w:rsidRPr="00D42149">
        <w:rPr>
          <w:rFonts w:ascii="Times New Roman" w:hAnsi="Times New Roman" w:cs="Times New Roman"/>
          <w:bCs/>
          <w:sz w:val="24"/>
          <w:szCs w:val="24"/>
        </w:rPr>
        <w:t>design the primers, and beclin-1, LC3-α, LC3-β, p62, STX17, ATG5, and 18S were chosen from relevant references.</w:t>
      </w:r>
    </w:p>
    <w:p w14:paraId="3A9D1DFC" w14:textId="389427E3" w:rsidR="007C4B61" w:rsidRDefault="007C4B61" w:rsidP="00C13F33">
      <w:pPr>
        <w:spacing w:line="276" w:lineRule="auto"/>
        <w:rPr>
          <w:rFonts w:ascii="Arial" w:hAnsi="Arial" w:cs="Arial"/>
          <w:b/>
          <w:sz w:val="24"/>
          <w:szCs w:val="24"/>
        </w:rPr>
      </w:pPr>
    </w:p>
    <w:p w14:paraId="110CB600" w14:textId="1FB4187B" w:rsidR="007C4B61" w:rsidRDefault="007C4B61" w:rsidP="00C13F33">
      <w:pPr>
        <w:spacing w:line="276" w:lineRule="auto"/>
        <w:rPr>
          <w:rFonts w:ascii="Arial" w:hAnsi="Arial" w:cs="Arial"/>
          <w:b/>
          <w:sz w:val="24"/>
          <w:szCs w:val="24"/>
        </w:rPr>
      </w:pPr>
      <w:r>
        <w:rPr>
          <w:rFonts w:ascii="Arial" w:hAnsi="Arial" w:cs="Arial"/>
          <w:b/>
          <w:noProof/>
          <w:sz w:val="24"/>
          <w:szCs w:val="24"/>
        </w:rPr>
        <w:drawing>
          <wp:inline distT="0" distB="0" distL="0" distR="0" wp14:anchorId="5B1BEFD0" wp14:editId="59CBE331">
            <wp:extent cx="5727700" cy="2381250"/>
            <wp:effectExtent l="0" t="0" r="6350" b="0"/>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27700" cy="2381250"/>
                    </a:xfrm>
                    <a:prstGeom prst="rect">
                      <a:avLst/>
                    </a:prstGeom>
                    <a:noFill/>
                    <a:ln>
                      <a:noFill/>
                    </a:ln>
                  </pic:spPr>
                </pic:pic>
              </a:graphicData>
            </a:graphic>
          </wp:inline>
        </w:drawing>
      </w:r>
    </w:p>
    <w:p w14:paraId="7E2CCA99" w14:textId="53397F8F" w:rsidR="00C13F33" w:rsidRPr="00D42149" w:rsidRDefault="00FA4EF7" w:rsidP="00C13F33">
      <w:pPr>
        <w:spacing w:line="276" w:lineRule="auto"/>
        <w:rPr>
          <w:rFonts w:ascii="Times New Roman" w:hAnsi="Times New Roman" w:cs="Times New Roman"/>
          <w:b/>
          <w:bCs/>
          <w:sz w:val="24"/>
          <w:szCs w:val="24"/>
        </w:rPr>
      </w:pPr>
      <w:r>
        <w:rPr>
          <w:rFonts w:ascii="Times New Roman" w:hAnsi="Times New Roman" w:cs="Times New Roman" w:hint="eastAsia"/>
          <w:b/>
          <w:sz w:val="24"/>
          <w:szCs w:val="24"/>
        </w:rPr>
        <w:t>Figure</w:t>
      </w:r>
      <w:r w:rsidR="007C4B61" w:rsidRPr="00007491">
        <w:rPr>
          <w:rFonts w:ascii="Times New Roman" w:hAnsi="Times New Roman" w:cs="Times New Roman"/>
          <w:b/>
          <w:sz w:val="24"/>
          <w:szCs w:val="24"/>
        </w:rPr>
        <w:t xml:space="preserve"> S12</w:t>
      </w:r>
      <w:r w:rsidR="00C13F33" w:rsidRPr="00007491">
        <w:rPr>
          <w:rFonts w:ascii="Times New Roman" w:hAnsi="Times New Roman" w:cs="Times New Roman"/>
          <w:b/>
          <w:sz w:val="24"/>
          <w:szCs w:val="24"/>
        </w:rPr>
        <w:t xml:space="preserve"> </w:t>
      </w:r>
      <w:r w:rsidR="00C13F33" w:rsidRPr="00007491">
        <w:rPr>
          <w:rFonts w:ascii="Times New Roman" w:hAnsi="Times New Roman" w:cs="Times New Roman"/>
          <w:bCs/>
          <w:sz w:val="24"/>
          <w:szCs w:val="24"/>
        </w:rPr>
        <w:t xml:space="preserve">Diameter of MSC-derived “PCS + exosomes” after </w:t>
      </w:r>
      <w:proofErr w:type="spellStart"/>
      <w:r w:rsidR="00C13F33" w:rsidRPr="00007491">
        <w:rPr>
          <w:rFonts w:ascii="Times New Roman" w:hAnsi="Times New Roman" w:cs="Times New Roman"/>
          <w:bCs/>
          <w:sz w:val="24"/>
          <w:szCs w:val="24"/>
        </w:rPr>
        <w:t>magnetofection</w:t>
      </w:r>
      <w:proofErr w:type="spellEnd"/>
      <w:r w:rsidR="00C13F33" w:rsidRPr="00007491">
        <w:rPr>
          <w:rFonts w:ascii="Times New Roman" w:hAnsi="Times New Roman" w:cs="Times New Roman"/>
          <w:bCs/>
          <w:sz w:val="24"/>
          <w:szCs w:val="24"/>
        </w:rPr>
        <w:t>. The particles size at 1 h were 113.13, 104.78, 115.73, 138.1, 116.21, 110.39, 136.86, 126.72, 102.01 nm, and the average was 118.21 ± 13.02 nm. The particle sizes at 24 h were 77.38, 58.06, 141.14, 68.06, 100.48, 104.87, 85.36, 141.14 nm, and the average was 97.06 ± 31.27 nm.</w:t>
      </w:r>
    </w:p>
    <w:p w14:paraId="53931A02" w14:textId="77777777" w:rsidR="007C4B61" w:rsidRPr="007C4B61" w:rsidRDefault="007C4B61" w:rsidP="00C13F33">
      <w:pPr>
        <w:spacing w:line="276" w:lineRule="auto"/>
        <w:rPr>
          <w:rFonts w:ascii="Times New Roman" w:hAnsi="Times New Roman" w:cs="Times New Roman"/>
          <w:b/>
          <w:sz w:val="24"/>
          <w:szCs w:val="24"/>
        </w:rPr>
      </w:pPr>
    </w:p>
    <w:p w14:paraId="4EFE7D00" w14:textId="140E3C96" w:rsidR="003513AA" w:rsidRPr="007C4B61" w:rsidRDefault="003513AA" w:rsidP="00C13F33">
      <w:pPr>
        <w:spacing w:line="276" w:lineRule="auto"/>
        <w:rPr>
          <w:rFonts w:ascii="Times New Roman" w:hAnsi="Times New Roman" w:cs="Times New Roman"/>
          <w:b/>
          <w:sz w:val="24"/>
          <w:szCs w:val="24"/>
        </w:rPr>
      </w:pPr>
    </w:p>
    <w:p w14:paraId="40B68E2C" w14:textId="3678F671" w:rsidR="003513AA" w:rsidRPr="007C4B61" w:rsidRDefault="003513AA" w:rsidP="00C13F33">
      <w:pPr>
        <w:spacing w:line="276" w:lineRule="auto"/>
        <w:rPr>
          <w:rFonts w:ascii="Times New Roman" w:hAnsi="Times New Roman" w:cs="Times New Roman"/>
          <w:b/>
          <w:sz w:val="24"/>
          <w:szCs w:val="24"/>
        </w:rPr>
      </w:pPr>
    </w:p>
    <w:p w14:paraId="59931954" w14:textId="7B3F81E8" w:rsidR="003513AA" w:rsidRPr="007C4B61" w:rsidRDefault="003513AA" w:rsidP="00C13F33">
      <w:pPr>
        <w:spacing w:line="276" w:lineRule="auto"/>
        <w:rPr>
          <w:rFonts w:ascii="Times New Roman" w:hAnsi="Times New Roman" w:cs="Times New Roman"/>
          <w:b/>
          <w:sz w:val="24"/>
          <w:szCs w:val="24"/>
        </w:rPr>
      </w:pPr>
    </w:p>
    <w:p w14:paraId="1162D327" w14:textId="77777777" w:rsidR="007C4B61" w:rsidRPr="007C4B61" w:rsidRDefault="007C4B61" w:rsidP="00C13F33">
      <w:pPr>
        <w:spacing w:line="276" w:lineRule="auto"/>
        <w:rPr>
          <w:rFonts w:ascii="Times New Roman" w:hAnsi="Times New Roman" w:cs="Times New Roman"/>
          <w:b/>
          <w:sz w:val="24"/>
          <w:szCs w:val="24"/>
        </w:rPr>
        <w:sectPr w:rsidR="007C4B61" w:rsidRPr="007C4B61">
          <w:pgSz w:w="11906" w:h="16838"/>
          <w:pgMar w:top="1701" w:right="1440" w:bottom="1440" w:left="1440" w:header="851" w:footer="992" w:gutter="0"/>
          <w:cols w:space="425"/>
          <w:docGrid w:linePitch="360"/>
        </w:sectPr>
      </w:pPr>
    </w:p>
    <w:p w14:paraId="48DE0A93" w14:textId="0E12AC66" w:rsidR="003513AA" w:rsidRPr="007C4B61" w:rsidRDefault="007C4B61" w:rsidP="00C13F33">
      <w:pPr>
        <w:spacing w:line="276" w:lineRule="auto"/>
        <w:rPr>
          <w:rFonts w:ascii="Times New Roman" w:hAnsi="Times New Roman" w:cs="Times New Roman"/>
          <w:b/>
          <w:sz w:val="24"/>
          <w:szCs w:val="24"/>
        </w:rPr>
      </w:pPr>
      <w:r w:rsidRPr="007C4B61">
        <w:rPr>
          <w:rFonts w:ascii="Times New Roman" w:hAnsi="Times New Roman" w:cs="Times New Roman"/>
          <w:b/>
          <w:sz w:val="24"/>
          <w:szCs w:val="24"/>
        </w:rPr>
        <w:lastRenderedPageBreak/>
        <w:t>References</w:t>
      </w:r>
    </w:p>
    <w:p w14:paraId="7DCE3EEC" w14:textId="52F2F63F" w:rsidR="00A81462" w:rsidRDefault="00700D21" w:rsidP="00801870">
      <w:pPr>
        <w:pStyle w:val="EndNoteBibliography"/>
        <w:spacing w:after="0"/>
        <w:ind w:left="426" w:hanging="426"/>
      </w:pPr>
      <w:r>
        <w:t xml:space="preserve">[1] </w:t>
      </w:r>
      <w:r w:rsidR="00A81462" w:rsidRPr="00F342BD">
        <w:t xml:space="preserve">F. Danhier, E. Ansorena, J.M. Silva, R. Coco, A. Le Breton, V. Preat, PLGA-based nanoparticles: an overview of biomedical applications, J. Control. Release. 161 (2012) 505-522. </w:t>
      </w:r>
      <w:hyperlink r:id="rId20" w:history="1">
        <w:r w:rsidR="00A81462" w:rsidRPr="00F342BD">
          <w:rPr>
            <w:rStyle w:val="a4"/>
          </w:rPr>
          <w:t>https://doi.org/10.1016/j.jconrel.2012.01.043</w:t>
        </w:r>
      </w:hyperlink>
      <w:r w:rsidR="00A81462" w:rsidRPr="00F342BD">
        <w:t>.</w:t>
      </w:r>
    </w:p>
    <w:p w14:paraId="67FDEDE6" w14:textId="014E8ED7" w:rsidR="002112E8" w:rsidRDefault="00700D21" w:rsidP="00315317">
      <w:pPr>
        <w:pStyle w:val="EndNoteBibliography"/>
        <w:spacing w:after="0"/>
        <w:ind w:left="440" w:hanging="440"/>
      </w:pPr>
      <w:r>
        <w:t>[2]</w:t>
      </w:r>
      <w:r w:rsidR="00315317">
        <w:t xml:space="preserve"> </w:t>
      </w:r>
      <w:r w:rsidR="002112E8" w:rsidRPr="002112E8">
        <w:t>A. E.</w:t>
      </w:r>
      <w:r w:rsidR="002112E8">
        <w:t xml:space="preserve"> </w:t>
      </w:r>
      <w:r w:rsidR="002112E8" w:rsidRPr="002112E8">
        <w:t>Bashar, A.Metcalfe, A.Yanai, C.</w:t>
      </w:r>
      <w:r w:rsidR="002112E8">
        <w:t xml:space="preserve"> </w:t>
      </w:r>
      <w:r w:rsidR="002112E8" w:rsidRPr="002112E8">
        <w:t xml:space="preserve">Laver, </w:t>
      </w:r>
      <w:r w:rsidR="002112E8">
        <w:t>U.</w:t>
      </w:r>
      <w:r w:rsidR="002112E8" w:rsidRPr="002112E8">
        <w:t>O.</w:t>
      </w:r>
      <w:r w:rsidR="002112E8">
        <w:t xml:space="preserve"> </w:t>
      </w:r>
      <w:r w:rsidR="002112E8" w:rsidRPr="002112E8">
        <w:t xml:space="preserve">Hafeli, </w:t>
      </w:r>
      <w:r w:rsidR="002112E8">
        <w:t xml:space="preserve">C.Y. </w:t>
      </w:r>
      <w:r w:rsidR="002112E8" w:rsidRPr="002112E8">
        <w:t>Gregory-Evans,</w:t>
      </w:r>
      <w:r w:rsidR="002112E8">
        <w:t xml:space="preserve"> et al., </w:t>
      </w:r>
      <w:r w:rsidR="002112E8" w:rsidRPr="002112E8">
        <w:t>Influence of iron oxide nanoparticles on innate and genetically modified secretion pro</w:t>
      </w:r>
      <w:r w:rsidR="002112E8">
        <w:t>files of mesenchymal stem cells,</w:t>
      </w:r>
      <w:r w:rsidR="002112E8" w:rsidRPr="002112E8">
        <w:t xml:space="preserve"> IEEE Trans. Magn.</w:t>
      </w:r>
      <w:r w:rsidR="002112E8">
        <w:t xml:space="preserve"> 49(1) (2012)</w:t>
      </w:r>
      <w:r w:rsidR="002112E8" w:rsidRPr="002112E8">
        <w:t xml:space="preserve"> 389-393.</w:t>
      </w:r>
    </w:p>
    <w:p w14:paraId="3DCA7452" w14:textId="18A2775F" w:rsidR="00E05D6D" w:rsidRDefault="00FD766C" w:rsidP="00E05D6D">
      <w:pPr>
        <w:pStyle w:val="EndNoteBibliography"/>
        <w:spacing w:after="0"/>
        <w:ind w:firstLineChars="200" w:firstLine="480"/>
      </w:pPr>
      <w:hyperlink r:id="rId21" w:history="1">
        <w:r w:rsidR="00E05D6D" w:rsidRPr="00A42060">
          <w:rPr>
            <w:rStyle w:val="a4"/>
          </w:rPr>
          <w:t>https://doi.org/10.1109/TMAG.2012.2225829</w:t>
        </w:r>
      </w:hyperlink>
    </w:p>
    <w:p w14:paraId="10CAC0FC" w14:textId="4E973F7B" w:rsidR="002112E8" w:rsidRDefault="00700D21" w:rsidP="00007491">
      <w:pPr>
        <w:pStyle w:val="EndNoteBibliography"/>
        <w:spacing w:after="0"/>
        <w:ind w:left="440" w:hanging="440"/>
      </w:pPr>
      <w:r>
        <w:t>[3]</w:t>
      </w:r>
      <w:r w:rsidR="002112E8" w:rsidRPr="002112E8">
        <w:t xml:space="preserve"> A.</w:t>
      </w:r>
      <w:r w:rsidR="002112E8">
        <w:t xml:space="preserve"> </w:t>
      </w:r>
      <w:r w:rsidR="002112E8" w:rsidRPr="002112E8">
        <w:t>Aires, D.</w:t>
      </w:r>
      <w:r w:rsidR="002112E8">
        <w:t xml:space="preserve"> </w:t>
      </w:r>
      <w:r w:rsidR="002112E8" w:rsidRPr="002112E8">
        <w:t xml:space="preserve">Cabrera, </w:t>
      </w:r>
      <w:r w:rsidR="002112E8">
        <w:t>L.</w:t>
      </w:r>
      <w:r w:rsidR="002112E8" w:rsidRPr="002112E8">
        <w:t>C.</w:t>
      </w:r>
      <w:r w:rsidR="002112E8">
        <w:t xml:space="preserve"> </w:t>
      </w:r>
      <w:r w:rsidR="002112E8" w:rsidRPr="002112E8">
        <w:t xml:space="preserve">Alonso‐Pardo, </w:t>
      </w:r>
      <w:r w:rsidR="002112E8">
        <w:t>A.</w:t>
      </w:r>
      <w:r w:rsidR="002112E8" w:rsidRPr="002112E8">
        <w:t>L.</w:t>
      </w:r>
      <w:r w:rsidR="002112E8">
        <w:t xml:space="preserve"> </w:t>
      </w:r>
      <w:r w:rsidR="002112E8" w:rsidRPr="002112E8">
        <w:t>Cortajarena, F.J. Teran, Elucidation of the physicochemical properties ruling the colloidal stability of iron oxide nanoparticles under physiologica</w:t>
      </w:r>
      <w:r w:rsidR="00073063">
        <w:t xml:space="preserve">l conditions, </w:t>
      </w:r>
      <w:r w:rsidR="00073063" w:rsidRPr="00073063">
        <w:t xml:space="preserve">Chem. Nano. Mat. </w:t>
      </w:r>
      <w:r w:rsidR="00073063">
        <w:t>3(3)</w:t>
      </w:r>
      <w:r w:rsidR="002112E8" w:rsidRPr="002112E8">
        <w:t xml:space="preserve"> </w:t>
      </w:r>
      <w:r w:rsidR="00073063">
        <w:t xml:space="preserve">(2017) </w:t>
      </w:r>
      <w:r w:rsidR="002112E8" w:rsidRPr="002112E8">
        <w:t>183-189.</w:t>
      </w:r>
    </w:p>
    <w:p w14:paraId="1B6B3BB6" w14:textId="49360B9A" w:rsidR="00E05D6D" w:rsidRDefault="00FD766C" w:rsidP="00E05D6D">
      <w:pPr>
        <w:pStyle w:val="EndNoteBibliography"/>
        <w:spacing w:after="0"/>
        <w:ind w:leftChars="50" w:left="100" w:firstLineChars="150" w:firstLine="360"/>
      </w:pPr>
      <w:hyperlink r:id="rId22" w:history="1">
        <w:r w:rsidR="00E05D6D" w:rsidRPr="00A42060">
          <w:rPr>
            <w:rStyle w:val="a4"/>
          </w:rPr>
          <w:t>https://doi.org/10.1002/cnma.201600333</w:t>
        </w:r>
      </w:hyperlink>
    </w:p>
    <w:p w14:paraId="7E94F3E4" w14:textId="6481D260" w:rsidR="002112E8" w:rsidRDefault="00DF6B22" w:rsidP="00DD0084">
      <w:pPr>
        <w:pStyle w:val="EndNoteBibliography"/>
        <w:spacing w:after="0"/>
        <w:ind w:left="440" w:hanging="440"/>
      </w:pPr>
      <w:r>
        <w:t>[4</w:t>
      </w:r>
      <w:r w:rsidR="00700D21">
        <w:t xml:space="preserve">] </w:t>
      </w:r>
      <w:r w:rsidR="00073063" w:rsidRPr="002112E8">
        <w:t>X.</w:t>
      </w:r>
      <w:r w:rsidR="00073063">
        <w:t xml:space="preserve"> Jiang,</w:t>
      </w:r>
      <w:r w:rsidR="002112E8" w:rsidRPr="002112E8">
        <w:t xml:space="preserve"> </w:t>
      </w:r>
      <w:r w:rsidR="00073063" w:rsidRPr="002112E8">
        <w:t>A.</w:t>
      </w:r>
      <w:r w:rsidR="00073063">
        <w:t xml:space="preserve"> </w:t>
      </w:r>
      <w:r w:rsidR="002112E8" w:rsidRPr="002112E8">
        <w:t xml:space="preserve">Musyanovych, </w:t>
      </w:r>
      <w:r w:rsidR="00073063" w:rsidRPr="002112E8">
        <w:t>C.</w:t>
      </w:r>
      <w:r w:rsidR="00073063">
        <w:t xml:space="preserve"> </w:t>
      </w:r>
      <w:r w:rsidR="002112E8" w:rsidRPr="002112E8">
        <w:t xml:space="preserve">Röcker, </w:t>
      </w:r>
      <w:r w:rsidR="00073063" w:rsidRPr="002112E8">
        <w:t>K.</w:t>
      </w:r>
      <w:r w:rsidR="00073063">
        <w:t xml:space="preserve"> </w:t>
      </w:r>
      <w:r w:rsidR="002112E8" w:rsidRPr="002112E8">
        <w:t>Landfester,</w:t>
      </w:r>
      <w:r w:rsidR="00073063">
        <w:t xml:space="preserve"> </w:t>
      </w:r>
      <w:r w:rsidR="00073063" w:rsidRPr="002112E8">
        <w:t>V.</w:t>
      </w:r>
      <w:r w:rsidR="00073063">
        <w:t xml:space="preserve"> </w:t>
      </w:r>
      <w:r w:rsidR="002112E8" w:rsidRPr="002112E8">
        <w:t xml:space="preserve">Mailänder, </w:t>
      </w:r>
      <w:r w:rsidR="00073063" w:rsidRPr="002112E8">
        <w:t xml:space="preserve">G.U. </w:t>
      </w:r>
      <w:r w:rsidR="002112E8" w:rsidRPr="002112E8">
        <w:t>Nienhaus, Specific effects of surface carboxyl groups on anionic polystyrene particles in their interactions with mesenchym</w:t>
      </w:r>
      <w:r w:rsidR="00073063">
        <w:t xml:space="preserve">al stem cells, Nanoscale, 3(5) (2011) </w:t>
      </w:r>
      <w:r w:rsidR="002112E8" w:rsidRPr="002112E8">
        <w:t>2028-2035.</w:t>
      </w:r>
    </w:p>
    <w:p w14:paraId="6370A5F5" w14:textId="4458B151" w:rsidR="00E05D6D" w:rsidRDefault="00FD766C" w:rsidP="00371D32">
      <w:pPr>
        <w:pStyle w:val="EndNoteBibliography"/>
        <w:spacing w:after="0"/>
        <w:ind w:leftChars="100" w:left="200" w:firstLineChars="100" w:firstLine="240"/>
      </w:pPr>
      <w:hyperlink r:id="rId23" w:history="1">
        <w:r w:rsidR="00371D32" w:rsidRPr="00180961">
          <w:rPr>
            <w:rStyle w:val="a4"/>
          </w:rPr>
          <w:t>https://doi.org/10.1039/c0nr00944j</w:t>
        </w:r>
      </w:hyperlink>
    </w:p>
    <w:p w14:paraId="43300590" w14:textId="067A2898" w:rsidR="002112E8" w:rsidRDefault="00700D21" w:rsidP="00007491">
      <w:pPr>
        <w:pStyle w:val="EndNoteBibliography"/>
        <w:spacing w:after="0"/>
        <w:ind w:left="440" w:hanging="440"/>
      </w:pPr>
      <w:r>
        <w:t>[</w:t>
      </w:r>
      <w:r w:rsidR="00DF6B22">
        <w:t>5</w:t>
      </w:r>
      <w:r>
        <w:t>]</w:t>
      </w:r>
      <w:r w:rsidR="00007491" w:rsidRPr="002E500A">
        <w:tab/>
      </w:r>
      <w:r w:rsidR="00073063" w:rsidRPr="002112E8">
        <w:t>J.</w:t>
      </w:r>
      <w:r w:rsidR="00073063">
        <w:t xml:space="preserve"> </w:t>
      </w:r>
      <w:r w:rsidR="002112E8" w:rsidRPr="002112E8">
        <w:t xml:space="preserve">Gu, </w:t>
      </w:r>
      <w:r w:rsidR="00073063" w:rsidRPr="002112E8">
        <w:t>H.</w:t>
      </w:r>
      <w:r w:rsidR="00073063">
        <w:t xml:space="preserve"> </w:t>
      </w:r>
      <w:r w:rsidR="002112E8" w:rsidRPr="002112E8">
        <w:t xml:space="preserve">Xu, </w:t>
      </w:r>
      <w:r w:rsidR="00073063" w:rsidRPr="002112E8">
        <w:t>Y.</w:t>
      </w:r>
      <w:r w:rsidR="00073063">
        <w:t xml:space="preserve"> </w:t>
      </w:r>
      <w:r w:rsidR="002112E8" w:rsidRPr="002112E8">
        <w:t>Han,</w:t>
      </w:r>
      <w:r w:rsidR="00073063">
        <w:t xml:space="preserve"> </w:t>
      </w:r>
      <w:r w:rsidR="00073063" w:rsidRPr="002112E8">
        <w:t>W.</w:t>
      </w:r>
      <w:r w:rsidR="00073063">
        <w:t xml:space="preserve"> </w:t>
      </w:r>
      <w:r w:rsidR="002112E8" w:rsidRPr="002112E8">
        <w:t xml:space="preserve">Dai, </w:t>
      </w:r>
      <w:r w:rsidR="00073063" w:rsidRPr="002112E8">
        <w:t>W.</w:t>
      </w:r>
      <w:r w:rsidR="00073063">
        <w:t xml:space="preserve"> </w:t>
      </w:r>
      <w:r w:rsidR="002112E8" w:rsidRPr="002112E8">
        <w:t xml:space="preserve">Hao, </w:t>
      </w:r>
      <w:r w:rsidR="00073063" w:rsidRPr="002112E8">
        <w:t>C.</w:t>
      </w:r>
      <w:r w:rsidR="00073063">
        <w:t xml:space="preserve"> </w:t>
      </w:r>
      <w:r w:rsidR="002112E8" w:rsidRPr="002112E8">
        <w:t>Wang,</w:t>
      </w:r>
      <w:r w:rsidR="00073063">
        <w:t xml:space="preserve"> et al.,</w:t>
      </w:r>
      <w:r w:rsidR="002112E8" w:rsidRPr="002112E8">
        <w:t xml:space="preserve"> The internalization pathway, metabolic fate and biological effect of superparamagnetic iron oxide nanoparticles in the</w:t>
      </w:r>
      <w:r w:rsidR="00073063">
        <w:t xml:space="preserve"> macrophage-like RAW264. 7 cell,</w:t>
      </w:r>
      <w:r w:rsidR="002112E8" w:rsidRPr="002112E8">
        <w:t xml:space="preserve"> Science China Life Sciences, 54(9)</w:t>
      </w:r>
      <w:r w:rsidR="00073063">
        <w:t xml:space="preserve"> </w:t>
      </w:r>
      <w:r w:rsidR="00073063" w:rsidRPr="002112E8">
        <w:t>(2011</w:t>
      </w:r>
      <w:r w:rsidR="00073063">
        <w:t>)</w:t>
      </w:r>
      <w:r w:rsidR="002112E8" w:rsidRPr="002112E8">
        <w:t xml:space="preserve"> 793-805.</w:t>
      </w:r>
    </w:p>
    <w:p w14:paraId="1773F97B" w14:textId="7E40D828" w:rsidR="00E05D6D" w:rsidRDefault="00FD766C" w:rsidP="00371D32">
      <w:pPr>
        <w:pStyle w:val="EndNoteBibliography"/>
        <w:spacing w:after="0"/>
        <w:ind w:leftChars="100" w:left="200" w:firstLineChars="100" w:firstLine="240"/>
      </w:pPr>
      <w:hyperlink r:id="rId24" w:history="1">
        <w:r w:rsidR="00371D32" w:rsidRPr="00180961">
          <w:rPr>
            <w:rStyle w:val="a4"/>
          </w:rPr>
          <w:t>https://doi.org/10.1007/s11427-011-4215-5</w:t>
        </w:r>
      </w:hyperlink>
    </w:p>
    <w:p w14:paraId="2705B2FA" w14:textId="062F2D1F" w:rsidR="00073063" w:rsidRDefault="00700D21" w:rsidP="00073063">
      <w:pPr>
        <w:pStyle w:val="EndNoteBibliography"/>
        <w:spacing w:after="0"/>
        <w:ind w:left="440" w:hanging="440"/>
      </w:pPr>
      <w:r>
        <w:t>[</w:t>
      </w:r>
      <w:r w:rsidR="00DF6B22">
        <w:t>6</w:t>
      </w:r>
      <w:r>
        <w:t>]</w:t>
      </w:r>
      <w:r w:rsidR="00007491" w:rsidRPr="002E500A">
        <w:tab/>
      </w:r>
      <w:r w:rsidR="00073063" w:rsidRPr="002112E8">
        <w:t>V.</w:t>
      </w:r>
      <w:r w:rsidR="00073063">
        <w:t xml:space="preserve"> </w:t>
      </w:r>
      <w:r w:rsidR="002112E8" w:rsidRPr="002112E8">
        <w:t>Diana,</w:t>
      </w:r>
      <w:r w:rsidR="00073063">
        <w:t xml:space="preserve"> </w:t>
      </w:r>
      <w:r w:rsidR="00073063" w:rsidRPr="002112E8">
        <w:t>P.</w:t>
      </w:r>
      <w:r w:rsidR="00073063">
        <w:t xml:space="preserve"> </w:t>
      </w:r>
      <w:r w:rsidR="002112E8" w:rsidRPr="002112E8">
        <w:t>Bossolasco,</w:t>
      </w:r>
      <w:r w:rsidR="00073063">
        <w:t xml:space="preserve"> </w:t>
      </w:r>
      <w:r w:rsidR="00073063" w:rsidRPr="002112E8">
        <w:t>D.</w:t>
      </w:r>
      <w:r w:rsidR="00073063">
        <w:t xml:space="preserve"> Moscatelli,</w:t>
      </w:r>
      <w:r w:rsidR="002112E8" w:rsidRPr="002112E8">
        <w:t xml:space="preserve"> </w:t>
      </w:r>
      <w:r w:rsidR="00073063" w:rsidRPr="002112E8">
        <w:t>V.</w:t>
      </w:r>
      <w:r w:rsidR="00073063">
        <w:t xml:space="preserve"> </w:t>
      </w:r>
      <w:r w:rsidR="002112E8" w:rsidRPr="002112E8">
        <w:t xml:space="preserve">Silani, </w:t>
      </w:r>
      <w:r w:rsidR="00073063" w:rsidRPr="002112E8">
        <w:t>L.</w:t>
      </w:r>
      <w:r w:rsidR="002112E8" w:rsidRPr="002112E8">
        <w:t xml:space="preserve"> Cova, Dose dependent side effect of superparamagnetic iron oxide nanoparticle labeling on cell motility in two fetal stem cell populations</w:t>
      </w:r>
      <w:r w:rsidR="00073063">
        <w:t>, PLoS One.</w:t>
      </w:r>
      <w:r w:rsidR="002112E8" w:rsidRPr="002112E8">
        <w:t xml:space="preserve"> 8(11)</w:t>
      </w:r>
      <w:r w:rsidR="00073063">
        <w:t xml:space="preserve"> (2013)</w:t>
      </w:r>
      <w:r w:rsidR="00073063" w:rsidRPr="00073063">
        <w:t xml:space="preserve"> </w:t>
      </w:r>
      <w:r w:rsidR="00073063" w:rsidRPr="002E500A">
        <w:t>e78435.</w:t>
      </w:r>
    </w:p>
    <w:p w14:paraId="5AE2BE06" w14:textId="62046A92" w:rsidR="00B55867" w:rsidRDefault="00FD766C" w:rsidP="00371D32">
      <w:pPr>
        <w:pStyle w:val="EndNoteBibliography"/>
        <w:spacing w:after="0"/>
        <w:ind w:leftChars="100" w:left="200" w:firstLineChars="100" w:firstLine="240"/>
      </w:pPr>
      <w:hyperlink r:id="rId25" w:history="1">
        <w:r w:rsidR="00371D32" w:rsidRPr="00180961">
          <w:rPr>
            <w:rStyle w:val="a4"/>
          </w:rPr>
          <w:t>https://doi.org/10.1371/journal.pone.0078435</w:t>
        </w:r>
      </w:hyperlink>
    </w:p>
    <w:p w14:paraId="58A6AE00" w14:textId="77777777" w:rsidR="00B55867" w:rsidRPr="002E500A" w:rsidRDefault="00B55867" w:rsidP="00073063">
      <w:pPr>
        <w:pStyle w:val="EndNoteBibliography"/>
        <w:spacing w:after="0"/>
        <w:ind w:left="440" w:hanging="440"/>
      </w:pPr>
    </w:p>
    <w:p w14:paraId="1260C891" w14:textId="6E1F6E99" w:rsidR="00B55867" w:rsidRDefault="00700D21" w:rsidP="00801870">
      <w:pPr>
        <w:pStyle w:val="EndNoteBibliography"/>
        <w:spacing w:after="0"/>
        <w:ind w:left="440" w:hanging="440"/>
      </w:pPr>
      <w:r>
        <w:lastRenderedPageBreak/>
        <w:t>[</w:t>
      </w:r>
      <w:r w:rsidR="00DF6B22">
        <w:t>7</w:t>
      </w:r>
      <w:r>
        <w:t>]</w:t>
      </w:r>
      <w:r w:rsidR="005A529D">
        <w:t xml:space="preserve"> </w:t>
      </w:r>
      <w:r w:rsidR="00073063">
        <w:t>G.</w:t>
      </w:r>
      <w:r w:rsidR="00073063" w:rsidRPr="002112E8">
        <w:t>T.</w:t>
      </w:r>
      <w:r w:rsidR="00073063">
        <w:t xml:space="preserve"> Noutsios, </w:t>
      </w:r>
      <w:r w:rsidR="00073063" w:rsidRPr="002112E8">
        <w:t>N.</w:t>
      </w:r>
      <w:r w:rsidR="00073063">
        <w:t xml:space="preserve"> </w:t>
      </w:r>
      <w:r w:rsidR="002112E8" w:rsidRPr="002112E8">
        <w:t xml:space="preserve">Thorenoor, </w:t>
      </w:r>
      <w:r w:rsidR="00073063" w:rsidRPr="002112E8">
        <w:t>X.</w:t>
      </w:r>
      <w:r w:rsidR="00073063">
        <w:t xml:space="preserve"> </w:t>
      </w:r>
      <w:r w:rsidR="002112E8" w:rsidRPr="002112E8">
        <w:t xml:space="preserve">Zhang, </w:t>
      </w:r>
      <w:r w:rsidR="00073063">
        <w:t>D.</w:t>
      </w:r>
      <w:r w:rsidR="00073063" w:rsidRPr="002112E8">
        <w:t>S.</w:t>
      </w:r>
      <w:r w:rsidR="00073063">
        <w:t xml:space="preserve"> </w:t>
      </w:r>
      <w:r w:rsidR="002112E8" w:rsidRPr="002112E8">
        <w:t xml:space="preserve">Phelps, </w:t>
      </w:r>
      <w:r w:rsidR="00073063">
        <w:t>T.</w:t>
      </w:r>
      <w:r w:rsidR="00073063" w:rsidRPr="002112E8">
        <w:t>M</w:t>
      </w:r>
      <w:r w:rsidR="00073063">
        <w:t xml:space="preserve">. </w:t>
      </w:r>
      <w:r w:rsidR="002112E8" w:rsidRPr="002112E8">
        <w:t xml:space="preserve">Umstead, </w:t>
      </w:r>
      <w:r w:rsidR="00073063" w:rsidRPr="002112E8">
        <w:t>F.</w:t>
      </w:r>
      <w:r w:rsidR="00073063">
        <w:t xml:space="preserve"> </w:t>
      </w:r>
      <w:r w:rsidR="002112E8" w:rsidRPr="002112E8">
        <w:t>Durrani</w:t>
      </w:r>
      <w:r w:rsidR="00073063">
        <w:t>,</w:t>
      </w:r>
      <w:r w:rsidR="002112E8" w:rsidRPr="002112E8">
        <w:t xml:space="preserve"> </w:t>
      </w:r>
      <w:r w:rsidR="00073063" w:rsidRPr="002112E8">
        <w:t>J.</w:t>
      </w:r>
      <w:r w:rsidR="00073063">
        <w:t xml:space="preserve"> </w:t>
      </w:r>
      <w:r w:rsidR="002112E8" w:rsidRPr="002112E8">
        <w:t>Floros, SP-A2 contributes to miRNA-mediated sex differences in response to oxidative stress: pro-inflammatory, anti-apoptotic, and ant</w:t>
      </w:r>
      <w:r w:rsidR="00073063">
        <w:t>i-oxidant pathways are involved,</w:t>
      </w:r>
      <w:r w:rsidR="002112E8" w:rsidRPr="002112E8">
        <w:t xml:space="preserve"> </w:t>
      </w:r>
      <w:r w:rsidR="00073063" w:rsidRPr="00073063">
        <w:t>J. Biol. Sex Differ.</w:t>
      </w:r>
      <w:r w:rsidR="00073063">
        <w:t xml:space="preserve"> 8(1)</w:t>
      </w:r>
      <w:r w:rsidR="002112E8" w:rsidRPr="002112E8">
        <w:t xml:space="preserve"> </w:t>
      </w:r>
      <w:r w:rsidR="00073063">
        <w:t xml:space="preserve">(2017) </w:t>
      </w:r>
      <w:r w:rsidR="002112E8" w:rsidRPr="002112E8">
        <w:t>37.</w:t>
      </w:r>
      <w:r w:rsidR="00801870">
        <w:t xml:space="preserve"> </w:t>
      </w:r>
      <w:hyperlink r:id="rId26" w:history="1">
        <w:r w:rsidR="00371D32" w:rsidRPr="00180961">
          <w:rPr>
            <w:rStyle w:val="a4"/>
          </w:rPr>
          <w:t>https://doi.org/10.1186/s13293-017-0158-2</w:t>
        </w:r>
      </w:hyperlink>
    </w:p>
    <w:p w14:paraId="41A94164" w14:textId="00E78188" w:rsidR="002112E8" w:rsidRDefault="00700D21" w:rsidP="00073063">
      <w:pPr>
        <w:pStyle w:val="EndNoteBibliography"/>
        <w:spacing w:after="0"/>
        <w:ind w:left="440" w:hanging="440"/>
      </w:pPr>
      <w:r>
        <w:t>[</w:t>
      </w:r>
      <w:r w:rsidR="00DF6B22">
        <w:t>8</w:t>
      </w:r>
      <w:r>
        <w:t>]</w:t>
      </w:r>
      <w:r w:rsidR="005A529D">
        <w:t xml:space="preserve"> </w:t>
      </w:r>
      <w:r w:rsidR="00073063" w:rsidRPr="002112E8">
        <w:t>A.</w:t>
      </w:r>
      <w:r w:rsidR="00073063">
        <w:t xml:space="preserve"> </w:t>
      </w:r>
      <w:r w:rsidR="002112E8" w:rsidRPr="002112E8">
        <w:t>Seiler,</w:t>
      </w:r>
      <w:r w:rsidR="00073063" w:rsidRPr="00073063">
        <w:t xml:space="preserve"> </w:t>
      </w:r>
      <w:r w:rsidR="00073063" w:rsidRPr="002112E8">
        <w:t>M.</w:t>
      </w:r>
      <w:r w:rsidR="002112E8" w:rsidRPr="002112E8">
        <w:t xml:space="preserve"> Schneider, </w:t>
      </w:r>
      <w:r w:rsidR="00073063" w:rsidRPr="002112E8">
        <w:t>H.</w:t>
      </w:r>
      <w:r w:rsidR="00073063">
        <w:t xml:space="preserve"> </w:t>
      </w:r>
      <w:r w:rsidR="002112E8" w:rsidRPr="002112E8">
        <w:t xml:space="preserve">Förster, </w:t>
      </w:r>
      <w:r w:rsidR="00073063" w:rsidRPr="002112E8">
        <w:t>S.</w:t>
      </w:r>
      <w:r w:rsidR="00073063">
        <w:t xml:space="preserve"> </w:t>
      </w:r>
      <w:r w:rsidR="002112E8" w:rsidRPr="002112E8">
        <w:t xml:space="preserve">Roth, </w:t>
      </w:r>
      <w:r w:rsidR="00073063">
        <w:t>E.</w:t>
      </w:r>
      <w:r w:rsidR="00073063" w:rsidRPr="002112E8">
        <w:t>K.</w:t>
      </w:r>
      <w:r w:rsidR="00073063">
        <w:t xml:space="preserve"> </w:t>
      </w:r>
      <w:r w:rsidR="002112E8" w:rsidRPr="002112E8">
        <w:t xml:space="preserve">Wirth, </w:t>
      </w:r>
      <w:r w:rsidR="00073063" w:rsidRPr="002112E8">
        <w:t>C.</w:t>
      </w:r>
      <w:r w:rsidR="002112E8" w:rsidRPr="002112E8">
        <w:t xml:space="preserve"> Culmsee,</w:t>
      </w:r>
      <w:r w:rsidR="00073063">
        <w:t xml:space="preserve"> et al.,</w:t>
      </w:r>
      <w:r w:rsidR="002112E8" w:rsidRPr="002112E8">
        <w:t xml:space="preserve"> Glutathione peroxidase 4 senses and translates oxidative stress into 12/15-lipoxygenase dependent-and AIF-mediated ce</w:t>
      </w:r>
      <w:r w:rsidR="00073063">
        <w:t xml:space="preserve">ll death, </w:t>
      </w:r>
      <w:r w:rsidR="00073063" w:rsidRPr="00073063">
        <w:t xml:space="preserve">Cell Metab. </w:t>
      </w:r>
      <w:r w:rsidR="00073063">
        <w:t>8(3)</w:t>
      </w:r>
      <w:r w:rsidR="002112E8" w:rsidRPr="002112E8">
        <w:t xml:space="preserve"> </w:t>
      </w:r>
      <w:r w:rsidR="00073063">
        <w:t xml:space="preserve">(2008) </w:t>
      </w:r>
      <w:r w:rsidR="002112E8" w:rsidRPr="002112E8">
        <w:t>237-248.</w:t>
      </w:r>
    </w:p>
    <w:p w14:paraId="4C60ED50" w14:textId="4CDDA5B6" w:rsidR="00B55867" w:rsidRDefault="00FD766C" w:rsidP="00371D32">
      <w:pPr>
        <w:pStyle w:val="EndNoteBibliography"/>
        <w:spacing w:after="0"/>
        <w:ind w:leftChars="100" w:left="200" w:firstLineChars="100" w:firstLine="240"/>
      </w:pPr>
      <w:hyperlink r:id="rId27" w:history="1">
        <w:r w:rsidR="00371D32" w:rsidRPr="00180961">
          <w:rPr>
            <w:rStyle w:val="a4"/>
          </w:rPr>
          <w:t>https://doi.org/10.1016/j.cmet.2008.07.005</w:t>
        </w:r>
      </w:hyperlink>
    </w:p>
    <w:p w14:paraId="09D9B4EB" w14:textId="404635CC" w:rsidR="002112E8" w:rsidRDefault="00700D21" w:rsidP="00007491">
      <w:pPr>
        <w:pStyle w:val="EndNoteBibliography"/>
        <w:spacing w:after="0"/>
        <w:ind w:left="440" w:hanging="440"/>
      </w:pPr>
      <w:r>
        <w:t>[</w:t>
      </w:r>
      <w:r w:rsidR="00DF6B22">
        <w:t>9</w:t>
      </w:r>
      <w:r>
        <w:t>]</w:t>
      </w:r>
      <w:r w:rsidR="005A529D">
        <w:t xml:space="preserve"> </w:t>
      </w:r>
      <w:r w:rsidR="00073063">
        <w:t>J.</w:t>
      </w:r>
      <w:r w:rsidR="00073063" w:rsidRPr="002112E8">
        <w:t>C.</w:t>
      </w:r>
      <w:r w:rsidR="00073063">
        <w:t xml:space="preserve"> Hay,</w:t>
      </w:r>
      <w:r w:rsidR="002112E8" w:rsidRPr="002112E8">
        <w:t xml:space="preserve"> </w:t>
      </w:r>
      <w:r w:rsidR="00073063" w:rsidRPr="002112E8">
        <w:t>J.</w:t>
      </w:r>
      <w:r w:rsidR="00073063">
        <w:t xml:space="preserve"> </w:t>
      </w:r>
      <w:r w:rsidR="002112E8" w:rsidRPr="002112E8">
        <w:t xml:space="preserve">Klumperman, </w:t>
      </w:r>
      <w:r w:rsidR="00073063" w:rsidRPr="002112E8">
        <w:t>V.</w:t>
      </w:r>
      <w:r w:rsidR="00073063">
        <w:t xml:space="preserve"> </w:t>
      </w:r>
      <w:r w:rsidR="002112E8" w:rsidRPr="002112E8">
        <w:t xml:space="preserve">Oorschot, </w:t>
      </w:r>
      <w:r w:rsidR="00073063" w:rsidRPr="002112E8">
        <w:t>M.</w:t>
      </w:r>
      <w:r w:rsidR="00073063">
        <w:t xml:space="preserve"> </w:t>
      </w:r>
      <w:r w:rsidR="002112E8" w:rsidRPr="002112E8">
        <w:t xml:space="preserve">Steegmaier, </w:t>
      </w:r>
      <w:r w:rsidR="00073063">
        <w:t xml:space="preserve">C.S. </w:t>
      </w:r>
      <w:r w:rsidR="002112E8" w:rsidRPr="002112E8">
        <w:t xml:space="preserve">Kuo, </w:t>
      </w:r>
      <w:r w:rsidR="00073063" w:rsidRPr="002112E8">
        <w:t xml:space="preserve">R.H. </w:t>
      </w:r>
      <w:r w:rsidR="002112E8" w:rsidRPr="002112E8">
        <w:t>Scheller, Localization, dynamics, and protein interactions reveal distinct roles for ER and Golgi SNAREs</w:t>
      </w:r>
      <w:r w:rsidR="00073063">
        <w:t>,</w:t>
      </w:r>
      <w:r w:rsidR="002112E8" w:rsidRPr="002112E8">
        <w:t xml:space="preserve"> </w:t>
      </w:r>
      <w:r w:rsidR="00073063" w:rsidRPr="00073063">
        <w:t xml:space="preserve">J. Cell Biol. </w:t>
      </w:r>
      <w:r w:rsidR="00073063">
        <w:t>141(7) (1998)</w:t>
      </w:r>
      <w:r w:rsidR="002112E8" w:rsidRPr="002112E8">
        <w:t xml:space="preserve"> 1489-1502.</w:t>
      </w:r>
    </w:p>
    <w:p w14:paraId="608A9DF6" w14:textId="1E25D17E" w:rsidR="00B55867" w:rsidRDefault="00FD766C" w:rsidP="00371D32">
      <w:pPr>
        <w:pStyle w:val="EndNoteBibliography"/>
        <w:spacing w:after="0"/>
        <w:ind w:leftChars="100" w:left="200" w:firstLineChars="100" w:firstLine="240"/>
      </w:pPr>
      <w:hyperlink r:id="rId28" w:history="1">
        <w:r w:rsidR="00371D32" w:rsidRPr="00180961">
          <w:rPr>
            <w:rStyle w:val="a4"/>
          </w:rPr>
          <w:t>https://doi.org/10.1016/j.cmet.2008.07.00510.1083/jcb.141.7.1489</w:t>
        </w:r>
      </w:hyperlink>
    </w:p>
    <w:p w14:paraId="79D2E285" w14:textId="77777777" w:rsidR="00B55867" w:rsidRDefault="00700D21" w:rsidP="00B55867">
      <w:pPr>
        <w:pStyle w:val="EndNoteBibliography"/>
        <w:spacing w:after="0"/>
        <w:ind w:left="440" w:hanging="440"/>
      </w:pPr>
      <w:r>
        <w:t>[1</w:t>
      </w:r>
      <w:r w:rsidR="00DF6B22">
        <w:t>0</w:t>
      </w:r>
      <w:r>
        <w:t>]</w:t>
      </w:r>
      <w:r w:rsidR="002112E8" w:rsidRPr="002112E8">
        <w:t xml:space="preserve"> </w:t>
      </w:r>
      <w:r w:rsidR="00073063" w:rsidRPr="002112E8">
        <w:t>L.</w:t>
      </w:r>
      <w:r w:rsidR="002112E8" w:rsidRPr="002112E8">
        <w:t xml:space="preserve">Gerez, </w:t>
      </w:r>
      <w:r w:rsidR="00073063" w:rsidRPr="002112E8">
        <w:t>K.</w:t>
      </w:r>
      <w:r w:rsidR="00073063">
        <w:t xml:space="preserve"> </w:t>
      </w:r>
      <w:r w:rsidR="002112E8" w:rsidRPr="002112E8">
        <w:t xml:space="preserve">Mohrmann, </w:t>
      </w:r>
      <w:r w:rsidR="00073063" w:rsidRPr="002112E8">
        <w:t>M.</w:t>
      </w:r>
      <w:r w:rsidR="00073063">
        <w:t xml:space="preserve"> </w:t>
      </w:r>
      <w:r w:rsidR="002112E8" w:rsidRPr="002112E8">
        <w:t xml:space="preserve">van Raak, </w:t>
      </w:r>
      <w:r w:rsidR="00073063" w:rsidRPr="002112E8">
        <w:t>M.</w:t>
      </w:r>
      <w:r w:rsidR="00073063">
        <w:t xml:space="preserve"> </w:t>
      </w:r>
      <w:r w:rsidR="002112E8" w:rsidRPr="002112E8">
        <w:t xml:space="preserve">Jongeneelen, , </w:t>
      </w:r>
      <w:r w:rsidR="00073063">
        <w:t>X.</w:t>
      </w:r>
      <w:r w:rsidR="00073063" w:rsidRPr="002112E8">
        <w:t>Z.</w:t>
      </w:r>
      <w:r w:rsidR="00073063">
        <w:t xml:space="preserve"> </w:t>
      </w:r>
      <w:r w:rsidR="00401247">
        <w:t>Zhou,</w:t>
      </w:r>
      <w:r w:rsidR="002112E8" w:rsidRPr="002112E8">
        <w:t xml:space="preserve"> </w:t>
      </w:r>
      <w:r w:rsidR="00401247">
        <w:t>K.</w:t>
      </w:r>
      <w:r w:rsidR="00401247" w:rsidRPr="002112E8">
        <w:t>P.</w:t>
      </w:r>
      <w:r w:rsidR="00401247">
        <w:t xml:space="preserve"> </w:t>
      </w:r>
      <w:r w:rsidR="002112E8" w:rsidRPr="002112E8">
        <w:t xml:space="preserve">Lu, </w:t>
      </w:r>
      <w:r w:rsidR="00401247" w:rsidRPr="002112E8">
        <w:t xml:space="preserve">P. </w:t>
      </w:r>
      <w:r w:rsidR="00401247">
        <w:t>van der Sluijs,</w:t>
      </w:r>
      <w:r w:rsidR="002112E8" w:rsidRPr="002112E8">
        <w:t xml:space="preserve"> Accumulation of rab4GTP in the cytoplasm and association with the peptidyl-proly</w:t>
      </w:r>
      <w:r w:rsidR="00401247">
        <w:t>l isomerase pin1 during mitosis,</w:t>
      </w:r>
      <w:r w:rsidR="002112E8" w:rsidRPr="002112E8">
        <w:t xml:space="preserve"> </w:t>
      </w:r>
      <w:r w:rsidR="00401247" w:rsidRPr="00401247">
        <w:t xml:space="preserve">Mol. Biol. Cell. </w:t>
      </w:r>
      <w:r w:rsidR="00401247">
        <w:t>11(7)</w:t>
      </w:r>
      <w:r w:rsidR="00B55867" w:rsidRPr="00B55867">
        <w:t xml:space="preserve"> </w:t>
      </w:r>
      <w:r w:rsidR="00B55867">
        <w:t>(2000)</w:t>
      </w:r>
      <w:r w:rsidR="00B55867" w:rsidRPr="002112E8">
        <w:t xml:space="preserve"> 2201-2211.</w:t>
      </w:r>
    </w:p>
    <w:p w14:paraId="6950978B" w14:textId="5C7FF526" w:rsidR="00B55867" w:rsidRDefault="00FD766C" w:rsidP="00371D32">
      <w:pPr>
        <w:pStyle w:val="EndNoteBibliography"/>
        <w:spacing w:after="0"/>
        <w:ind w:leftChars="100" w:left="200" w:firstLineChars="100" w:firstLine="240"/>
      </w:pPr>
      <w:hyperlink r:id="rId29" w:history="1">
        <w:r w:rsidR="00371D32" w:rsidRPr="00180961">
          <w:rPr>
            <w:rStyle w:val="a4"/>
          </w:rPr>
          <w:t>https://doi.org/10.1091/mbc.11.7.2201</w:t>
        </w:r>
      </w:hyperlink>
    </w:p>
    <w:p w14:paraId="3A2AF8A2" w14:textId="2824365E" w:rsidR="00B55867" w:rsidRDefault="00700D21" w:rsidP="00007491">
      <w:pPr>
        <w:pStyle w:val="EndNoteBibliography"/>
        <w:spacing w:after="0"/>
        <w:ind w:left="440" w:hanging="440"/>
      </w:pPr>
      <w:r>
        <w:t>[1</w:t>
      </w:r>
      <w:r w:rsidR="00DF6B22">
        <w:t>1</w:t>
      </w:r>
      <w:r>
        <w:t xml:space="preserve">] </w:t>
      </w:r>
      <w:r w:rsidR="00401247" w:rsidRPr="002112E8">
        <w:t>B.</w:t>
      </w:r>
      <w:r w:rsidR="00401247">
        <w:t xml:space="preserve"> </w:t>
      </w:r>
      <w:r w:rsidR="002112E8" w:rsidRPr="002112E8">
        <w:t xml:space="preserve">Du, </w:t>
      </w:r>
      <w:r w:rsidR="00401247" w:rsidRPr="002112E8">
        <w:t>W.P.</w:t>
      </w:r>
      <w:r w:rsidR="00401247">
        <w:t xml:space="preserve"> </w:t>
      </w:r>
      <w:r w:rsidR="002112E8" w:rsidRPr="002112E8">
        <w:t xml:space="preserve">Cawthorn, </w:t>
      </w:r>
      <w:r w:rsidR="00401247" w:rsidRPr="002112E8">
        <w:t>A.</w:t>
      </w:r>
      <w:r w:rsidR="00401247">
        <w:t xml:space="preserve"> </w:t>
      </w:r>
      <w:r w:rsidR="002112E8" w:rsidRPr="002112E8">
        <w:t xml:space="preserve">Su, </w:t>
      </w:r>
      <w:r w:rsidR="00401247">
        <w:t>C.</w:t>
      </w:r>
      <w:r w:rsidR="00401247" w:rsidRPr="002112E8">
        <w:t>R.</w:t>
      </w:r>
      <w:r w:rsidR="00401247">
        <w:t xml:space="preserve"> </w:t>
      </w:r>
      <w:r w:rsidR="002112E8" w:rsidRPr="002112E8">
        <w:t xml:space="preserve">Doucette, </w:t>
      </w:r>
      <w:r w:rsidR="00401247" w:rsidRPr="002112E8">
        <w:t>Y.</w:t>
      </w:r>
      <w:r w:rsidR="00401247">
        <w:t xml:space="preserve"> Yao,</w:t>
      </w:r>
      <w:r w:rsidR="00401247" w:rsidRPr="00401247">
        <w:t xml:space="preserve"> </w:t>
      </w:r>
      <w:r w:rsidR="00401247" w:rsidRPr="002112E8">
        <w:t>N.</w:t>
      </w:r>
      <w:r w:rsidR="002112E8" w:rsidRPr="002112E8">
        <w:t xml:space="preserve"> Hemati, </w:t>
      </w:r>
      <w:r w:rsidR="00401247">
        <w:t xml:space="preserve">et al. </w:t>
      </w:r>
      <w:r w:rsidR="002112E8" w:rsidRPr="002112E8">
        <w:t>The transcription factor paired-related homeobox 1 (Prrx1) inhibits adipogenesis by activating transforming gr</w:t>
      </w:r>
      <w:r w:rsidR="00401247">
        <w:t xml:space="preserve">owth factor-β (TGFβ) signaling, </w:t>
      </w:r>
      <w:r w:rsidR="00401247" w:rsidRPr="00401247">
        <w:t xml:space="preserve">J. Biol. Chem. </w:t>
      </w:r>
      <w:r w:rsidR="00401247">
        <w:t>288(5) (2013)</w:t>
      </w:r>
      <w:r w:rsidR="002112E8" w:rsidRPr="002112E8">
        <w:t xml:space="preserve"> 3036-3047.</w:t>
      </w:r>
      <w:r w:rsidR="00371D32">
        <w:t xml:space="preserve"> </w:t>
      </w:r>
      <w:hyperlink r:id="rId30" w:history="1">
        <w:r w:rsidR="00B55867" w:rsidRPr="00A42060">
          <w:rPr>
            <w:rStyle w:val="a4"/>
          </w:rPr>
          <w:t>https://doi.org/10.1074/jbc.M112.440370</w:t>
        </w:r>
      </w:hyperlink>
    </w:p>
    <w:p w14:paraId="44A2C256" w14:textId="3CAA83AD" w:rsidR="00B55867" w:rsidRDefault="00700D21" w:rsidP="00007491">
      <w:pPr>
        <w:pStyle w:val="EndNoteBibliography"/>
        <w:spacing w:after="0"/>
        <w:ind w:left="440" w:hanging="440"/>
      </w:pPr>
      <w:r>
        <w:t>[1</w:t>
      </w:r>
      <w:r w:rsidR="00DF6B22">
        <w:t>2</w:t>
      </w:r>
      <w:r>
        <w:t>]</w:t>
      </w:r>
      <w:r w:rsidR="005A529D">
        <w:t xml:space="preserve"> </w:t>
      </w:r>
      <w:r w:rsidR="00323DA6" w:rsidRPr="00401247">
        <w:t>S.</w:t>
      </w:r>
      <w:r w:rsidR="00323DA6">
        <w:t xml:space="preserve"> </w:t>
      </w:r>
      <w:r w:rsidR="00401247" w:rsidRPr="00401247">
        <w:t xml:space="preserve">Tamura, </w:t>
      </w:r>
      <w:r w:rsidR="00323DA6" w:rsidRPr="00401247">
        <w:t>N.</w:t>
      </w:r>
      <w:r w:rsidR="00323DA6">
        <w:t xml:space="preserve"> </w:t>
      </w:r>
      <w:r w:rsidR="00401247" w:rsidRPr="00401247">
        <w:t>Matsumoto,</w:t>
      </w:r>
      <w:r w:rsidR="00323DA6">
        <w:t xml:space="preserve"> </w:t>
      </w:r>
      <w:r w:rsidR="00323DA6" w:rsidRPr="00401247">
        <w:t>R.</w:t>
      </w:r>
      <w:r w:rsidR="00401247" w:rsidRPr="00401247">
        <w:t xml:space="preserve"> Takeba, </w:t>
      </w:r>
      <w:r w:rsidR="00323DA6" w:rsidRPr="00401247">
        <w:t>Y.</w:t>
      </w:r>
      <w:r w:rsidR="00323DA6">
        <w:t xml:space="preserve"> </w:t>
      </w:r>
      <w:r w:rsidR="00401247" w:rsidRPr="00401247">
        <w:t>Fujiki, AAA peroxins and their recruiter Pex26p modulate the interactions of peroxins involve</w:t>
      </w:r>
      <w:r w:rsidR="00323DA6">
        <w:t>d in peroxisomal protein import,</w:t>
      </w:r>
      <w:r w:rsidR="00401247" w:rsidRPr="00401247">
        <w:t xml:space="preserve"> </w:t>
      </w:r>
      <w:r w:rsidR="00323DA6" w:rsidRPr="00323DA6">
        <w:t xml:space="preserve">J. Biol. Chem. </w:t>
      </w:r>
      <w:r w:rsidR="00401247" w:rsidRPr="00401247">
        <w:t>289(35)</w:t>
      </w:r>
      <w:r w:rsidR="00323DA6" w:rsidRPr="00323DA6">
        <w:t xml:space="preserve"> </w:t>
      </w:r>
      <w:r w:rsidR="00323DA6">
        <w:t>(2014)</w:t>
      </w:r>
      <w:r w:rsidR="00401247" w:rsidRPr="00401247">
        <w:t xml:space="preserve"> 24336-24346.</w:t>
      </w:r>
      <w:r w:rsidR="00371D32">
        <w:t xml:space="preserve"> </w:t>
      </w:r>
      <w:hyperlink r:id="rId31" w:history="1">
        <w:r w:rsidR="00B55867" w:rsidRPr="00A42060">
          <w:rPr>
            <w:rStyle w:val="a4"/>
          </w:rPr>
          <w:t>https://doi.org/10.1074/jbc.m114.588038</w:t>
        </w:r>
      </w:hyperlink>
    </w:p>
    <w:p w14:paraId="20A51E40" w14:textId="227AA691" w:rsidR="00401247" w:rsidRDefault="00700D21" w:rsidP="00007491">
      <w:pPr>
        <w:pStyle w:val="EndNoteBibliography"/>
        <w:spacing w:after="0"/>
        <w:ind w:left="440" w:hanging="440"/>
      </w:pPr>
      <w:r>
        <w:lastRenderedPageBreak/>
        <w:t>[1</w:t>
      </w:r>
      <w:r w:rsidR="00DF6B22">
        <w:t>3</w:t>
      </w:r>
      <w:r>
        <w:t>]</w:t>
      </w:r>
      <w:r w:rsidR="005A529D">
        <w:t xml:space="preserve"> </w:t>
      </w:r>
      <w:r w:rsidR="00323DA6" w:rsidRPr="00401247">
        <w:t>S.</w:t>
      </w:r>
      <w:r w:rsidR="00323DA6">
        <w:t xml:space="preserve"> </w:t>
      </w:r>
      <w:r w:rsidR="00401247" w:rsidRPr="00401247">
        <w:t xml:space="preserve">Pabst, </w:t>
      </w:r>
      <w:r w:rsidR="00323DA6" w:rsidRPr="00401247">
        <w:t>M.</w:t>
      </w:r>
      <w:r w:rsidR="00323DA6">
        <w:t xml:space="preserve"> </w:t>
      </w:r>
      <w:r w:rsidR="00401247" w:rsidRPr="00401247">
        <w:t xml:space="preserve">Margittai, </w:t>
      </w:r>
      <w:r w:rsidR="00323DA6" w:rsidRPr="00401247">
        <w:t>D.</w:t>
      </w:r>
      <w:r w:rsidR="00323DA6">
        <w:t xml:space="preserve"> </w:t>
      </w:r>
      <w:r w:rsidR="00401247" w:rsidRPr="00401247">
        <w:t>Vainius,</w:t>
      </w:r>
      <w:r w:rsidR="00323DA6">
        <w:t xml:space="preserve"> </w:t>
      </w:r>
      <w:r w:rsidR="00323DA6" w:rsidRPr="00401247">
        <w:t>R.</w:t>
      </w:r>
      <w:r w:rsidR="00401247" w:rsidRPr="00401247">
        <w:t xml:space="preserve"> Langen, </w:t>
      </w:r>
      <w:r w:rsidR="00323DA6" w:rsidRPr="00401247">
        <w:t>R.</w:t>
      </w:r>
      <w:r w:rsidR="00323DA6">
        <w:t xml:space="preserve"> </w:t>
      </w:r>
      <w:r w:rsidR="00401247" w:rsidRPr="00401247">
        <w:t xml:space="preserve">Jahn, </w:t>
      </w:r>
      <w:r w:rsidR="00323DA6" w:rsidRPr="00401247">
        <w:t>D.</w:t>
      </w:r>
      <w:r w:rsidR="00323DA6">
        <w:t xml:space="preserve"> </w:t>
      </w:r>
      <w:r w:rsidR="00401247" w:rsidRPr="00401247">
        <w:t>Fasshauer, Rapid and selective binding to the synaptic SNARE complex suggests a modulatory role o</w:t>
      </w:r>
      <w:r w:rsidR="00323DA6">
        <w:t>f complexins in neuroexocytosis,</w:t>
      </w:r>
      <w:r w:rsidR="00401247" w:rsidRPr="00401247">
        <w:t xml:space="preserve"> </w:t>
      </w:r>
      <w:r w:rsidR="00323DA6" w:rsidRPr="00323DA6">
        <w:t xml:space="preserve">J. Biol. Chem. </w:t>
      </w:r>
      <w:r w:rsidR="00401247" w:rsidRPr="00401247">
        <w:t>277(10)</w:t>
      </w:r>
      <w:r w:rsidR="00323DA6">
        <w:t xml:space="preserve"> (2002)</w:t>
      </w:r>
      <w:r w:rsidR="00401247" w:rsidRPr="00401247">
        <w:t xml:space="preserve"> 7838-7848.</w:t>
      </w:r>
    </w:p>
    <w:p w14:paraId="5654DE65" w14:textId="12C0A2D7" w:rsidR="00B55867" w:rsidRDefault="00FD766C" w:rsidP="00371D32">
      <w:pPr>
        <w:pStyle w:val="EndNoteBibliography"/>
        <w:spacing w:after="0"/>
        <w:ind w:leftChars="100" w:left="200" w:firstLineChars="100" w:firstLine="240"/>
      </w:pPr>
      <w:hyperlink r:id="rId32" w:history="1">
        <w:r w:rsidR="00371D32" w:rsidRPr="00180961">
          <w:rPr>
            <w:rStyle w:val="a4"/>
          </w:rPr>
          <w:t>https://doi.org/10.1074/jbc.m109507200</w:t>
        </w:r>
      </w:hyperlink>
    </w:p>
    <w:p w14:paraId="5F8362A1" w14:textId="57BFE83B" w:rsidR="00401247" w:rsidRDefault="00700D21" w:rsidP="00007491">
      <w:pPr>
        <w:pStyle w:val="EndNoteBibliography"/>
        <w:spacing w:after="0"/>
        <w:ind w:left="440" w:hanging="440"/>
      </w:pPr>
      <w:r>
        <w:t>[1</w:t>
      </w:r>
      <w:r w:rsidR="00DF6B22">
        <w:t>4</w:t>
      </w:r>
      <w:r>
        <w:t xml:space="preserve">] </w:t>
      </w:r>
      <w:r w:rsidR="00323DA6" w:rsidRPr="00401247">
        <w:t>D.</w:t>
      </w:r>
      <w:r w:rsidR="00323DA6">
        <w:t xml:space="preserve"> </w:t>
      </w:r>
      <w:r w:rsidR="00401247" w:rsidRPr="00401247">
        <w:t xml:space="preserve">Sica, </w:t>
      </w:r>
      <w:r w:rsidR="00323DA6" w:rsidRPr="00401247">
        <w:t>P.</w:t>
      </w:r>
      <w:r w:rsidR="00323DA6">
        <w:t xml:space="preserve"> </w:t>
      </w:r>
      <w:r w:rsidR="00401247" w:rsidRPr="00401247">
        <w:t xml:space="preserve">Rayman, </w:t>
      </w:r>
      <w:r w:rsidR="00323DA6" w:rsidRPr="00401247">
        <w:t>J.</w:t>
      </w:r>
      <w:r w:rsidR="00323DA6">
        <w:t xml:space="preserve"> </w:t>
      </w:r>
      <w:r w:rsidR="00401247" w:rsidRPr="00401247">
        <w:t xml:space="preserve">Stanley, </w:t>
      </w:r>
      <w:r w:rsidR="00323DA6">
        <w:t>J.</w:t>
      </w:r>
      <w:r w:rsidR="00323DA6" w:rsidRPr="00401247">
        <w:t>H.</w:t>
      </w:r>
      <w:r w:rsidR="00323DA6">
        <w:t xml:space="preserve"> </w:t>
      </w:r>
      <w:r w:rsidR="00401247" w:rsidRPr="00401247">
        <w:t xml:space="preserve">Finke, </w:t>
      </w:r>
      <w:r w:rsidR="00323DA6" w:rsidRPr="00401247">
        <w:t>E.</w:t>
      </w:r>
      <w:r w:rsidR="00323DA6">
        <w:t xml:space="preserve"> </w:t>
      </w:r>
      <w:r w:rsidR="00401247" w:rsidRPr="00401247">
        <w:t xml:space="preserve">Klein, </w:t>
      </w:r>
      <w:r w:rsidR="00323DA6" w:rsidRPr="00401247">
        <w:t>E.</w:t>
      </w:r>
      <w:r w:rsidR="00323DA6">
        <w:t xml:space="preserve"> </w:t>
      </w:r>
      <w:r w:rsidR="00401247" w:rsidRPr="00401247">
        <w:t xml:space="preserve">Klein, </w:t>
      </w:r>
      <w:r w:rsidR="00323DA6">
        <w:t>et al.,</w:t>
      </w:r>
      <w:r w:rsidR="00401247" w:rsidRPr="00401247">
        <w:t xml:space="preserve"> Interleukin 7 enhances the proliferation and effector function of tumor‐infiltrating lympho</w:t>
      </w:r>
      <w:r w:rsidR="00323DA6">
        <w:t>cytes from renal‐cell carcinoma,</w:t>
      </w:r>
      <w:r w:rsidR="00401247" w:rsidRPr="00401247">
        <w:t xml:space="preserve"> </w:t>
      </w:r>
      <w:r w:rsidR="00323DA6" w:rsidRPr="00323DA6">
        <w:t xml:space="preserve">Int. J. Cancer. </w:t>
      </w:r>
      <w:r w:rsidR="00323DA6">
        <w:t>53(6) (1993)</w:t>
      </w:r>
      <w:r w:rsidR="00401247" w:rsidRPr="00401247">
        <w:t xml:space="preserve"> 941-947.</w:t>
      </w:r>
    </w:p>
    <w:p w14:paraId="783CF1DA" w14:textId="15D3556C" w:rsidR="00B55867" w:rsidRDefault="00FD766C" w:rsidP="00371D32">
      <w:pPr>
        <w:pStyle w:val="EndNoteBibliography"/>
        <w:spacing w:after="0"/>
        <w:ind w:leftChars="100" w:left="200" w:firstLineChars="100" w:firstLine="240"/>
      </w:pPr>
      <w:hyperlink r:id="rId33" w:history="1">
        <w:r w:rsidR="00371D32" w:rsidRPr="00180961">
          <w:rPr>
            <w:rStyle w:val="a4"/>
          </w:rPr>
          <w:t>https://doi.org/10.1002/ijc.2910530613</w:t>
        </w:r>
      </w:hyperlink>
    </w:p>
    <w:p w14:paraId="2CC46F12" w14:textId="7E2EBD49" w:rsidR="00371D32" w:rsidRDefault="00700D21" w:rsidP="00007491">
      <w:pPr>
        <w:pStyle w:val="EndNoteBibliography"/>
        <w:spacing w:after="0"/>
        <w:ind w:left="440" w:hanging="440"/>
      </w:pPr>
      <w:r>
        <w:t>[1</w:t>
      </w:r>
      <w:r w:rsidR="00DF6B22">
        <w:t>5</w:t>
      </w:r>
      <w:r>
        <w:t>]</w:t>
      </w:r>
      <w:r w:rsidR="00EC7C4A">
        <w:t xml:space="preserve"> </w:t>
      </w:r>
      <w:r w:rsidR="00323DA6">
        <w:t>C.</w:t>
      </w:r>
      <w:r w:rsidR="00323DA6" w:rsidRPr="00401247">
        <w:t>M.</w:t>
      </w:r>
      <w:r w:rsidR="00323DA6">
        <w:t xml:space="preserve"> </w:t>
      </w:r>
      <w:r w:rsidR="00401247" w:rsidRPr="00401247">
        <w:t xml:space="preserve">Hales, </w:t>
      </w:r>
      <w:r w:rsidR="00323DA6" w:rsidRPr="00401247">
        <w:t>R.</w:t>
      </w:r>
      <w:r w:rsidR="00323DA6">
        <w:t xml:space="preserve"> </w:t>
      </w:r>
      <w:r w:rsidR="00401247" w:rsidRPr="00401247">
        <w:t xml:space="preserve">Griner, </w:t>
      </w:r>
      <w:r w:rsidR="00323DA6">
        <w:t>K.</w:t>
      </w:r>
      <w:r w:rsidR="00323DA6" w:rsidRPr="00401247">
        <w:t>C.</w:t>
      </w:r>
      <w:r w:rsidR="00323DA6">
        <w:t xml:space="preserve"> </w:t>
      </w:r>
      <w:r w:rsidR="00401247" w:rsidRPr="00401247">
        <w:t xml:space="preserve">Hobdy-Henderson, </w:t>
      </w:r>
      <w:r w:rsidR="00323DA6">
        <w:t>M.</w:t>
      </w:r>
      <w:r w:rsidR="00323DA6" w:rsidRPr="00401247">
        <w:t>C.</w:t>
      </w:r>
      <w:r w:rsidR="00323DA6">
        <w:t xml:space="preserve"> </w:t>
      </w:r>
      <w:r w:rsidR="00401247" w:rsidRPr="00401247">
        <w:t xml:space="preserve">Dorn, </w:t>
      </w:r>
      <w:r w:rsidR="00323DA6" w:rsidRPr="00401247">
        <w:t>D.</w:t>
      </w:r>
      <w:r w:rsidR="00323DA6">
        <w:t xml:space="preserve"> </w:t>
      </w:r>
      <w:r w:rsidR="00401247" w:rsidRPr="00401247">
        <w:t xml:space="preserve">Hardy, </w:t>
      </w:r>
      <w:r w:rsidR="00323DA6" w:rsidRPr="00401247">
        <w:t>R.</w:t>
      </w:r>
      <w:r w:rsidR="00323DA6">
        <w:t xml:space="preserve"> </w:t>
      </w:r>
      <w:r w:rsidR="00401247" w:rsidRPr="00401247">
        <w:t>Kumar,</w:t>
      </w:r>
      <w:r w:rsidR="00323DA6">
        <w:t xml:space="preserve"> et al.</w:t>
      </w:r>
      <w:r w:rsidR="00401247" w:rsidRPr="00401247">
        <w:t>,</w:t>
      </w:r>
      <w:r w:rsidR="00323DA6">
        <w:t xml:space="preserve"> </w:t>
      </w:r>
      <w:r w:rsidR="00401247" w:rsidRPr="00401247">
        <w:t>Identification and characterization of a famil</w:t>
      </w:r>
      <w:r w:rsidR="00323DA6">
        <w:t>y of Rab11-interacting proteins,</w:t>
      </w:r>
      <w:r w:rsidR="00401247" w:rsidRPr="00401247">
        <w:t xml:space="preserve"> </w:t>
      </w:r>
      <w:r w:rsidR="00323DA6" w:rsidRPr="00323DA6">
        <w:t xml:space="preserve">J. Biol. Chem. </w:t>
      </w:r>
      <w:r w:rsidR="00401247" w:rsidRPr="00401247">
        <w:t>276(42)</w:t>
      </w:r>
      <w:r w:rsidR="00323DA6">
        <w:t xml:space="preserve"> (2001)</w:t>
      </w:r>
      <w:r w:rsidR="00401247" w:rsidRPr="00401247">
        <w:t xml:space="preserve"> 39067-39075.</w:t>
      </w:r>
      <w:r w:rsidR="00371D32">
        <w:t xml:space="preserve"> </w:t>
      </w:r>
      <w:hyperlink r:id="rId34" w:history="1">
        <w:r w:rsidR="00371D32" w:rsidRPr="00180961">
          <w:rPr>
            <w:rStyle w:val="a4"/>
          </w:rPr>
          <w:t>https://doi.org/10.1074/jbc.M104831200</w:t>
        </w:r>
      </w:hyperlink>
    </w:p>
    <w:p w14:paraId="3D890C7D" w14:textId="0620FDDA" w:rsidR="00371D32" w:rsidRDefault="00700D21" w:rsidP="00007491">
      <w:pPr>
        <w:pStyle w:val="EndNoteBibliography"/>
        <w:spacing w:after="0"/>
        <w:ind w:left="440" w:hanging="440"/>
      </w:pPr>
      <w:r>
        <w:t>[1</w:t>
      </w:r>
      <w:r w:rsidR="00DF6B22">
        <w:t>6</w:t>
      </w:r>
      <w:r>
        <w:t>]</w:t>
      </w:r>
      <w:r w:rsidR="00EC7C4A">
        <w:t xml:space="preserve"> </w:t>
      </w:r>
      <w:r w:rsidR="00323DA6">
        <w:t>A.</w:t>
      </w:r>
      <w:r w:rsidR="00323DA6" w:rsidRPr="00401247">
        <w:t>A.</w:t>
      </w:r>
      <w:r w:rsidR="00323DA6">
        <w:t xml:space="preserve"> Peden,</w:t>
      </w:r>
      <w:r w:rsidR="00401247" w:rsidRPr="00401247">
        <w:t xml:space="preserve"> </w:t>
      </w:r>
      <w:r w:rsidR="00323DA6" w:rsidRPr="00401247">
        <w:t>E.</w:t>
      </w:r>
      <w:r w:rsidR="00323DA6">
        <w:t xml:space="preserve"> </w:t>
      </w:r>
      <w:r w:rsidR="00401247" w:rsidRPr="00401247">
        <w:t xml:space="preserve">Schonteich, </w:t>
      </w:r>
      <w:r w:rsidR="00323DA6" w:rsidRPr="00401247">
        <w:t>J.</w:t>
      </w:r>
      <w:r w:rsidR="00323DA6">
        <w:t xml:space="preserve"> </w:t>
      </w:r>
      <w:r w:rsidR="00401247" w:rsidRPr="00401247">
        <w:t xml:space="preserve">Chun, </w:t>
      </w:r>
      <w:r w:rsidR="00323DA6" w:rsidRPr="00401247">
        <w:t>J.R.</w:t>
      </w:r>
      <w:r w:rsidR="00323DA6">
        <w:t xml:space="preserve"> </w:t>
      </w:r>
      <w:r w:rsidR="00401247" w:rsidRPr="00401247">
        <w:t xml:space="preserve">Junutula, </w:t>
      </w:r>
      <w:r w:rsidR="00323DA6">
        <w:t>R.</w:t>
      </w:r>
      <w:r w:rsidR="00323DA6" w:rsidRPr="00401247">
        <w:t>H.</w:t>
      </w:r>
      <w:r w:rsidR="00323DA6">
        <w:t xml:space="preserve"> </w:t>
      </w:r>
      <w:r w:rsidR="00401247" w:rsidRPr="00401247">
        <w:t>Scheller,</w:t>
      </w:r>
      <w:r w:rsidR="00323DA6">
        <w:t xml:space="preserve"> </w:t>
      </w:r>
      <w:r w:rsidR="00323DA6" w:rsidRPr="00401247">
        <w:t>R.</w:t>
      </w:r>
      <w:r w:rsidR="00323DA6">
        <w:t xml:space="preserve"> </w:t>
      </w:r>
      <w:r w:rsidR="00401247" w:rsidRPr="00401247">
        <w:t>Prekeris, The RCP–Rab11 complex regulat</w:t>
      </w:r>
      <w:r w:rsidR="00323DA6">
        <w:t>es endocytic protein sorting,</w:t>
      </w:r>
      <w:r w:rsidR="00401247" w:rsidRPr="00401247">
        <w:t xml:space="preserve"> </w:t>
      </w:r>
      <w:r w:rsidR="00323DA6" w:rsidRPr="00323DA6">
        <w:t xml:space="preserve">Mol. Biol. Cell. </w:t>
      </w:r>
      <w:r w:rsidR="00323DA6">
        <w:t xml:space="preserve">15(8) (2004) </w:t>
      </w:r>
      <w:r w:rsidR="00401247" w:rsidRPr="00401247">
        <w:t>3530-3541.</w:t>
      </w:r>
      <w:r w:rsidR="00371D32">
        <w:t xml:space="preserve"> </w:t>
      </w:r>
      <w:hyperlink r:id="rId35" w:history="1">
        <w:r w:rsidR="00371D32" w:rsidRPr="00180961">
          <w:rPr>
            <w:rStyle w:val="a4"/>
          </w:rPr>
          <w:t>https://doi.org/10.1242/jcs.032441</w:t>
        </w:r>
      </w:hyperlink>
    </w:p>
    <w:p w14:paraId="1335727D" w14:textId="507964FD" w:rsidR="00371D32" w:rsidRDefault="00700D21" w:rsidP="000C2AC7">
      <w:pPr>
        <w:pStyle w:val="EndNoteBibliography"/>
        <w:spacing w:after="0"/>
        <w:ind w:left="440" w:hanging="440"/>
      </w:pPr>
      <w:r>
        <w:t>[1</w:t>
      </w:r>
      <w:r w:rsidR="00DF6B22">
        <w:t>7</w:t>
      </w:r>
      <w:r>
        <w:t>]</w:t>
      </w:r>
      <w:r w:rsidR="00323DA6" w:rsidRPr="00323DA6">
        <w:t xml:space="preserve"> </w:t>
      </w:r>
      <w:r w:rsidR="00323DA6">
        <w:t>B.</w:t>
      </w:r>
      <w:r w:rsidR="00323DA6" w:rsidRPr="00401247">
        <w:t>P.</w:t>
      </w:r>
      <w:r w:rsidR="00EC7C4A">
        <w:t xml:space="preserve"> </w:t>
      </w:r>
      <w:r w:rsidR="00401247" w:rsidRPr="00401247">
        <w:t xml:space="preserve">Zambrowicz, </w:t>
      </w:r>
      <w:r w:rsidR="00323DA6" w:rsidRPr="00401247">
        <w:t>A.</w:t>
      </w:r>
      <w:r w:rsidR="00323DA6">
        <w:t xml:space="preserve"> </w:t>
      </w:r>
      <w:r w:rsidR="00401247" w:rsidRPr="00401247">
        <w:t xml:space="preserve">Abuin, </w:t>
      </w:r>
      <w:r w:rsidR="00323DA6" w:rsidRPr="00401247">
        <w:t>R.</w:t>
      </w:r>
      <w:r w:rsidR="00323DA6">
        <w:t xml:space="preserve"> </w:t>
      </w:r>
      <w:r w:rsidR="00401247" w:rsidRPr="00401247">
        <w:t xml:space="preserve">Ramirez-Solis, </w:t>
      </w:r>
      <w:r w:rsidR="00323DA6">
        <w:t>L.</w:t>
      </w:r>
      <w:r w:rsidR="00323DA6" w:rsidRPr="00401247">
        <w:t>J.</w:t>
      </w:r>
      <w:r w:rsidR="00323DA6">
        <w:t xml:space="preserve"> </w:t>
      </w:r>
      <w:r w:rsidR="00401247" w:rsidRPr="00401247">
        <w:t xml:space="preserve">Richter, </w:t>
      </w:r>
      <w:r w:rsidR="00323DA6" w:rsidRPr="00401247">
        <w:t>J.</w:t>
      </w:r>
      <w:r w:rsidR="00323DA6">
        <w:t xml:space="preserve"> </w:t>
      </w:r>
      <w:r w:rsidR="00401247" w:rsidRPr="00401247">
        <w:t xml:space="preserve">Piggott, </w:t>
      </w:r>
      <w:r w:rsidR="00323DA6" w:rsidRPr="00401247">
        <w:t>H.</w:t>
      </w:r>
      <w:r w:rsidR="00323DA6">
        <w:t xml:space="preserve"> </w:t>
      </w:r>
      <w:r w:rsidR="00401247" w:rsidRPr="00401247">
        <w:t>BeltrandelRio,</w:t>
      </w:r>
      <w:r w:rsidR="00323DA6">
        <w:t xml:space="preserve"> et al. </w:t>
      </w:r>
      <w:r w:rsidR="00401247" w:rsidRPr="00401247">
        <w:t>Wnk1 kinase deficiency lowers blood pressure in mice: a gene-trap screen to identify potential targe</w:t>
      </w:r>
      <w:r w:rsidR="00323DA6">
        <w:t>ts for therapeutic intervention,</w:t>
      </w:r>
      <w:r w:rsidR="00401247" w:rsidRPr="00401247">
        <w:t xml:space="preserve"> </w:t>
      </w:r>
      <w:r w:rsidR="00323DA6" w:rsidRPr="00323DA6">
        <w:t xml:space="preserve">Proc. Natl. Acad. Sci. </w:t>
      </w:r>
      <w:r w:rsidR="00401247" w:rsidRPr="00401247">
        <w:t>100(24)</w:t>
      </w:r>
      <w:r w:rsidR="00323DA6">
        <w:t xml:space="preserve"> (2003)</w:t>
      </w:r>
      <w:r w:rsidR="00401247" w:rsidRPr="00401247">
        <w:t xml:space="preserve"> 14109-14114.</w:t>
      </w:r>
      <w:r w:rsidR="00371D32">
        <w:t xml:space="preserve"> </w:t>
      </w:r>
      <w:hyperlink r:id="rId36" w:history="1">
        <w:r w:rsidR="00371D32" w:rsidRPr="00180961">
          <w:rPr>
            <w:rStyle w:val="a4"/>
          </w:rPr>
          <w:t>https://doi.org/10.1073/pnas.2336103100</w:t>
        </w:r>
      </w:hyperlink>
    </w:p>
    <w:p w14:paraId="7DFFEB43" w14:textId="51E997DA" w:rsidR="00401247" w:rsidRDefault="00700D21" w:rsidP="00007491">
      <w:pPr>
        <w:pStyle w:val="EndNoteBibliography"/>
        <w:spacing w:after="0"/>
        <w:ind w:left="440" w:hanging="440"/>
      </w:pPr>
      <w:r>
        <w:t>[1</w:t>
      </w:r>
      <w:r w:rsidR="00DF6B22">
        <w:t>8</w:t>
      </w:r>
      <w:r>
        <w:t>]</w:t>
      </w:r>
      <w:r w:rsidR="00EC7C4A">
        <w:t xml:space="preserve"> </w:t>
      </w:r>
      <w:r w:rsidR="00323DA6" w:rsidRPr="00401247">
        <w:t>R.</w:t>
      </w:r>
      <w:r w:rsidR="00323DA6">
        <w:t xml:space="preserve"> </w:t>
      </w:r>
      <w:r w:rsidR="00401247" w:rsidRPr="00401247">
        <w:t xml:space="preserve">Greenlees, </w:t>
      </w:r>
      <w:r w:rsidR="00323DA6" w:rsidRPr="00401247">
        <w:t>M.</w:t>
      </w:r>
      <w:r w:rsidR="00323DA6">
        <w:t xml:space="preserve"> </w:t>
      </w:r>
      <w:r w:rsidR="00401247" w:rsidRPr="00401247">
        <w:t xml:space="preserve">Mihelec, </w:t>
      </w:r>
      <w:r w:rsidR="00323DA6" w:rsidRPr="00401247">
        <w:t>S.</w:t>
      </w:r>
      <w:r w:rsidR="00323DA6">
        <w:t xml:space="preserve"> </w:t>
      </w:r>
      <w:r w:rsidR="00401247" w:rsidRPr="00401247">
        <w:t xml:space="preserve">Yousoof, </w:t>
      </w:r>
      <w:r w:rsidR="00323DA6" w:rsidRPr="00401247">
        <w:t>D.</w:t>
      </w:r>
      <w:r w:rsidR="00323DA6">
        <w:t xml:space="preserve"> </w:t>
      </w:r>
      <w:r w:rsidR="00401247" w:rsidRPr="00401247">
        <w:t xml:space="preserve">Speidel, </w:t>
      </w:r>
      <w:r w:rsidR="00323DA6" w:rsidRPr="00401247">
        <w:t>S.K.</w:t>
      </w:r>
      <w:r w:rsidR="00323DA6">
        <w:t xml:space="preserve"> </w:t>
      </w:r>
      <w:r w:rsidR="00401247" w:rsidRPr="00401247">
        <w:t xml:space="preserve">Wu, , </w:t>
      </w:r>
      <w:r w:rsidR="00323DA6" w:rsidRPr="00401247">
        <w:t>S.</w:t>
      </w:r>
      <w:r w:rsidR="00323DA6">
        <w:t xml:space="preserve"> </w:t>
      </w:r>
      <w:r w:rsidR="00401247" w:rsidRPr="00401247">
        <w:t>Rinkwitz</w:t>
      </w:r>
      <w:r w:rsidR="00323DA6">
        <w:t xml:space="preserve">, et al., </w:t>
      </w:r>
      <w:r w:rsidR="00401247" w:rsidRPr="00401247">
        <w:t>Mutations in SIPA1L3 cause eye defects through disruption of cell polarit</w:t>
      </w:r>
      <w:r w:rsidR="00323DA6">
        <w:t>y and cytoskeleton organization,</w:t>
      </w:r>
      <w:r w:rsidR="00401247" w:rsidRPr="00401247">
        <w:t xml:space="preserve"> </w:t>
      </w:r>
      <w:r w:rsidR="00323DA6" w:rsidRPr="00323DA6">
        <w:t xml:space="preserve">Hum. Mol. Genet. </w:t>
      </w:r>
      <w:r w:rsidR="00323DA6">
        <w:t>24(20) (2015)</w:t>
      </w:r>
      <w:r w:rsidR="00401247" w:rsidRPr="00401247">
        <w:t xml:space="preserve"> 5789-5804.</w:t>
      </w:r>
    </w:p>
    <w:p w14:paraId="09736D86" w14:textId="07D18AD6" w:rsidR="00371D32" w:rsidRDefault="00FD766C" w:rsidP="00371D32">
      <w:pPr>
        <w:pStyle w:val="EndNoteBibliography"/>
        <w:spacing w:after="0"/>
        <w:ind w:leftChars="100" w:left="200" w:firstLineChars="100" w:firstLine="240"/>
      </w:pPr>
      <w:hyperlink r:id="rId37" w:history="1">
        <w:r w:rsidR="00371D32" w:rsidRPr="00180961">
          <w:rPr>
            <w:rStyle w:val="a4"/>
          </w:rPr>
          <w:t>https://doi.org/10.1093/hmg/ddv298</w:t>
        </w:r>
      </w:hyperlink>
    </w:p>
    <w:p w14:paraId="7D9A9EBE" w14:textId="6270B52A" w:rsidR="00371D32" w:rsidRDefault="00700D21" w:rsidP="00EC7C4A">
      <w:pPr>
        <w:pStyle w:val="EndNoteBibliography"/>
        <w:spacing w:after="0"/>
        <w:ind w:left="440" w:hanging="440"/>
      </w:pPr>
      <w:r>
        <w:t>[</w:t>
      </w:r>
      <w:r w:rsidR="00DF6B22">
        <w:t>19</w:t>
      </w:r>
      <w:r>
        <w:t>]</w:t>
      </w:r>
      <w:r w:rsidR="00EC7C4A">
        <w:rPr>
          <w:rFonts w:hint="eastAsia"/>
        </w:rPr>
        <w:t xml:space="preserve"> </w:t>
      </w:r>
      <w:r w:rsidR="00323DA6">
        <w:t>R.L.</w:t>
      </w:r>
      <w:r w:rsidR="00323DA6" w:rsidRPr="00401247">
        <w:t>P.</w:t>
      </w:r>
      <w:r w:rsidR="00323DA6">
        <w:t xml:space="preserve"> </w:t>
      </w:r>
      <w:r w:rsidR="00401247" w:rsidRPr="00401247">
        <w:t xml:space="preserve">Santos-Cortez, </w:t>
      </w:r>
      <w:r w:rsidR="00323DA6" w:rsidRPr="00401247">
        <w:t>K.</w:t>
      </w:r>
      <w:r w:rsidR="00401247" w:rsidRPr="00401247">
        <w:t xml:space="preserve">Lee, </w:t>
      </w:r>
      <w:r w:rsidR="00323DA6">
        <w:t>A.</w:t>
      </w:r>
      <w:r w:rsidR="00323DA6" w:rsidRPr="00401247">
        <w:t>P.</w:t>
      </w:r>
      <w:r w:rsidR="00323DA6">
        <w:t xml:space="preserve"> </w:t>
      </w:r>
      <w:r w:rsidR="00401247" w:rsidRPr="00401247">
        <w:t xml:space="preserve">Giese, </w:t>
      </w:r>
      <w:r w:rsidR="00323DA6" w:rsidRPr="00401247">
        <w:t>M.</w:t>
      </w:r>
      <w:r w:rsidR="00323DA6">
        <w:t xml:space="preserve"> </w:t>
      </w:r>
      <w:r w:rsidR="00401247" w:rsidRPr="00401247">
        <w:t xml:space="preserve">Ansar, </w:t>
      </w:r>
      <w:r w:rsidR="00323DA6" w:rsidRPr="00401247">
        <w:t>M.</w:t>
      </w:r>
      <w:r w:rsidR="00323DA6">
        <w:t xml:space="preserve"> </w:t>
      </w:r>
      <w:r w:rsidR="00401247" w:rsidRPr="00401247">
        <w:t xml:space="preserve">Amin-Ud-Din, </w:t>
      </w:r>
      <w:r w:rsidR="00323DA6" w:rsidRPr="00401247">
        <w:t>K.</w:t>
      </w:r>
      <w:r w:rsidR="00323DA6">
        <w:t xml:space="preserve"> </w:t>
      </w:r>
      <w:r w:rsidR="00401247" w:rsidRPr="00401247">
        <w:t xml:space="preserve">Rehn, </w:t>
      </w:r>
      <w:r w:rsidR="00323DA6">
        <w:t xml:space="preserve">et al., </w:t>
      </w:r>
      <w:r w:rsidR="00401247" w:rsidRPr="00401247">
        <w:t xml:space="preserve">Adenylate cyclase 1 (ADCY1) mutations cause recessive hearing impairment in humans </w:t>
      </w:r>
      <w:r w:rsidR="00401247" w:rsidRPr="00401247">
        <w:lastRenderedPageBreak/>
        <w:t xml:space="preserve">and defects in hair cell function and hearing in zebrafish. </w:t>
      </w:r>
      <w:r w:rsidR="00323DA6" w:rsidRPr="00323DA6">
        <w:t xml:space="preserve">Hum. Mol. Genet. </w:t>
      </w:r>
      <w:r w:rsidR="00401247" w:rsidRPr="00401247">
        <w:t>23(12)</w:t>
      </w:r>
      <w:r w:rsidR="00323DA6">
        <w:t xml:space="preserve"> (2014)</w:t>
      </w:r>
      <w:r w:rsidR="00401247" w:rsidRPr="00401247">
        <w:t xml:space="preserve"> 3289-3298.</w:t>
      </w:r>
      <w:r w:rsidR="00371D32">
        <w:t xml:space="preserve"> </w:t>
      </w:r>
      <w:hyperlink r:id="rId38" w:history="1">
        <w:r w:rsidR="00371D32" w:rsidRPr="00180961">
          <w:rPr>
            <w:rStyle w:val="a4"/>
          </w:rPr>
          <w:t>https://doi.org/10.1093/hmg/ddu042</w:t>
        </w:r>
      </w:hyperlink>
    </w:p>
    <w:p w14:paraId="4F99FD57" w14:textId="3EA70118" w:rsidR="00401247" w:rsidRDefault="00700D21" w:rsidP="00007491">
      <w:pPr>
        <w:pStyle w:val="EndNoteBibliography"/>
        <w:spacing w:after="0"/>
        <w:ind w:left="440" w:hanging="440"/>
      </w:pPr>
      <w:r>
        <w:t>[2</w:t>
      </w:r>
      <w:r w:rsidR="00DF6B22">
        <w:t>0</w:t>
      </w:r>
      <w:r>
        <w:t>]</w:t>
      </w:r>
      <w:r w:rsidR="00EC7C4A">
        <w:t xml:space="preserve"> </w:t>
      </w:r>
      <w:r w:rsidR="00E05D6D" w:rsidRPr="00401247">
        <w:t>B.</w:t>
      </w:r>
      <w:r w:rsidR="00E05D6D">
        <w:t xml:space="preserve"> </w:t>
      </w:r>
      <w:r w:rsidR="00401247" w:rsidRPr="00401247">
        <w:t xml:space="preserve">Zhao, </w:t>
      </w:r>
      <w:r w:rsidR="00E05D6D" w:rsidRPr="00401247">
        <w:t>L.</w:t>
      </w:r>
      <w:r w:rsidR="00E05D6D">
        <w:t xml:space="preserve"> </w:t>
      </w:r>
      <w:r w:rsidR="00401247" w:rsidRPr="00401247">
        <w:t xml:space="preserve">Chang, </w:t>
      </w:r>
      <w:r w:rsidR="00E05D6D" w:rsidRPr="00401247">
        <w:t>H.</w:t>
      </w:r>
      <w:r w:rsidR="00E05D6D">
        <w:t xml:space="preserve"> </w:t>
      </w:r>
      <w:r w:rsidR="00401247" w:rsidRPr="00401247">
        <w:t xml:space="preserve">Fu, </w:t>
      </w:r>
      <w:r w:rsidR="00E05D6D">
        <w:t>G.</w:t>
      </w:r>
      <w:r w:rsidR="00401247" w:rsidRPr="00401247">
        <w:t xml:space="preserve">Sun, </w:t>
      </w:r>
      <w:r w:rsidR="00E05D6D" w:rsidRPr="00401247">
        <w:t>W.</w:t>
      </w:r>
      <w:r w:rsidR="00E05D6D">
        <w:t xml:space="preserve"> </w:t>
      </w:r>
      <w:r w:rsidR="00401247" w:rsidRPr="00401247">
        <w:t>Yang, The role of autoimmune regulator</w:t>
      </w:r>
      <w:r w:rsidR="00E05D6D">
        <w:t xml:space="preserve"> (AIRE) in peripheral tolerance,</w:t>
      </w:r>
      <w:r w:rsidR="00401247" w:rsidRPr="00401247">
        <w:t xml:space="preserve"> </w:t>
      </w:r>
      <w:r w:rsidR="00E05D6D" w:rsidRPr="00E05D6D">
        <w:t xml:space="preserve">J. Immunol. Res. </w:t>
      </w:r>
      <w:r w:rsidR="00401247" w:rsidRPr="00401247">
        <w:t>2018</w:t>
      </w:r>
      <w:r w:rsidR="00E05D6D">
        <w:t xml:space="preserve"> (2018) e</w:t>
      </w:r>
      <w:r w:rsidR="00E05D6D" w:rsidRPr="002E500A">
        <w:t>3930750.</w:t>
      </w:r>
    </w:p>
    <w:p w14:paraId="27E1D122" w14:textId="0110A1B7" w:rsidR="00371D32" w:rsidRDefault="00FD766C" w:rsidP="00371D32">
      <w:pPr>
        <w:pStyle w:val="EndNoteBibliography"/>
        <w:spacing w:after="0"/>
        <w:ind w:leftChars="100" w:left="200" w:firstLineChars="100" w:firstLine="240"/>
      </w:pPr>
      <w:hyperlink r:id="rId39" w:history="1">
        <w:r w:rsidR="00371D32" w:rsidRPr="00180961">
          <w:rPr>
            <w:rStyle w:val="a4"/>
          </w:rPr>
          <w:t>https://doi.org/10.1155/2018/3930750</w:t>
        </w:r>
      </w:hyperlink>
    </w:p>
    <w:p w14:paraId="549A7E3C" w14:textId="5599B896" w:rsidR="00401247" w:rsidRDefault="00700D21" w:rsidP="00007491">
      <w:pPr>
        <w:pStyle w:val="EndNoteBibliography"/>
        <w:spacing w:after="0"/>
        <w:ind w:left="440" w:hanging="440"/>
      </w:pPr>
      <w:r>
        <w:t>[2</w:t>
      </w:r>
      <w:r w:rsidR="00DF6B22">
        <w:t>1</w:t>
      </w:r>
      <w:r>
        <w:t>]</w:t>
      </w:r>
      <w:r w:rsidR="00E05D6D" w:rsidRPr="00E05D6D">
        <w:t xml:space="preserve"> </w:t>
      </w:r>
      <w:r w:rsidR="00E05D6D" w:rsidRPr="00401247">
        <w:t>E.</w:t>
      </w:r>
      <w:r w:rsidR="00EC7C4A">
        <w:t xml:space="preserve"> </w:t>
      </w:r>
      <w:r w:rsidR="00401247" w:rsidRPr="00401247">
        <w:t xml:space="preserve">Wyatt, </w:t>
      </w:r>
      <w:r w:rsidR="00E05D6D" w:rsidRPr="00401247">
        <w:t>R.</w:t>
      </w:r>
      <w:r w:rsidR="00E05D6D">
        <w:t xml:space="preserve"> </w:t>
      </w:r>
      <w:r w:rsidR="00401247" w:rsidRPr="00401247">
        <w:t xml:space="preserve">Wu, </w:t>
      </w:r>
      <w:r w:rsidR="00E05D6D" w:rsidRPr="00401247">
        <w:t>W.</w:t>
      </w:r>
      <w:r w:rsidR="00E05D6D">
        <w:t xml:space="preserve"> </w:t>
      </w:r>
      <w:r w:rsidR="00401247" w:rsidRPr="00401247">
        <w:t xml:space="preserve">Rabeh, </w:t>
      </w:r>
      <w:r w:rsidR="00E05D6D">
        <w:t>H.</w:t>
      </w:r>
      <w:r w:rsidR="00E05D6D" w:rsidRPr="00401247">
        <w:t>W</w:t>
      </w:r>
      <w:r w:rsidR="00E05D6D">
        <w:t>.</w:t>
      </w:r>
      <w:r w:rsidR="00E05D6D" w:rsidRPr="00401247">
        <w:t xml:space="preserve"> </w:t>
      </w:r>
      <w:r w:rsidR="00401247" w:rsidRPr="00401247">
        <w:t xml:space="preserve">Park, </w:t>
      </w:r>
      <w:r w:rsidR="00E05D6D" w:rsidRPr="00401247">
        <w:t>M.</w:t>
      </w:r>
      <w:r w:rsidR="00E05D6D">
        <w:t xml:space="preserve"> </w:t>
      </w:r>
      <w:r w:rsidR="00401247" w:rsidRPr="00401247">
        <w:t xml:space="preserve">Ghanefar, </w:t>
      </w:r>
      <w:r w:rsidR="00E05D6D" w:rsidRPr="00401247">
        <w:t>H.</w:t>
      </w:r>
      <w:r w:rsidR="00E05D6D">
        <w:t xml:space="preserve"> </w:t>
      </w:r>
      <w:r w:rsidR="00401247" w:rsidRPr="00401247">
        <w:t>Ardehali, Regulation and cytoprotective r</w:t>
      </w:r>
      <w:r w:rsidR="00E05D6D">
        <w:t>ole of hexokinase III, PloS one</w:t>
      </w:r>
      <w:r w:rsidR="00401247" w:rsidRPr="00401247">
        <w:t xml:space="preserve"> 5(11)</w:t>
      </w:r>
      <w:r w:rsidR="00E05D6D">
        <w:t xml:space="preserve"> (2010)</w:t>
      </w:r>
      <w:r w:rsidR="00E05D6D" w:rsidRPr="00E05D6D">
        <w:t xml:space="preserve"> </w:t>
      </w:r>
      <w:r w:rsidR="00E05D6D" w:rsidRPr="002E500A">
        <w:t>e13823.</w:t>
      </w:r>
    </w:p>
    <w:p w14:paraId="054B461C" w14:textId="27C6324E" w:rsidR="00371D32" w:rsidRDefault="00FD766C" w:rsidP="00371D32">
      <w:pPr>
        <w:pStyle w:val="EndNoteBibliography"/>
        <w:spacing w:after="0"/>
        <w:ind w:leftChars="100" w:left="200" w:firstLineChars="100" w:firstLine="240"/>
      </w:pPr>
      <w:hyperlink r:id="rId40" w:history="1">
        <w:r w:rsidR="00371D32" w:rsidRPr="00180961">
          <w:rPr>
            <w:rStyle w:val="a4"/>
          </w:rPr>
          <w:t>https://doi.org/10.1371/journal.pone.0013823</w:t>
        </w:r>
      </w:hyperlink>
    </w:p>
    <w:p w14:paraId="0A490EDD" w14:textId="41D36294" w:rsidR="00401247" w:rsidRDefault="00700D21" w:rsidP="00007491">
      <w:pPr>
        <w:pStyle w:val="EndNoteBibliography"/>
        <w:spacing w:after="0"/>
        <w:ind w:left="440" w:hanging="440"/>
      </w:pPr>
      <w:r>
        <w:t>[2</w:t>
      </w:r>
      <w:r w:rsidR="00DF6B22">
        <w:t>2</w:t>
      </w:r>
      <w:r>
        <w:t>]</w:t>
      </w:r>
      <w:r w:rsidR="00EC7C4A">
        <w:t xml:space="preserve"> </w:t>
      </w:r>
      <w:r w:rsidR="00E05D6D" w:rsidRPr="00401247">
        <w:t>A.</w:t>
      </w:r>
      <w:r w:rsidR="00E05D6D">
        <w:t xml:space="preserve"> </w:t>
      </w:r>
      <w:r w:rsidR="00401247" w:rsidRPr="00401247">
        <w:t xml:space="preserve">Sané, </w:t>
      </w:r>
      <w:r w:rsidR="00E05D6D" w:rsidRPr="00401247">
        <w:t>L.</w:t>
      </w:r>
      <w:r w:rsidR="00E05D6D">
        <w:t xml:space="preserve"> </w:t>
      </w:r>
      <w:r w:rsidR="00401247" w:rsidRPr="00401247">
        <w:t xml:space="preserve">Ahmarani, </w:t>
      </w:r>
      <w:r w:rsidR="00E05D6D" w:rsidRPr="00401247">
        <w:t>E.</w:t>
      </w:r>
      <w:r w:rsidR="00E05D6D">
        <w:t xml:space="preserve"> </w:t>
      </w:r>
      <w:r w:rsidR="00401247" w:rsidRPr="00401247">
        <w:t xml:space="preserve">Delvin, </w:t>
      </w:r>
      <w:r w:rsidR="00E05D6D" w:rsidRPr="00401247">
        <w:t>N.</w:t>
      </w:r>
      <w:r w:rsidR="00E05D6D">
        <w:t xml:space="preserve"> </w:t>
      </w:r>
      <w:r w:rsidR="00401247" w:rsidRPr="00401247">
        <w:t xml:space="preserve">Auclair, </w:t>
      </w:r>
      <w:r w:rsidR="00E05D6D" w:rsidRPr="00401247">
        <w:t>S.</w:t>
      </w:r>
      <w:r w:rsidR="00E05D6D">
        <w:t xml:space="preserve"> </w:t>
      </w:r>
      <w:r w:rsidR="00401247" w:rsidRPr="00401247">
        <w:t xml:space="preserve">Spahis, </w:t>
      </w:r>
      <w:r w:rsidR="00E05D6D" w:rsidRPr="00401247">
        <w:t xml:space="preserve">E. </w:t>
      </w:r>
      <w:r w:rsidR="00401247" w:rsidRPr="00401247">
        <w:t>Levy</w:t>
      </w:r>
      <w:r w:rsidR="00E05D6D">
        <w:t>,</w:t>
      </w:r>
      <w:r w:rsidR="00401247" w:rsidRPr="00401247">
        <w:t xml:space="preserve"> SAR1B GTPase is necessary to protect intestinal cells from disorders of lipid homeostasis, oxi</w:t>
      </w:r>
      <w:r w:rsidR="00E05D6D">
        <w:t>dative stress, and inflammation,</w:t>
      </w:r>
      <w:r w:rsidR="00401247" w:rsidRPr="00401247">
        <w:t xml:space="preserve"> </w:t>
      </w:r>
      <w:r w:rsidR="00E05D6D" w:rsidRPr="00E05D6D">
        <w:t xml:space="preserve">J. Lipid Res. </w:t>
      </w:r>
      <w:r w:rsidR="00E05D6D">
        <w:t>60(10) (2019)</w:t>
      </w:r>
      <w:r w:rsidR="00401247" w:rsidRPr="00401247">
        <w:t xml:space="preserve"> 1755-1764.</w:t>
      </w:r>
      <w:r w:rsidR="00E05D6D" w:rsidRPr="00E05D6D">
        <w:t xml:space="preserve"> </w:t>
      </w:r>
      <w:hyperlink r:id="rId41" w:history="1">
        <w:r w:rsidR="00E05D6D" w:rsidRPr="00A42060">
          <w:rPr>
            <w:rStyle w:val="a4"/>
          </w:rPr>
          <w:t>https://www.jlr.org/content/60/10/1755</w:t>
        </w:r>
      </w:hyperlink>
    </w:p>
    <w:p w14:paraId="4823656F" w14:textId="1251B08D" w:rsidR="00401247" w:rsidRDefault="00700D21" w:rsidP="00007491">
      <w:pPr>
        <w:pStyle w:val="EndNoteBibliography"/>
        <w:ind w:left="440" w:hanging="440"/>
      </w:pPr>
      <w:r>
        <w:t>[2</w:t>
      </w:r>
      <w:r w:rsidR="00DF6B22">
        <w:t>3</w:t>
      </w:r>
      <w:r>
        <w:t>]</w:t>
      </w:r>
      <w:r w:rsidR="00EC7C4A">
        <w:t xml:space="preserve"> </w:t>
      </w:r>
      <w:r w:rsidR="00E05D6D">
        <w:t>S.Y</w:t>
      </w:r>
      <w:r w:rsidR="00E05D6D" w:rsidRPr="00401247">
        <w:t>.</w:t>
      </w:r>
      <w:r w:rsidR="00E05D6D">
        <w:t xml:space="preserve"> </w:t>
      </w:r>
      <w:r w:rsidR="00401247" w:rsidRPr="00401247">
        <w:t xml:space="preserve">Kim, </w:t>
      </w:r>
      <w:r w:rsidR="00E05D6D">
        <w:t>S.M</w:t>
      </w:r>
      <w:r w:rsidR="00E05D6D" w:rsidRPr="00401247">
        <w:t>.</w:t>
      </w:r>
      <w:r w:rsidR="00E05D6D">
        <w:t xml:space="preserve"> </w:t>
      </w:r>
      <w:r w:rsidR="00401247" w:rsidRPr="00401247">
        <w:t xml:space="preserve">Park, </w:t>
      </w:r>
      <w:r w:rsidR="00E05D6D" w:rsidRPr="00401247">
        <w:t xml:space="preserve">S.T. </w:t>
      </w:r>
      <w:r w:rsidR="00401247" w:rsidRPr="00401247">
        <w:t>Lee, Apolipoprotein C-II is a novel substrat</w:t>
      </w:r>
      <w:r w:rsidR="00E05D6D">
        <w:t>e for matrix metalloproteinases,</w:t>
      </w:r>
      <w:r w:rsidR="00401247" w:rsidRPr="00401247">
        <w:t xml:space="preserve"> </w:t>
      </w:r>
      <w:r w:rsidR="00E05D6D" w:rsidRPr="00E05D6D">
        <w:t xml:space="preserve">Biochem. Biophys. Res. Commun. </w:t>
      </w:r>
      <w:r w:rsidR="00E05D6D">
        <w:t xml:space="preserve">339(1) (2006) 47-54. </w:t>
      </w:r>
      <w:hyperlink r:id="rId42" w:history="1">
        <w:r w:rsidR="00E05D6D" w:rsidRPr="00A42060">
          <w:rPr>
            <w:rStyle w:val="a4"/>
          </w:rPr>
          <w:t>https://doi.org/10.1016/j.bbrc.2005.10.182</w:t>
        </w:r>
      </w:hyperlink>
    </w:p>
    <w:p w14:paraId="5FA6CD58" w14:textId="77777777" w:rsidR="00E05D6D" w:rsidRDefault="00E05D6D" w:rsidP="00007491">
      <w:pPr>
        <w:pStyle w:val="EndNoteBibliography"/>
        <w:ind w:left="440" w:hanging="440"/>
      </w:pPr>
    </w:p>
    <w:sectPr w:rsidR="00E05D6D">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7C49B3" w14:textId="77777777" w:rsidR="00FD766C" w:rsidRDefault="00FD766C" w:rsidP="00456C82">
      <w:pPr>
        <w:spacing w:after="0" w:line="240" w:lineRule="auto"/>
      </w:pPr>
      <w:r>
        <w:separator/>
      </w:r>
    </w:p>
  </w:endnote>
  <w:endnote w:type="continuationSeparator" w:id="0">
    <w:p w14:paraId="6DE0E689" w14:textId="77777777" w:rsidR="00FD766C" w:rsidRDefault="00FD766C" w:rsidP="00456C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HY강M">
    <w:altName w:val="바탕"/>
    <w:charset w:val="81"/>
    <w:family w:val="roman"/>
    <w:pitch w:val="variable"/>
    <w:sig w:usb0="800002A7" w:usb1="19D77CF9" w:usb2="00000010" w:usb3="00000000" w:csb0="00080000" w:csb1="00000000"/>
  </w:font>
  <w:font w:name="한양신명조">
    <w:altName w:val="바탕"/>
    <w:panose1 w:val="00000000000000000000"/>
    <w:charset w:val="81"/>
    <w:family w:val="roman"/>
    <w:notTrueType/>
    <w:pitch w:val="default"/>
    <w:sig w:usb0="00000000"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41CA86" w14:textId="77777777" w:rsidR="00FD766C" w:rsidRDefault="00FD766C" w:rsidP="00456C82">
      <w:pPr>
        <w:spacing w:after="0" w:line="240" w:lineRule="auto"/>
      </w:pPr>
      <w:r>
        <w:separator/>
      </w:r>
    </w:p>
  </w:footnote>
  <w:footnote w:type="continuationSeparator" w:id="0">
    <w:p w14:paraId="030EEF25" w14:textId="77777777" w:rsidR="00FD766C" w:rsidRDefault="00FD766C" w:rsidP="00456C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9502AF"/>
    <w:multiLevelType w:val="hybridMultilevel"/>
    <w:tmpl w:val="1E728452"/>
    <w:lvl w:ilvl="0" w:tplc="B0985A7A">
      <w:start w:val="1"/>
      <w:numFmt w:val="decimal"/>
      <w:lvlText w:val="(%1)"/>
      <w:lvlJc w:val="left"/>
      <w:pPr>
        <w:ind w:left="1353" w:hanging="360"/>
      </w:pPr>
      <w:rPr>
        <w:rFonts w:ascii="Times New Roman" w:hAnsi="Times New Roman" w:cs="Times New Roman" w:hint="default"/>
        <w:b w:val="0"/>
      </w:rPr>
    </w:lvl>
    <w:lvl w:ilvl="1" w:tplc="04090019" w:tentative="1">
      <w:start w:val="1"/>
      <w:numFmt w:val="upperLetter"/>
      <w:lvlText w:val="%2."/>
      <w:lvlJc w:val="left"/>
      <w:pPr>
        <w:ind w:left="1793" w:hanging="400"/>
      </w:pPr>
    </w:lvl>
    <w:lvl w:ilvl="2" w:tplc="0409001B" w:tentative="1">
      <w:start w:val="1"/>
      <w:numFmt w:val="lowerRoman"/>
      <w:lvlText w:val="%3."/>
      <w:lvlJc w:val="right"/>
      <w:pPr>
        <w:ind w:left="2193" w:hanging="400"/>
      </w:pPr>
    </w:lvl>
    <w:lvl w:ilvl="3" w:tplc="0409000F" w:tentative="1">
      <w:start w:val="1"/>
      <w:numFmt w:val="decimal"/>
      <w:lvlText w:val="%4."/>
      <w:lvlJc w:val="left"/>
      <w:pPr>
        <w:ind w:left="2593" w:hanging="400"/>
      </w:pPr>
    </w:lvl>
    <w:lvl w:ilvl="4" w:tplc="04090019" w:tentative="1">
      <w:start w:val="1"/>
      <w:numFmt w:val="upperLetter"/>
      <w:lvlText w:val="%5."/>
      <w:lvlJc w:val="left"/>
      <w:pPr>
        <w:ind w:left="2993" w:hanging="400"/>
      </w:pPr>
    </w:lvl>
    <w:lvl w:ilvl="5" w:tplc="0409001B" w:tentative="1">
      <w:start w:val="1"/>
      <w:numFmt w:val="lowerRoman"/>
      <w:lvlText w:val="%6."/>
      <w:lvlJc w:val="right"/>
      <w:pPr>
        <w:ind w:left="3393" w:hanging="400"/>
      </w:pPr>
    </w:lvl>
    <w:lvl w:ilvl="6" w:tplc="0409000F" w:tentative="1">
      <w:start w:val="1"/>
      <w:numFmt w:val="decimal"/>
      <w:lvlText w:val="%7."/>
      <w:lvlJc w:val="left"/>
      <w:pPr>
        <w:ind w:left="3793" w:hanging="400"/>
      </w:pPr>
    </w:lvl>
    <w:lvl w:ilvl="7" w:tplc="04090019" w:tentative="1">
      <w:start w:val="1"/>
      <w:numFmt w:val="upperLetter"/>
      <w:lvlText w:val="%8."/>
      <w:lvlJc w:val="left"/>
      <w:pPr>
        <w:ind w:left="4193" w:hanging="400"/>
      </w:pPr>
    </w:lvl>
    <w:lvl w:ilvl="8" w:tplc="0409001B" w:tentative="1">
      <w:start w:val="1"/>
      <w:numFmt w:val="lowerRoman"/>
      <w:lvlText w:val="%9."/>
      <w:lvlJc w:val="right"/>
      <w:pPr>
        <w:ind w:left="4593" w:hanging="400"/>
      </w:pPr>
    </w:lvl>
  </w:abstractNum>
  <w:abstractNum w:abstractNumId="1" w15:restartNumberingAfterBreak="0">
    <w:nsid w:val="4EC8237A"/>
    <w:multiLevelType w:val="hybridMultilevel"/>
    <w:tmpl w:val="3FECB8BE"/>
    <w:lvl w:ilvl="0" w:tplc="463E2CC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59961364"/>
    <w:multiLevelType w:val="hybridMultilevel"/>
    <w:tmpl w:val="AA645B5C"/>
    <w:lvl w:ilvl="0" w:tplc="9C7A9AE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5FC852BE"/>
    <w:multiLevelType w:val="hybridMultilevel"/>
    <w:tmpl w:val="7D42BCFE"/>
    <w:lvl w:ilvl="0" w:tplc="AF9ECF3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3678"/>
    <w:rsid w:val="000016E4"/>
    <w:rsid w:val="00007491"/>
    <w:rsid w:val="00015E06"/>
    <w:rsid w:val="00073063"/>
    <w:rsid w:val="000C2AC7"/>
    <w:rsid w:val="00196E0B"/>
    <w:rsid w:val="002112E8"/>
    <w:rsid w:val="00213AD9"/>
    <w:rsid w:val="002432AD"/>
    <w:rsid w:val="00315317"/>
    <w:rsid w:val="00323DA6"/>
    <w:rsid w:val="00323E9C"/>
    <w:rsid w:val="003513AA"/>
    <w:rsid w:val="00355F77"/>
    <w:rsid w:val="00371D32"/>
    <w:rsid w:val="003A7A66"/>
    <w:rsid w:val="003B3C92"/>
    <w:rsid w:val="00401247"/>
    <w:rsid w:val="00421514"/>
    <w:rsid w:val="00421D9E"/>
    <w:rsid w:val="004244B9"/>
    <w:rsid w:val="00456C82"/>
    <w:rsid w:val="00482E4F"/>
    <w:rsid w:val="0052047B"/>
    <w:rsid w:val="005A529D"/>
    <w:rsid w:val="00634121"/>
    <w:rsid w:val="006C4EF6"/>
    <w:rsid w:val="00700D21"/>
    <w:rsid w:val="00782A3A"/>
    <w:rsid w:val="007C4B61"/>
    <w:rsid w:val="007F2314"/>
    <w:rsid w:val="00801870"/>
    <w:rsid w:val="008506B2"/>
    <w:rsid w:val="00886F39"/>
    <w:rsid w:val="008C7F64"/>
    <w:rsid w:val="00933678"/>
    <w:rsid w:val="00972302"/>
    <w:rsid w:val="00A27775"/>
    <w:rsid w:val="00A81462"/>
    <w:rsid w:val="00AD1872"/>
    <w:rsid w:val="00AE3015"/>
    <w:rsid w:val="00B55867"/>
    <w:rsid w:val="00C06B3F"/>
    <w:rsid w:val="00C13F33"/>
    <w:rsid w:val="00C2446D"/>
    <w:rsid w:val="00CA6267"/>
    <w:rsid w:val="00CC16B5"/>
    <w:rsid w:val="00D56662"/>
    <w:rsid w:val="00D576AF"/>
    <w:rsid w:val="00DA486E"/>
    <w:rsid w:val="00DA6218"/>
    <w:rsid w:val="00DD0084"/>
    <w:rsid w:val="00DD3184"/>
    <w:rsid w:val="00DF6B22"/>
    <w:rsid w:val="00E05D6D"/>
    <w:rsid w:val="00E206A3"/>
    <w:rsid w:val="00E33C50"/>
    <w:rsid w:val="00E9027A"/>
    <w:rsid w:val="00EC7C4A"/>
    <w:rsid w:val="00FA4EF7"/>
    <w:rsid w:val="00FD766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4A0BC7"/>
  <w15:chartTrackingRefBased/>
  <w15:docId w15:val="{EF561475-C35D-4982-8B8B-B24814277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3367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33678"/>
    <w:pPr>
      <w:ind w:leftChars="400" w:left="800"/>
    </w:pPr>
  </w:style>
  <w:style w:type="character" w:styleId="a4">
    <w:name w:val="Hyperlink"/>
    <w:basedOn w:val="a0"/>
    <w:uiPriority w:val="99"/>
    <w:unhideWhenUsed/>
    <w:rsid w:val="00933678"/>
    <w:rPr>
      <w:color w:val="0000FF"/>
      <w:u w:val="single"/>
    </w:rPr>
  </w:style>
  <w:style w:type="paragraph" w:styleId="a5">
    <w:name w:val="header"/>
    <w:basedOn w:val="a"/>
    <w:link w:val="Char"/>
    <w:uiPriority w:val="99"/>
    <w:unhideWhenUsed/>
    <w:rsid w:val="00456C82"/>
    <w:pPr>
      <w:tabs>
        <w:tab w:val="center" w:pos="4513"/>
        <w:tab w:val="right" w:pos="9026"/>
      </w:tabs>
      <w:snapToGrid w:val="0"/>
    </w:pPr>
  </w:style>
  <w:style w:type="character" w:customStyle="1" w:styleId="Char">
    <w:name w:val="머리글 Char"/>
    <w:basedOn w:val="a0"/>
    <w:link w:val="a5"/>
    <w:uiPriority w:val="99"/>
    <w:rsid w:val="00456C82"/>
  </w:style>
  <w:style w:type="paragraph" w:styleId="a6">
    <w:name w:val="footer"/>
    <w:basedOn w:val="a"/>
    <w:link w:val="Char0"/>
    <w:uiPriority w:val="99"/>
    <w:unhideWhenUsed/>
    <w:rsid w:val="00456C82"/>
    <w:pPr>
      <w:tabs>
        <w:tab w:val="center" w:pos="4513"/>
        <w:tab w:val="right" w:pos="9026"/>
      </w:tabs>
      <w:snapToGrid w:val="0"/>
    </w:pPr>
  </w:style>
  <w:style w:type="character" w:customStyle="1" w:styleId="Char0">
    <w:name w:val="바닥글 Char"/>
    <w:basedOn w:val="a0"/>
    <w:link w:val="a6"/>
    <w:uiPriority w:val="99"/>
    <w:rsid w:val="00456C82"/>
  </w:style>
  <w:style w:type="paragraph" w:customStyle="1" w:styleId="a7">
    <w:name w:val="바탕글"/>
    <w:basedOn w:val="a"/>
    <w:rsid w:val="00456C82"/>
    <w:pPr>
      <w:snapToGrid w:val="0"/>
      <w:spacing w:after="0" w:line="384" w:lineRule="auto"/>
    </w:pPr>
    <w:rPr>
      <w:rFonts w:ascii="바탕" w:eastAsia="바탕" w:hAnsi="바탕" w:cs="굴림"/>
      <w:color w:val="000000"/>
      <w:kern w:val="0"/>
      <w:szCs w:val="20"/>
    </w:rPr>
  </w:style>
  <w:style w:type="paragraph" w:customStyle="1" w:styleId="MS">
    <w:name w:val="MS바탕글"/>
    <w:basedOn w:val="a"/>
    <w:rsid w:val="00456C82"/>
    <w:pPr>
      <w:snapToGrid w:val="0"/>
      <w:spacing w:after="0" w:line="384" w:lineRule="auto"/>
    </w:pPr>
    <w:rPr>
      <w:rFonts w:ascii="바탕" w:eastAsia="바탕" w:hAnsi="Times New Roman" w:cs="굴림"/>
      <w:color w:val="000000"/>
      <w:kern w:val="0"/>
      <w:szCs w:val="20"/>
    </w:rPr>
  </w:style>
  <w:style w:type="paragraph" w:customStyle="1" w:styleId="EndNoteBibliographyTitle">
    <w:name w:val="EndNote Bibliography Title"/>
    <w:basedOn w:val="a"/>
    <w:link w:val="EndNoteBibliographyTitleChar"/>
    <w:rsid w:val="00456C82"/>
    <w:pPr>
      <w:spacing w:after="0"/>
      <w:jc w:val="center"/>
    </w:pPr>
    <w:rPr>
      <w:rFonts w:ascii="Times New Roman" w:eastAsia="맑은 고딕" w:hAnsi="Times New Roman" w:cs="Times New Roman"/>
      <w:noProof/>
      <w:sz w:val="24"/>
    </w:rPr>
  </w:style>
  <w:style w:type="character" w:customStyle="1" w:styleId="EndNoteBibliographyTitleChar">
    <w:name w:val="EndNote Bibliography Title Char"/>
    <w:basedOn w:val="a0"/>
    <w:link w:val="EndNoteBibliographyTitle"/>
    <w:rsid w:val="00456C82"/>
    <w:rPr>
      <w:rFonts w:ascii="Times New Roman" w:eastAsia="맑은 고딕" w:hAnsi="Times New Roman" w:cs="Times New Roman"/>
      <w:noProof/>
      <w:sz w:val="24"/>
    </w:rPr>
  </w:style>
  <w:style w:type="paragraph" w:customStyle="1" w:styleId="EndNoteBibliography">
    <w:name w:val="EndNote Bibliography"/>
    <w:basedOn w:val="a"/>
    <w:link w:val="EndNoteBibliographyChar"/>
    <w:rsid w:val="00456C82"/>
    <w:pPr>
      <w:spacing w:line="480" w:lineRule="auto"/>
      <w:jc w:val="left"/>
    </w:pPr>
    <w:rPr>
      <w:rFonts w:ascii="Times New Roman" w:eastAsia="맑은 고딕" w:hAnsi="Times New Roman" w:cs="Times New Roman"/>
      <w:noProof/>
      <w:sz w:val="24"/>
    </w:rPr>
  </w:style>
  <w:style w:type="character" w:customStyle="1" w:styleId="EndNoteBibliographyChar">
    <w:name w:val="EndNote Bibliography Char"/>
    <w:basedOn w:val="a0"/>
    <w:link w:val="EndNoteBibliography"/>
    <w:rsid w:val="00456C82"/>
    <w:rPr>
      <w:rFonts w:ascii="Times New Roman" w:eastAsia="맑은 고딕" w:hAnsi="Times New Roman" w:cs="Times New Roman"/>
      <w:noProof/>
      <w:sz w:val="24"/>
    </w:rPr>
  </w:style>
  <w:style w:type="character" w:styleId="a8">
    <w:name w:val="FollowedHyperlink"/>
    <w:basedOn w:val="a0"/>
    <w:uiPriority w:val="99"/>
    <w:semiHidden/>
    <w:unhideWhenUsed/>
    <w:rsid w:val="00456C82"/>
    <w:rPr>
      <w:color w:val="954F72" w:themeColor="followedHyperlink"/>
      <w:u w:val="single"/>
    </w:rPr>
  </w:style>
  <w:style w:type="paragraph" w:styleId="a9">
    <w:name w:val="Normal (Web)"/>
    <w:basedOn w:val="a"/>
    <w:uiPriority w:val="99"/>
    <w:semiHidden/>
    <w:unhideWhenUsed/>
    <w:rsid w:val="00456C82"/>
    <w:pPr>
      <w:spacing w:before="100" w:beforeAutospacing="1" w:after="100" w:afterAutospacing="1" w:line="240" w:lineRule="auto"/>
      <w:jc w:val="left"/>
    </w:pPr>
    <w:rPr>
      <w:rFonts w:ascii="굴림" w:eastAsia="굴림" w:hAnsi="굴림" w:cs="굴림"/>
      <w:kern w:val="0"/>
      <w:sz w:val="24"/>
      <w:szCs w:val="24"/>
    </w:rPr>
  </w:style>
  <w:style w:type="character" w:styleId="aa">
    <w:name w:val="Placeholder Text"/>
    <w:basedOn w:val="a0"/>
    <w:uiPriority w:val="99"/>
    <w:semiHidden/>
    <w:rsid w:val="00456C82"/>
    <w:rPr>
      <w:color w:val="808080"/>
    </w:rPr>
  </w:style>
  <w:style w:type="paragraph" w:styleId="ab">
    <w:name w:val="Balloon Text"/>
    <w:basedOn w:val="a"/>
    <w:link w:val="Char1"/>
    <w:uiPriority w:val="99"/>
    <w:semiHidden/>
    <w:unhideWhenUsed/>
    <w:rsid w:val="00456C82"/>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b"/>
    <w:uiPriority w:val="99"/>
    <w:semiHidden/>
    <w:rsid w:val="00456C82"/>
    <w:rPr>
      <w:rFonts w:asciiTheme="majorHAnsi" w:eastAsiaTheme="majorEastAsia" w:hAnsiTheme="majorHAnsi" w:cstheme="majorBidi"/>
      <w:sz w:val="18"/>
      <w:szCs w:val="18"/>
    </w:rPr>
  </w:style>
  <w:style w:type="character" w:styleId="ac">
    <w:name w:val="annotation reference"/>
    <w:basedOn w:val="a0"/>
    <w:uiPriority w:val="99"/>
    <w:semiHidden/>
    <w:unhideWhenUsed/>
    <w:rsid w:val="00456C82"/>
    <w:rPr>
      <w:sz w:val="16"/>
      <w:szCs w:val="16"/>
    </w:rPr>
  </w:style>
  <w:style w:type="paragraph" w:styleId="ad">
    <w:name w:val="annotation text"/>
    <w:basedOn w:val="a"/>
    <w:link w:val="Char2"/>
    <w:uiPriority w:val="99"/>
    <w:semiHidden/>
    <w:unhideWhenUsed/>
    <w:rsid w:val="00456C82"/>
    <w:pPr>
      <w:spacing w:line="240" w:lineRule="auto"/>
    </w:pPr>
    <w:rPr>
      <w:szCs w:val="20"/>
    </w:rPr>
  </w:style>
  <w:style w:type="character" w:customStyle="1" w:styleId="Char2">
    <w:name w:val="메모 텍스트 Char"/>
    <w:basedOn w:val="a0"/>
    <w:link w:val="ad"/>
    <w:uiPriority w:val="99"/>
    <w:semiHidden/>
    <w:rsid w:val="00456C82"/>
    <w:rPr>
      <w:szCs w:val="20"/>
    </w:rPr>
  </w:style>
  <w:style w:type="paragraph" w:styleId="ae">
    <w:name w:val="annotation subject"/>
    <w:basedOn w:val="ad"/>
    <w:next w:val="ad"/>
    <w:link w:val="Char3"/>
    <w:uiPriority w:val="99"/>
    <w:semiHidden/>
    <w:unhideWhenUsed/>
    <w:rsid w:val="00456C82"/>
    <w:rPr>
      <w:b/>
      <w:bCs/>
    </w:rPr>
  </w:style>
  <w:style w:type="character" w:customStyle="1" w:styleId="Char3">
    <w:name w:val="메모 주제 Char"/>
    <w:basedOn w:val="Char2"/>
    <w:link w:val="ae"/>
    <w:uiPriority w:val="99"/>
    <w:semiHidden/>
    <w:rsid w:val="00456C82"/>
    <w:rPr>
      <w:b/>
      <w:bCs/>
      <w:szCs w:val="20"/>
    </w:rPr>
  </w:style>
  <w:style w:type="paragraph" w:styleId="af">
    <w:name w:val="Revision"/>
    <w:hidden/>
    <w:uiPriority w:val="99"/>
    <w:semiHidden/>
    <w:rsid w:val="00456C82"/>
    <w:pPr>
      <w:spacing w:after="0" w:line="240" w:lineRule="auto"/>
      <w:jc w:val="left"/>
    </w:pPr>
  </w:style>
  <w:style w:type="character" w:customStyle="1" w:styleId="1">
    <w:name w:val="확인되지 않은 멘션1"/>
    <w:basedOn w:val="a0"/>
    <w:uiPriority w:val="99"/>
    <w:semiHidden/>
    <w:unhideWhenUsed/>
    <w:rsid w:val="00371D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7771803">
      <w:bodyDiv w:val="1"/>
      <w:marLeft w:val="0"/>
      <w:marRight w:val="0"/>
      <w:marTop w:val="0"/>
      <w:marBottom w:val="0"/>
      <w:divBdr>
        <w:top w:val="none" w:sz="0" w:space="0" w:color="auto"/>
        <w:left w:val="none" w:sz="0" w:space="0" w:color="auto"/>
        <w:bottom w:val="none" w:sz="0" w:space="0" w:color="auto"/>
        <w:right w:val="none" w:sz="0" w:space="0" w:color="auto"/>
      </w:divBdr>
    </w:div>
    <w:div w:id="939993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hyperlink" Target="https://doi.org/10.1186/s13293-017-0158-2" TargetMode="External"/><Relationship Id="rId39" Type="http://schemas.openxmlformats.org/officeDocument/2006/relationships/hyperlink" Target="https://doi.org/10.1155/2018/3930750" TargetMode="External"/><Relationship Id="rId21" Type="http://schemas.openxmlformats.org/officeDocument/2006/relationships/hyperlink" Target="https://doi.org/10.1109/TMAG.2012.2225829" TargetMode="External"/><Relationship Id="rId34" Type="http://schemas.openxmlformats.org/officeDocument/2006/relationships/hyperlink" Target="https://doi.org/10.1074/jbc.M104831200" TargetMode="External"/><Relationship Id="rId42" Type="http://schemas.openxmlformats.org/officeDocument/2006/relationships/hyperlink" Target="https://doi.org/10.1016/j.bbrc.2005.10.182" TargetMode="External"/><Relationship Id="rId7" Type="http://schemas.openxmlformats.org/officeDocument/2006/relationships/hyperlink" Target="mailto:okas2000@hanmail.net" TargetMode="Externa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hyperlink" Target="https://doi.org/10.1016/j.jconrel.2012.01.043" TargetMode="External"/><Relationship Id="rId29" Type="http://schemas.openxmlformats.org/officeDocument/2006/relationships/hyperlink" Target="https://doi.org/10.1091/mbc.11.7.2201" TargetMode="External"/><Relationship Id="rId41" Type="http://schemas.openxmlformats.org/officeDocument/2006/relationships/hyperlink" Target="https://www.jlr.org/content/60/10/1755"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tiff"/><Relationship Id="rId24" Type="http://schemas.openxmlformats.org/officeDocument/2006/relationships/hyperlink" Target="https://doi.org/10.1007/s11427-011-4215-5" TargetMode="External"/><Relationship Id="rId32" Type="http://schemas.openxmlformats.org/officeDocument/2006/relationships/hyperlink" Target="https://doi.org/10.1074/jbc.m109507200" TargetMode="External"/><Relationship Id="rId37" Type="http://schemas.openxmlformats.org/officeDocument/2006/relationships/hyperlink" Target="https://doi.org/10.1093/hmg/ddv298" TargetMode="External"/><Relationship Id="rId40" Type="http://schemas.openxmlformats.org/officeDocument/2006/relationships/hyperlink" Target="https://doi.org/10.1371/journal.pone.0013823" TargetMode="Externa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hyperlink" Target="https://doi.org/10.1039/c0nr00944j" TargetMode="External"/><Relationship Id="rId28" Type="http://schemas.openxmlformats.org/officeDocument/2006/relationships/hyperlink" Target="https://doi.org/10.1016/j.cmet.2008.07.00510.1083/jcb.141.7.1489" TargetMode="External"/><Relationship Id="rId36" Type="http://schemas.openxmlformats.org/officeDocument/2006/relationships/hyperlink" Target="https://doi.org/10.1073/pnas.2336103100" TargetMode="Externa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yperlink" Target="https://doi.org/10.1074/jbc.m114.588038"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tiff"/><Relationship Id="rId14" Type="http://schemas.openxmlformats.org/officeDocument/2006/relationships/image" Target="media/image7.png"/><Relationship Id="rId22" Type="http://schemas.openxmlformats.org/officeDocument/2006/relationships/hyperlink" Target="https://doi.org/10.1002/cnma.201600333" TargetMode="External"/><Relationship Id="rId27" Type="http://schemas.openxmlformats.org/officeDocument/2006/relationships/hyperlink" Target="https://doi.org/10.1016/j.cmet.2008.07.005" TargetMode="External"/><Relationship Id="rId30" Type="http://schemas.openxmlformats.org/officeDocument/2006/relationships/hyperlink" Target="https://doi.org/10.1074/jbc.M112.440370" TargetMode="External"/><Relationship Id="rId35" Type="http://schemas.openxmlformats.org/officeDocument/2006/relationships/hyperlink" Target="https://doi.org/10.1242/jcs.032441" TargetMode="External"/><Relationship Id="rId43" Type="http://schemas.openxmlformats.org/officeDocument/2006/relationships/fontTable" Target="fontTable.xml"/><Relationship Id="rId8" Type="http://schemas.openxmlformats.org/officeDocument/2006/relationships/image" Target="media/image1.png"/><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yperlink" Target="https://doi.org/10.1371/journal.pone.0078435" TargetMode="External"/><Relationship Id="rId33" Type="http://schemas.openxmlformats.org/officeDocument/2006/relationships/hyperlink" Target="https://doi.org/10.1002/ijc.2910530613" TargetMode="External"/><Relationship Id="rId38" Type="http://schemas.openxmlformats.org/officeDocument/2006/relationships/hyperlink" Target="https://doi.org/10.1093/hmg/ddu042"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445</TotalTime>
  <Pages>17</Pages>
  <Words>2960</Words>
  <Characters>16872</Characters>
  <Application>Microsoft Office Word</Application>
  <DocSecurity>0</DocSecurity>
  <Lines>140</Lines>
  <Paragraphs>39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19793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dong jun park</dc:creator>
  <cp:keywords/>
  <dc:description/>
  <cp:lastModifiedBy>dong jun park</cp:lastModifiedBy>
  <cp:revision>32</cp:revision>
  <dcterms:created xsi:type="dcterms:W3CDTF">2020-04-28T12:30:00Z</dcterms:created>
  <dcterms:modified xsi:type="dcterms:W3CDTF">2020-07-13T11:37:00Z</dcterms:modified>
</cp:coreProperties>
</file>