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CD09" w14:textId="67F65FA8" w:rsidR="00DF081F" w:rsidRDefault="00DF081F" w:rsidP="00DF081F">
      <w:pPr>
        <w:spacing w:line="480" w:lineRule="auto"/>
        <w:jc w:val="center"/>
        <w:rPr>
          <w:rFonts w:ascii="Times New Roman" w:hAnsi="Times New Roman" w:cs="Times New Roman" w:hint="eastAsia"/>
          <w:b/>
          <w:bCs/>
          <w:sz w:val="24"/>
          <w:szCs w:val="24"/>
        </w:rPr>
      </w:pPr>
      <w:bookmarkStart w:id="0" w:name="_Hlk124235400"/>
      <w:r w:rsidRPr="00DF081F">
        <w:rPr>
          <w:rFonts w:ascii="Times New Roman" w:hAnsi="Times New Roman" w:cs="Times New Roman"/>
          <w:b/>
          <w:bCs/>
          <w:sz w:val="24"/>
          <w:szCs w:val="24"/>
        </w:rPr>
        <w:t>Electronic Supplementary Material</w:t>
      </w:r>
    </w:p>
    <w:p w14:paraId="42E9B4F2" w14:textId="314DF8F6" w:rsidR="00B96228" w:rsidRPr="00382E1B" w:rsidRDefault="00B96228" w:rsidP="001F0E6A">
      <w:pPr>
        <w:spacing w:line="480" w:lineRule="auto"/>
        <w:jc w:val="center"/>
        <w:rPr>
          <w:rFonts w:ascii="Times New Roman" w:hAnsi="Times New Roman" w:cs="Times New Roman"/>
          <w:b/>
          <w:bCs/>
          <w:sz w:val="24"/>
          <w:szCs w:val="24"/>
        </w:rPr>
      </w:pPr>
      <w:r w:rsidRPr="00382E1B">
        <w:rPr>
          <w:rFonts w:ascii="Times New Roman" w:hAnsi="Times New Roman" w:cs="Times New Roman"/>
          <w:b/>
          <w:bCs/>
          <w:sz w:val="24"/>
          <w:szCs w:val="24"/>
        </w:rPr>
        <w:t xml:space="preserve">Application of </w:t>
      </w:r>
      <w:bookmarkStart w:id="1" w:name="_Hlk129077441"/>
      <w:r w:rsidRPr="00382E1B">
        <w:rPr>
          <w:rFonts w:ascii="Times New Roman" w:hAnsi="Times New Roman" w:cs="Times New Roman"/>
          <w:b/>
          <w:bCs/>
          <w:sz w:val="24"/>
          <w:szCs w:val="24"/>
        </w:rPr>
        <w:t xml:space="preserve">Dynamic </w:t>
      </w:r>
      <w:r w:rsidR="00C32728" w:rsidRPr="00382E1B">
        <w:rPr>
          <w:rFonts w:ascii="Times New Roman" w:hAnsi="Times New Roman" w:cs="Times New Roman"/>
          <w:b/>
          <w:bCs/>
          <w:sz w:val="24"/>
          <w:szCs w:val="24"/>
        </w:rPr>
        <w:t>[</w:t>
      </w:r>
      <w:r w:rsidRPr="00382E1B">
        <w:rPr>
          <w:rFonts w:ascii="Times New Roman" w:hAnsi="Times New Roman" w:cs="Times New Roman"/>
          <w:b/>
          <w:bCs/>
          <w:sz w:val="24"/>
          <w:szCs w:val="24"/>
          <w:vertAlign w:val="superscript"/>
        </w:rPr>
        <w:t>18</w:t>
      </w:r>
      <w:r w:rsidRPr="00382E1B">
        <w:rPr>
          <w:rFonts w:ascii="Times New Roman" w:hAnsi="Times New Roman" w:cs="Times New Roman"/>
          <w:b/>
          <w:bCs/>
          <w:sz w:val="24"/>
          <w:szCs w:val="24"/>
        </w:rPr>
        <w:t>F</w:t>
      </w:r>
      <w:r w:rsidR="00C32728" w:rsidRPr="00382E1B">
        <w:rPr>
          <w:rFonts w:ascii="Times New Roman" w:hAnsi="Times New Roman" w:cs="Times New Roman"/>
          <w:b/>
          <w:bCs/>
          <w:sz w:val="24"/>
          <w:szCs w:val="24"/>
        </w:rPr>
        <w:t>]</w:t>
      </w:r>
      <w:r w:rsidRPr="00382E1B">
        <w:rPr>
          <w:rFonts w:ascii="Times New Roman" w:hAnsi="Times New Roman" w:cs="Times New Roman"/>
          <w:b/>
          <w:bCs/>
          <w:sz w:val="24"/>
          <w:szCs w:val="24"/>
        </w:rPr>
        <w:t>-FDG PET/CT Multiparametric Imaging</w:t>
      </w:r>
      <w:bookmarkEnd w:id="1"/>
      <w:r w:rsidRPr="00382E1B">
        <w:rPr>
          <w:rFonts w:ascii="Times New Roman" w:hAnsi="Times New Roman" w:cs="Times New Roman"/>
          <w:b/>
          <w:bCs/>
          <w:sz w:val="24"/>
          <w:szCs w:val="24"/>
        </w:rPr>
        <w:t xml:space="preserve"> Leads to an Improved Differentiation of Benign and Malignant Lung Lesions</w:t>
      </w:r>
    </w:p>
    <w:p w14:paraId="68296711" w14:textId="5831FD59" w:rsidR="00DF081F" w:rsidRDefault="00DF081F" w:rsidP="00DF081F">
      <w:pPr>
        <w:spacing w:line="480" w:lineRule="auto"/>
        <w:jc w:val="center"/>
        <w:rPr>
          <w:rFonts w:ascii="Times New Roman" w:hAnsi="Times New Roman" w:cs="Times New Roman" w:hint="eastAsia"/>
          <w:b/>
          <w:bCs/>
          <w:sz w:val="24"/>
          <w:szCs w:val="24"/>
        </w:rPr>
      </w:pPr>
      <w:r w:rsidRPr="00DF081F">
        <w:rPr>
          <w:rFonts w:ascii="Times New Roman" w:hAnsi="Times New Roman" w:cs="Times New Roman"/>
          <w:b/>
          <w:bCs/>
          <w:sz w:val="24"/>
          <w:szCs w:val="24"/>
        </w:rPr>
        <w:t>Journal: Molecular Imaging and Biology</w:t>
      </w:r>
    </w:p>
    <w:p w14:paraId="7356CC92" w14:textId="77777777" w:rsidR="00DF081F" w:rsidRPr="00B52F10" w:rsidRDefault="00DF081F" w:rsidP="00DF081F">
      <w:pPr>
        <w:spacing w:line="480" w:lineRule="auto"/>
        <w:rPr>
          <w:rFonts w:ascii="Times New Roman" w:hAnsi="Times New Roman" w:cs="Times New Roman"/>
          <w:bCs/>
          <w:sz w:val="24"/>
          <w:szCs w:val="24"/>
        </w:rPr>
      </w:pPr>
      <w:r w:rsidRPr="00B52F10">
        <w:rPr>
          <w:rFonts w:ascii="Times New Roman" w:hAnsi="Times New Roman" w:cs="Times New Roman"/>
          <w:bCs/>
          <w:sz w:val="24"/>
          <w:szCs w:val="24"/>
        </w:rPr>
        <w:t>Yi</w:t>
      </w:r>
      <w:r w:rsidRPr="00B52F10">
        <w:rPr>
          <w:rFonts w:ascii="Times New Roman" w:hAnsi="Times New Roman" w:cs="Times New Roman" w:hint="eastAsia"/>
          <w:bCs/>
          <w:sz w:val="24"/>
          <w:szCs w:val="24"/>
        </w:rPr>
        <w:t>h</w:t>
      </w:r>
      <w:r w:rsidRPr="00B52F10">
        <w:rPr>
          <w:rFonts w:ascii="Times New Roman" w:hAnsi="Times New Roman" w:cs="Times New Roman"/>
          <w:bCs/>
          <w:sz w:val="24"/>
          <w:szCs w:val="24"/>
        </w:rPr>
        <w:t>an Zhao</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Tao Lv</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Yue Xu</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xml:space="preserve">, </w:t>
      </w:r>
      <w:proofErr w:type="spellStart"/>
      <w:r w:rsidRPr="00B52F10">
        <w:rPr>
          <w:rFonts w:ascii="Times New Roman" w:hAnsi="Times New Roman" w:cs="Times New Roman"/>
          <w:bCs/>
          <w:sz w:val="24"/>
          <w:szCs w:val="24"/>
        </w:rPr>
        <w:t>Jiankang</w:t>
      </w:r>
      <w:proofErr w:type="spellEnd"/>
      <w:r w:rsidRPr="00B52F10">
        <w:rPr>
          <w:rFonts w:ascii="Times New Roman" w:hAnsi="Times New Roman" w:cs="Times New Roman"/>
          <w:bCs/>
          <w:sz w:val="24"/>
          <w:szCs w:val="24"/>
        </w:rPr>
        <w:t xml:space="preserve"> Yin</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Xin Wang</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xml:space="preserve">, </w:t>
      </w:r>
      <w:proofErr w:type="spellStart"/>
      <w:r w:rsidRPr="00B52F10">
        <w:rPr>
          <w:rFonts w:ascii="Times New Roman" w:hAnsi="Times New Roman" w:cs="Times New Roman"/>
          <w:bCs/>
          <w:sz w:val="24"/>
          <w:szCs w:val="24"/>
        </w:rPr>
        <w:t>Yangyang</w:t>
      </w:r>
      <w:proofErr w:type="spellEnd"/>
      <w:r w:rsidRPr="00B52F10">
        <w:rPr>
          <w:rFonts w:ascii="Times New Roman" w:hAnsi="Times New Roman" w:cs="Times New Roman"/>
          <w:bCs/>
          <w:sz w:val="24"/>
          <w:szCs w:val="24"/>
        </w:rPr>
        <w:t xml:space="preserve"> Xue</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Gan Zhu</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W</w:t>
      </w:r>
      <w:r w:rsidRPr="00B52F10">
        <w:rPr>
          <w:rFonts w:ascii="Times New Roman" w:hAnsi="Times New Roman" w:cs="Times New Roman" w:hint="eastAsia"/>
          <w:bCs/>
          <w:sz w:val="24"/>
          <w:szCs w:val="24"/>
        </w:rPr>
        <w:t>en</w:t>
      </w:r>
      <w:r w:rsidRPr="00B52F10">
        <w:rPr>
          <w:rFonts w:ascii="Times New Roman" w:hAnsi="Times New Roman" w:cs="Times New Roman"/>
          <w:bCs/>
          <w:sz w:val="24"/>
          <w:szCs w:val="24"/>
        </w:rPr>
        <w:t>jing Yu</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Hui Wang</w:t>
      </w: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X</w:t>
      </w:r>
      <w:r w:rsidRPr="00B52F10">
        <w:rPr>
          <w:rFonts w:ascii="Times New Roman" w:hAnsi="Times New Roman" w:cs="Times New Roman" w:hint="eastAsia"/>
          <w:bCs/>
          <w:sz w:val="24"/>
          <w:szCs w:val="24"/>
        </w:rPr>
        <w:t>iao</w:t>
      </w:r>
      <w:r w:rsidRPr="00B52F10">
        <w:rPr>
          <w:rFonts w:ascii="Times New Roman" w:hAnsi="Times New Roman" w:cs="Times New Roman"/>
          <w:bCs/>
          <w:sz w:val="24"/>
          <w:szCs w:val="24"/>
        </w:rPr>
        <w:t>hu Li</w:t>
      </w:r>
      <w:proofErr w:type="gramStart"/>
      <w:r w:rsidRPr="00B52F10">
        <w:rPr>
          <w:rFonts w:ascii="Times New Roman" w:hAnsi="Times New Roman" w:cs="Times New Roman"/>
          <w:bCs/>
          <w:sz w:val="24"/>
          <w:szCs w:val="24"/>
          <w:vertAlign w:val="superscript"/>
        </w:rPr>
        <w:t>2,</w:t>
      </w:r>
      <w:r w:rsidRPr="00B52F10">
        <w:rPr>
          <w:rFonts w:ascii="Times New Roman" w:hAnsi="Times New Roman" w:cs="Times New Roman"/>
          <w:bCs/>
          <w:sz w:val="24"/>
          <w:szCs w:val="24"/>
        </w:rPr>
        <w:t>*</w:t>
      </w:r>
      <w:proofErr w:type="gramEnd"/>
    </w:p>
    <w:p w14:paraId="63F30376" w14:textId="77777777" w:rsidR="00DF081F" w:rsidRPr="00B52F10" w:rsidRDefault="00DF081F" w:rsidP="00DF081F">
      <w:pPr>
        <w:spacing w:line="480" w:lineRule="auto"/>
        <w:rPr>
          <w:rFonts w:ascii="Times New Roman" w:hAnsi="Times New Roman" w:cs="Times New Roman"/>
          <w:bCs/>
          <w:sz w:val="24"/>
          <w:szCs w:val="24"/>
        </w:rPr>
      </w:pPr>
      <w:r w:rsidRPr="00B52F10">
        <w:rPr>
          <w:rFonts w:ascii="Times New Roman" w:hAnsi="Times New Roman" w:cs="Times New Roman"/>
          <w:bCs/>
          <w:sz w:val="24"/>
          <w:szCs w:val="24"/>
          <w:vertAlign w:val="superscript"/>
        </w:rPr>
        <w:t>1</w:t>
      </w:r>
      <w:r w:rsidRPr="00B52F10">
        <w:rPr>
          <w:rFonts w:ascii="Times New Roman" w:hAnsi="Times New Roman" w:cs="Times New Roman"/>
          <w:bCs/>
          <w:sz w:val="24"/>
          <w:szCs w:val="24"/>
        </w:rPr>
        <w:t xml:space="preserve"> Department of Nuclear Medicine, the First Affiliated Hospital of Anhui Medical University, Hefei, China</w:t>
      </w:r>
    </w:p>
    <w:p w14:paraId="7CD8A865" w14:textId="77777777" w:rsidR="00DF081F" w:rsidRPr="00B52F10" w:rsidRDefault="00DF081F" w:rsidP="00DF081F">
      <w:pPr>
        <w:spacing w:line="480" w:lineRule="auto"/>
        <w:rPr>
          <w:rFonts w:ascii="Times New Roman" w:hAnsi="Times New Roman" w:cs="Times New Roman"/>
          <w:bCs/>
          <w:sz w:val="24"/>
          <w:szCs w:val="24"/>
        </w:rPr>
      </w:pPr>
      <w:r w:rsidRPr="00B52F10">
        <w:rPr>
          <w:rFonts w:ascii="Times New Roman" w:hAnsi="Times New Roman" w:cs="Times New Roman"/>
          <w:bCs/>
          <w:sz w:val="24"/>
          <w:szCs w:val="24"/>
          <w:vertAlign w:val="superscript"/>
        </w:rPr>
        <w:t>2</w:t>
      </w:r>
      <w:r w:rsidRPr="00B52F10">
        <w:rPr>
          <w:rFonts w:ascii="Times New Roman" w:hAnsi="Times New Roman" w:cs="Times New Roman"/>
          <w:bCs/>
          <w:sz w:val="24"/>
          <w:szCs w:val="24"/>
        </w:rPr>
        <w:t xml:space="preserve"> Department of Radiology, the First Affiliated Hospital of Anhui Medical University, Research Center of Clinical Medical Imaging, Anhui Province Clinical Image Quality Control Center, Hefei, China</w:t>
      </w:r>
    </w:p>
    <w:p w14:paraId="1EC1256D" w14:textId="77777777" w:rsidR="00DF081F" w:rsidRPr="00B52F10" w:rsidRDefault="00DF081F" w:rsidP="00DF081F">
      <w:pPr>
        <w:spacing w:line="480" w:lineRule="auto"/>
        <w:rPr>
          <w:rFonts w:ascii="Times New Roman" w:hAnsi="Times New Roman" w:cs="Times New Roman"/>
          <w:b/>
          <w:sz w:val="24"/>
          <w:szCs w:val="24"/>
        </w:rPr>
      </w:pPr>
      <w:bookmarkStart w:id="2" w:name="OLE_LINK3"/>
      <w:bookmarkStart w:id="3" w:name="OLE_LINK4"/>
      <w:r w:rsidRPr="00B52F10">
        <w:rPr>
          <w:rFonts w:ascii="Times New Roman" w:hAnsi="Times New Roman" w:cs="Times New Roman"/>
          <w:b/>
          <w:sz w:val="24"/>
          <w:szCs w:val="24"/>
        </w:rPr>
        <w:t>Corresponding author</w:t>
      </w:r>
    </w:p>
    <w:p w14:paraId="72C58E73" w14:textId="77777777" w:rsidR="00DF081F" w:rsidRPr="00B52F10" w:rsidRDefault="00DF081F" w:rsidP="00DF081F">
      <w:pPr>
        <w:spacing w:line="480" w:lineRule="auto"/>
        <w:rPr>
          <w:rFonts w:ascii="Times New Roman" w:hAnsi="Times New Roman" w:cs="Times New Roman"/>
          <w:bCs/>
          <w:sz w:val="24"/>
          <w:szCs w:val="24"/>
        </w:rPr>
      </w:pPr>
      <w:bookmarkStart w:id="4" w:name="OLE_LINK32"/>
      <w:bookmarkStart w:id="5" w:name="OLE_LINK33"/>
      <w:bookmarkEnd w:id="2"/>
      <w:bookmarkEnd w:id="3"/>
      <w:r w:rsidRPr="00B52F10">
        <w:rPr>
          <w:rFonts w:ascii="Times New Roman" w:hAnsi="Times New Roman" w:cs="Times New Roman"/>
          <w:bCs/>
          <w:sz w:val="24"/>
          <w:szCs w:val="24"/>
        </w:rPr>
        <w:t>Xiaohu Li, MD, PhD</w:t>
      </w:r>
    </w:p>
    <w:bookmarkEnd w:id="4"/>
    <w:bookmarkEnd w:id="5"/>
    <w:p w14:paraId="1FF6D966" w14:textId="77777777" w:rsidR="00DF081F" w:rsidRPr="00B52F10" w:rsidRDefault="00DF081F" w:rsidP="00DF081F">
      <w:pPr>
        <w:spacing w:line="480" w:lineRule="auto"/>
        <w:rPr>
          <w:rFonts w:ascii="Times New Roman" w:hAnsi="Times New Roman" w:cs="Times New Roman"/>
          <w:bCs/>
          <w:sz w:val="24"/>
          <w:szCs w:val="24"/>
        </w:rPr>
      </w:pPr>
      <w:r w:rsidRPr="00B52F10">
        <w:rPr>
          <w:rFonts w:ascii="Times New Roman" w:hAnsi="Times New Roman" w:cs="Times New Roman"/>
          <w:bCs/>
          <w:sz w:val="24"/>
          <w:szCs w:val="24"/>
        </w:rPr>
        <w:t>E</w:t>
      </w:r>
      <w:r>
        <w:rPr>
          <w:rFonts w:ascii="Times New Roman" w:hAnsi="Times New Roman" w:cs="Times New Roman"/>
          <w:bCs/>
          <w:sz w:val="24"/>
          <w:szCs w:val="24"/>
        </w:rPr>
        <w:t>-</w:t>
      </w:r>
      <w:r w:rsidRPr="00B52F10">
        <w:rPr>
          <w:rFonts w:ascii="Times New Roman" w:hAnsi="Times New Roman" w:cs="Times New Roman"/>
          <w:bCs/>
          <w:sz w:val="24"/>
          <w:szCs w:val="24"/>
        </w:rPr>
        <w:t xml:space="preserve">mail: lixiaohu@ahmu.edu.com </w:t>
      </w:r>
    </w:p>
    <w:p w14:paraId="5BFEEF33" w14:textId="77777777" w:rsidR="00DF081F" w:rsidRPr="00B52F10" w:rsidRDefault="00DF081F" w:rsidP="00DF081F">
      <w:pPr>
        <w:spacing w:line="480" w:lineRule="auto"/>
        <w:rPr>
          <w:rFonts w:ascii="Times New Roman" w:hAnsi="Times New Roman" w:cs="Times New Roman"/>
          <w:bCs/>
          <w:sz w:val="24"/>
          <w:szCs w:val="24"/>
        </w:rPr>
      </w:pPr>
      <w:r w:rsidRPr="00B52F10">
        <w:rPr>
          <w:rFonts w:ascii="Times New Roman" w:hAnsi="Times New Roman" w:cs="Times New Roman"/>
          <w:bCs/>
          <w:sz w:val="24"/>
          <w:szCs w:val="24"/>
        </w:rPr>
        <w:t>Phone number: +86-551-62923058</w:t>
      </w:r>
    </w:p>
    <w:p w14:paraId="04D76645" w14:textId="77777777" w:rsidR="00DF081F" w:rsidRPr="00382E1B" w:rsidRDefault="00DF081F" w:rsidP="00DF081F">
      <w:pPr>
        <w:spacing w:line="480" w:lineRule="auto"/>
        <w:rPr>
          <w:rFonts w:ascii="Times New Roman" w:hAnsi="Times New Roman" w:cs="Times New Roman" w:hint="eastAsia"/>
          <w:b/>
          <w:bCs/>
          <w:sz w:val="24"/>
          <w:szCs w:val="24"/>
        </w:rPr>
      </w:pPr>
    </w:p>
    <w:bookmarkEnd w:id="0"/>
    <w:p w14:paraId="62A0EEEA" w14:textId="77777777" w:rsidR="00B96228" w:rsidRPr="00382E1B" w:rsidRDefault="00B96228" w:rsidP="004F5A8C">
      <w:pPr>
        <w:spacing w:line="480" w:lineRule="auto"/>
        <w:rPr>
          <w:rFonts w:ascii="Times New Roman" w:hAnsi="Times New Roman" w:cs="Times New Roman"/>
          <w:b/>
          <w:bCs/>
          <w:sz w:val="24"/>
          <w:szCs w:val="24"/>
        </w:rPr>
      </w:pPr>
      <w:r w:rsidRPr="00382E1B">
        <w:rPr>
          <w:rFonts w:ascii="Times New Roman" w:hAnsi="Times New Roman" w:cs="Times New Roman"/>
          <w:b/>
          <w:bCs/>
          <w:sz w:val="24"/>
          <w:szCs w:val="24"/>
        </w:rPr>
        <w:t>Materials and methods</w:t>
      </w:r>
    </w:p>
    <w:p w14:paraId="254030C8" w14:textId="77777777" w:rsidR="00B96228" w:rsidRPr="00382E1B" w:rsidRDefault="00B96228" w:rsidP="004F5A8C">
      <w:pPr>
        <w:spacing w:line="480" w:lineRule="auto"/>
        <w:rPr>
          <w:rFonts w:ascii="Times New Roman" w:hAnsi="Times New Roman" w:cs="Times New Roman"/>
          <w:b/>
          <w:bCs/>
          <w:sz w:val="24"/>
          <w:szCs w:val="24"/>
        </w:rPr>
      </w:pPr>
      <w:r w:rsidRPr="00382E1B">
        <w:rPr>
          <w:rFonts w:ascii="Times New Roman" w:hAnsi="Times New Roman" w:cs="Times New Roman"/>
          <w:b/>
          <w:bCs/>
          <w:sz w:val="24"/>
          <w:szCs w:val="24"/>
        </w:rPr>
        <w:t>Dynamic PET/CT data acquisition and images reconstruction</w:t>
      </w:r>
    </w:p>
    <w:p w14:paraId="14AC2070" w14:textId="2D02F5E7" w:rsidR="00B96228" w:rsidRPr="00382E1B" w:rsidRDefault="00B96228" w:rsidP="006E21A9">
      <w:pPr>
        <w:spacing w:line="480" w:lineRule="auto"/>
        <w:ind w:firstLine="420"/>
        <w:rPr>
          <w:rFonts w:ascii="Times New Roman" w:hAnsi="Times New Roman" w:cs="Times New Roman"/>
          <w:sz w:val="24"/>
          <w:szCs w:val="24"/>
        </w:rPr>
      </w:pPr>
      <w:r w:rsidRPr="00382E1B">
        <w:rPr>
          <w:rFonts w:ascii="Times New Roman" w:hAnsi="Times New Roman" w:cs="Times New Roman"/>
          <w:sz w:val="24"/>
          <w:szCs w:val="24"/>
        </w:rPr>
        <w:t xml:space="preserve">This PET acquisition protocol consisted of two steps: (1) a 6-min single-bed list-mode cardiac dynamic PET acquisition with scan region containing organs such as heart, liver and most importantly aorta, 26 passes in total (12 × 5 s, 6 × 10 s, 8 × 30 s), this step extracted the input function (IF) from the blood pool region; (2) a 65-min WBD </w:t>
      </w:r>
      <w:r w:rsidRPr="00382E1B">
        <w:rPr>
          <w:rFonts w:ascii="Times New Roman" w:hAnsi="Times New Roman" w:cs="Times New Roman"/>
          <w:sz w:val="24"/>
          <w:szCs w:val="24"/>
        </w:rPr>
        <w:lastRenderedPageBreak/>
        <w:t>PET scan in continuous bed motion mode (CBM) consisting of 16 passes (5 × 120 s, 11 × 300 s), the procedure generates both standard static SUV image and additional parametric images (MR</w:t>
      </w:r>
      <w:r w:rsidRPr="00382E1B">
        <w:rPr>
          <w:rFonts w:ascii="Times New Roman" w:hAnsi="Times New Roman" w:cs="Times New Roman"/>
          <w:sz w:val="24"/>
          <w:szCs w:val="24"/>
          <w:vertAlign w:val="subscript"/>
        </w:rPr>
        <w:t>FDG</w:t>
      </w:r>
      <w:r w:rsidRPr="00382E1B">
        <w:rPr>
          <w:rFonts w:ascii="Times New Roman" w:hAnsi="Times New Roman" w:cs="Times New Roman"/>
          <w:sz w:val="24"/>
          <w:szCs w:val="24"/>
        </w:rPr>
        <w:t xml:space="preserve"> and DV</w:t>
      </w:r>
      <w:r w:rsidRPr="00382E1B">
        <w:rPr>
          <w:rFonts w:ascii="Times New Roman" w:hAnsi="Times New Roman" w:cs="Times New Roman"/>
          <w:sz w:val="24"/>
          <w:szCs w:val="24"/>
          <w:vertAlign w:val="subscript"/>
        </w:rPr>
        <w:t>FDG</w:t>
      </w:r>
      <w:r w:rsidRPr="00382E1B">
        <w:rPr>
          <w:rFonts w:ascii="Times New Roman" w:hAnsi="Times New Roman" w:cs="Times New Roman"/>
          <w:sz w:val="24"/>
          <w:szCs w:val="24"/>
        </w:rPr>
        <w:t xml:space="preserve">). The conventional static clinical PET images were reconstructed using the last three dynamic PET frames (60 to 75 min after injection), being equivalent to standard </w:t>
      </w:r>
      <w:r w:rsidR="009824E9"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9824E9" w:rsidRPr="00382E1B">
        <w:rPr>
          <w:rFonts w:ascii="Times New Roman" w:hAnsi="Times New Roman" w:cs="Times New Roman"/>
          <w:sz w:val="24"/>
          <w:szCs w:val="24"/>
        </w:rPr>
        <w:t>]</w:t>
      </w:r>
      <w:r w:rsidRPr="00382E1B">
        <w:rPr>
          <w:rFonts w:ascii="Times New Roman" w:hAnsi="Times New Roman" w:cs="Times New Roman"/>
          <w:sz w:val="24"/>
          <w:szCs w:val="24"/>
        </w:rPr>
        <w:t>-FDG PET/CT starting 60 min after injection with a 15-min acquisition time. The raw dynamic PET data were reconstructed using ordered subsets expectation maximization (OSEM), reconstruction parameters: OSEM True X + TOF, 4 iterations, 5 subsets, 220 matrices, with relative scatter correction and no Gaussian post filtering.</w:t>
      </w:r>
      <w:bookmarkStart w:id="6" w:name="_Hlk124947558"/>
      <w:r w:rsidRPr="00382E1B">
        <w:rPr>
          <w:rFonts w:ascii="Times New Roman" w:hAnsi="Times New Roman" w:cs="Times New Roman"/>
          <w:sz w:val="24"/>
          <w:szCs w:val="24"/>
        </w:rPr>
        <w:t xml:space="preserve"> </w:t>
      </w:r>
    </w:p>
    <w:p w14:paraId="7F483C6C" w14:textId="77777777" w:rsidR="00B96228" w:rsidRPr="00382E1B" w:rsidRDefault="00B96228" w:rsidP="004F5A8C">
      <w:pPr>
        <w:spacing w:line="480" w:lineRule="auto"/>
        <w:rPr>
          <w:rFonts w:ascii="Times New Roman" w:hAnsi="Times New Roman" w:cs="Times New Roman"/>
          <w:b/>
          <w:bCs/>
          <w:sz w:val="24"/>
          <w:szCs w:val="24"/>
        </w:rPr>
      </w:pPr>
      <w:bookmarkStart w:id="7" w:name="_Hlk125147848"/>
      <w:r w:rsidRPr="00382E1B">
        <w:rPr>
          <w:rFonts w:ascii="Times New Roman" w:hAnsi="Times New Roman" w:cs="Times New Roman"/>
          <w:b/>
          <w:bCs/>
          <w:sz w:val="24"/>
          <w:szCs w:val="24"/>
        </w:rPr>
        <w:t>Two-tissue compartment model and Patlak model</w:t>
      </w:r>
    </w:p>
    <w:bookmarkEnd w:id="7"/>
    <w:p w14:paraId="53A8F2EE" w14:textId="776BC456" w:rsidR="00B96228" w:rsidRPr="00382E1B" w:rsidRDefault="00B96228" w:rsidP="004F5A8C">
      <w:pPr>
        <w:spacing w:line="480" w:lineRule="auto"/>
        <w:ind w:firstLine="420"/>
        <w:rPr>
          <w:rFonts w:ascii="Times New Roman" w:hAnsi="Times New Roman" w:cs="Times New Roman"/>
          <w:sz w:val="24"/>
          <w:szCs w:val="24"/>
        </w:rPr>
      </w:pPr>
      <w:r w:rsidRPr="00382E1B">
        <w:rPr>
          <w:rFonts w:ascii="Times New Roman" w:hAnsi="Times New Roman" w:cs="Times New Roman"/>
          <w:sz w:val="24"/>
          <w:szCs w:val="24"/>
        </w:rPr>
        <w:t xml:space="preserve">A two-tissue compartment model is the standard methodology for the quantification of dynamic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 xml:space="preserve">-FDG studies </w:t>
      </w:r>
      <w:r w:rsidRPr="00DF081F">
        <w:rPr>
          <w:rFonts w:ascii="Times New Roman" w:hAnsi="Times New Roman" w:cs="Times New Roman"/>
          <w:color w:val="5B9BD5" w:themeColor="accent5"/>
          <w:sz w:val="24"/>
          <w:szCs w:val="24"/>
        </w:rPr>
        <w:t xml:space="preserve">(Fig. </w:t>
      </w:r>
      <w:r w:rsidR="006E21A9" w:rsidRPr="00DF081F">
        <w:rPr>
          <w:rFonts w:ascii="Times New Roman" w:hAnsi="Times New Roman" w:cs="Times New Roman"/>
          <w:color w:val="5B9BD5" w:themeColor="accent5"/>
          <w:sz w:val="24"/>
          <w:szCs w:val="24"/>
        </w:rPr>
        <w:t>S1</w:t>
      </w:r>
      <w:r w:rsidRPr="00DF081F">
        <w:rPr>
          <w:rFonts w:ascii="Times New Roman" w:hAnsi="Times New Roman" w:cs="Times New Roman"/>
          <w:color w:val="5B9BD5" w:themeColor="accent5"/>
          <w:sz w:val="24"/>
          <w:szCs w:val="24"/>
        </w:rPr>
        <w:t>)</w:t>
      </w:r>
      <w:r w:rsidRPr="00382E1B">
        <w:rPr>
          <w:rFonts w:ascii="Times New Roman" w:hAnsi="Times New Roman" w:cs="Times New Roman"/>
          <w:sz w:val="24"/>
          <w:szCs w:val="24"/>
        </w:rPr>
        <w:t>. The application of the model allows the extraction of kinetic micro-parameters K</w:t>
      </w:r>
      <w:r w:rsidRPr="00382E1B">
        <w:rPr>
          <w:rFonts w:ascii="Times New Roman" w:hAnsi="Times New Roman" w:cs="Times New Roman"/>
          <w:sz w:val="24"/>
          <w:szCs w:val="24"/>
          <w:vertAlign w:val="subscript"/>
        </w:rPr>
        <w:t>1</w:t>
      </w:r>
      <w:r w:rsidRPr="00382E1B">
        <w:rPr>
          <w:rFonts w:ascii="Times New Roman" w:hAnsi="Times New Roman" w:cs="Times New Roman"/>
          <w:sz w:val="24"/>
          <w:szCs w:val="24"/>
        </w:rPr>
        <w:t>, k</w:t>
      </w:r>
      <w:r w:rsidRPr="00382E1B">
        <w:rPr>
          <w:rFonts w:ascii="Times New Roman" w:hAnsi="Times New Roman" w:cs="Times New Roman"/>
          <w:sz w:val="24"/>
          <w:szCs w:val="24"/>
          <w:vertAlign w:val="subscript"/>
        </w:rPr>
        <w:t>2</w:t>
      </w:r>
      <w:r w:rsidRPr="00382E1B">
        <w:rPr>
          <w:rFonts w:ascii="Times New Roman" w:hAnsi="Times New Roman" w:cs="Times New Roman"/>
          <w:sz w:val="24"/>
          <w:szCs w:val="24"/>
        </w:rPr>
        <w:t>, k</w:t>
      </w:r>
      <w:r w:rsidRPr="00382E1B">
        <w:rPr>
          <w:rFonts w:ascii="Times New Roman" w:hAnsi="Times New Roman" w:cs="Times New Roman"/>
          <w:sz w:val="24"/>
          <w:szCs w:val="24"/>
          <w:vertAlign w:val="subscript"/>
        </w:rPr>
        <w:t>3</w:t>
      </w:r>
      <w:r w:rsidRPr="00382E1B">
        <w:rPr>
          <w:rFonts w:ascii="Times New Roman" w:hAnsi="Times New Roman" w:cs="Times New Roman"/>
          <w:sz w:val="24"/>
          <w:szCs w:val="24"/>
        </w:rPr>
        <w:t xml:space="preserve"> and k</w:t>
      </w:r>
      <w:r w:rsidRPr="00382E1B">
        <w:rPr>
          <w:rFonts w:ascii="Times New Roman" w:hAnsi="Times New Roman" w:cs="Times New Roman"/>
          <w:sz w:val="24"/>
          <w:szCs w:val="24"/>
          <w:vertAlign w:val="subscript"/>
        </w:rPr>
        <w:t>4</w:t>
      </w:r>
      <w:r w:rsidRPr="00382E1B">
        <w:rPr>
          <w:rFonts w:ascii="Times New Roman" w:hAnsi="Times New Roman" w:cs="Times New Roman"/>
          <w:sz w:val="24"/>
          <w:szCs w:val="24"/>
        </w:rPr>
        <w:t xml:space="preserve"> that describe the catabolism process of FDG. The compartmental transfer rates, K</w:t>
      </w:r>
      <w:r w:rsidRPr="00382E1B">
        <w:rPr>
          <w:rFonts w:ascii="Times New Roman" w:hAnsi="Times New Roman" w:cs="Times New Roman"/>
          <w:sz w:val="24"/>
          <w:szCs w:val="24"/>
          <w:vertAlign w:val="subscript"/>
        </w:rPr>
        <w:t>1</w:t>
      </w:r>
      <w:r w:rsidRPr="00382E1B">
        <w:rPr>
          <w:rFonts w:ascii="Times New Roman" w:hAnsi="Times New Roman" w:cs="Times New Roman"/>
          <w:sz w:val="24"/>
          <w:szCs w:val="24"/>
        </w:rPr>
        <w:t xml:space="preserve"> reflects the transport of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-FDG from blood to tissue and k</w:t>
      </w:r>
      <w:r w:rsidRPr="00382E1B">
        <w:rPr>
          <w:rFonts w:ascii="Times New Roman" w:hAnsi="Times New Roman" w:cs="Times New Roman"/>
          <w:sz w:val="24"/>
          <w:szCs w:val="24"/>
          <w:vertAlign w:val="subscript"/>
        </w:rPr>
        <w:t>2</w:t>
      </w:r>
      <w:r w:rsidRPr="00382E1B">
        <w:rPr>
          <w:rFonts w:ascii="Times New Roman" w:hAnsi="Times New Roman" w:cs="Times New Roman"/>
          <w:sz w:val="24"/>
          <w:szCs w:val="24"/>
        </w:rPr>
        <w:t xml:space="preserve"> represents its reverse transport, while k</w:t>
      </w:r>
      <w:r w:rsidRPr="00382E1B">
        <w:rPr>
          <w:rFonts w:ascii="Times New Roman" w:hAnsi="Times New Roman" w:cs="Times New Roman"/>
          <w:sz w:val="24"/>
          <w:szCs w:val="24"/>
          <w:vertAlign w:val="subscript"/>
        </w:rPr>
        <w:t>3</w:t>
      </w:r>
      <w:r w:rsidRPr="00382E1B">
        <w:rPr>
          <w:rFonts w:ascii="Times New Roman" w:hAnsi="Times New Roman" w:cs="Times New Roman"/>
          <w:sz w:val="24"/>
          <w:szCs w:val="24"/>
        </w:rPr>
        <w:t xml:space="preserve"> describes the phosphorylation (from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 xml:space="preserve">-FDG to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-FDG-6-phosphate) rate and k</w:t>
      </w:r>
      <w:r w:rsidRPr="00382E1B">
        <w:rPr>
          <w:rFonts w:ascii="Times New Roman" w:hAnsi="Times New Roman" w:cs="Times New Roman"/>
          <w:sz w:val="24"/>
          <w:szCs w:val="24"/>
          <w:vertAlign w:val="subscript"/>
        </w:rPr>
        <w:t>4</w:t>
      </w:r>
      <w:r w:rsidRPr="00382E1B">
        <w:rPr>
          <w:rFonts w:ascii="Times New Roman" w:hAnsi="Times New Roman" w:cs="Times New Roman"/>
          <w:sz w:val="24"/>
          <w:szCs w:val="24"/>
        </w:rPr>
        <w:t xml:space="preserve"> the dephosphorylation rate of the tracer. </w:t>
      </w:r>
      <w:bookmarkStart w:id="8" w:name="OLE_LINK50"/>
      <w:bookmarkStart w:id="9" w:name="OLE_LINK51"/>
      <w:r w:rsidRPr="00382E1B">
        <w:rPr>
          <w:rFonts w:ascii="Times New Roman" w:hAnsi="Times New Roman" w:cs="Times New Roman"/>
          <w:sz w:val="24"/>
          <w:szCs w:val="24"/>
        </w:rPr>
        <w:t xml:space="preserve">As a result of the unidirectional uptake of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-FDG in most tissues (including tumors), the transfer rate k</w:t>
      </w:r>
      <w:r w:rsidRPr="00382E1B">
        <w:rPr>
          <w:rFonts w:ascii="Times New Roman" w:hAnsi="Times New Roman" w:cs="Times New Roman"/>
          <w:sz w:val="24"/>
          <w:szCs w:val="24"/>
          <w:vertAlign w:val="subscript"/>
        </w:rPr>
        <w:t>4</w:t>
      </w:r>
      <w:r w:rsidRPr="00382E1B">
        <w:rPr>
          <w:rFonts w:ascii="Times New Roman" w:hAnsi="Times New Roman" w:cs="Times New Roman"/>
          <w:sz w:val="24"/>
          <w:szCs w:val="24"/>
        </w:rPr>
        <w:t xml:space="preserve"> is generally considered to be negligible (i.e., k</w:t>
      </w:r>
      <w:r w:rsidRPr="00382E1B">
        <w:rPr>
          <w:rFonts w:ascii="Times New Roman" w:hAnsi="Times New Roman" w:cs="Times New Roman"/>
          <w:sz w:val="24"/>
          <w:szCs w:val="24"/>
          <w:vertAlign w:val="subscript"/>
        </w:rPr>
        <w:t>4</w:t>
      </w:r>
      <w:r w:rsidRPr="00382E1B">
        <w:rPr>
          <w:rFonts w:ascii="Times New Roman" w:hAnsi="Times New Roman" w:cs="Times New Roman"/>
          <w:sz w:val="24"/>
          <w:szCs w:val="24"/>
        </w:rPr>
        <w:t xml:space="preserve"> = 0), with irreversible trapping in tissue as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-FDG-6PO</w:t>
      </w:r>
      <w:r w:rsidRPr="00382E1B">
        <w:rPr>
          <w:rFonts w:ascii="Times New Roman" w:hAnsi="Times New Roman" w:cs="Times New Roman"/>
          <w:sz w:val="24"/>
          <w:szCs w:val="24"/>
          <w:vertAlign w:val="subscript"/>
        </w:rPr>
        <w:t>4</w:t>
      </w:r>
      <w:r w:rsidRPr="00382E1B">
        <w:rPr>
          <w:rFonts w:ascii="Times New Roman" w:hAnsi="Times New Roman" w:cs="Times New Roman"/>
          <w:sz w:val="24"/>
          <w:szCs w:val="24"/>
        </w:rPr>
        <w:t xml:space="preserve">. </w:t>
      </w:r>
      <w:bookmarkEnd w:id="8"/>
      <w:bookmarkEnd w:id="9"/>
    </w:p>
    <w:p w14:paraId="4D67B877" w14:textId="77777777" w:rsidR="006E21A9" w:rsidRPr="00382E1B" w:rsidRDefault="006E21A9" w:rsidP="004F5A8C">
      <w:pPr>
        <w:spacing w:line="480" w:lineRule="auto"/>
        <w:ind w:firstLine="420"/>
        <w:rPr>
          <w:rFonts w:ascii="Times New Roman" w:hAnsi="Times New Roman" w:cs="Times New Roman"/>
          <w:sz w:val="24"/>
          <w:szCs w:val="24"/>
        </w:rPr>
      </w:pPr>
    </w:p>
    <w:p w14:paraId="6960A488" w14:textId="27BF3EF3" w:rsidR="006E21A9" w:rsidRPr="00382E1B" w:rsidRDefault="006E21A9" w:rsidP="004F5A8C">
      <w:pPr>
        <w:spacing w:line="480" w:lineRule="auto"/>
        <w:ind w:firstLine="420"/>
        <w:rPr>
          <w:rFonts w:ascii="Times New Roman" w:hAnsi="Times New Roman" w:cs="Times New Roman"/>
          <w:sz w:val="24"/>
          <w:szCs w:val="24"/>
        </w:rPr>
      </w:pPr>
      <w:r w:rsidRPr="00382E1B">
        <w:rPr>
          <w:rFonts w:ascii="Times New Roman" w:hAnsi="Times New Roman" w:cs="Times New Roman"/>
          <w:noProof/>
          <w:sz w:val="24"/>
          <w:szCs w:val="24"/>
        </w:rPr>
        <w:lastRenderedPageBreak/>
        <w:drawing>
          <wp:inline distT="0" distB="0" distL="0" distR="0" wp14:anchorId="6EDEA52D" wp14:editId="6E739253">
            <wp:extent cx="5106714" cy="1660635"/>
            <wp:effectExtent l="0" t="0" r="0" b="0"/>
            <wp:docPr id="725011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11446" name="图片 725011446"/>
                    <pic:cNvPicPr/>
                  </pic:nvPicPr>
                  <pic:blipFill>
                    <a:blip r:embed="rId8"/>
                    <a:stretch>
                      <a:fillRect/>
                    </a:stretch>
                  </pic:blipFill>
                  <pic:spPr>
                    <a:xfrm>
                      <a:off x="0" y="0"/>
                      <a:ext cx="5110733" cy="1661942"/>
                    </a:xfrm>
                    <a:prstGeom prst="rect">
                      <a:avLst/>
                    </a:prstGeom>
                  </pic:spPr>
                </pic:pic>
              </a:graphicData>
            </a:graphic>
          </wp:inline>
        </w:drawing>
      </w:r>
    </w:p>
    <w:p w14:paraId="1EF57DF6" w14:textId="4116290F" w:rsidR="006E21A9" w:rsidRPr="00382E1B" w:rsidRDefault="00DF081F" w:rsidP="006E21A9">
      <w:pPr>
        <w:spacing w:line="480" w:lineRule="auto"/>
        <w:rPr>
          <w:rFonts w:ascii="Times New Roman" w:hAnsi="Times New Roman" w:cs="Times New Roman"/>
          <w:sz w:val="24"/>
          <w:szCs w:val="24"/>
        </w:rPr>
      </w:pPr>
      <w:r w:rsidRPr="00DF081F">
        <w:rPr>
          <w:rFonts w:ascii="Times New Roman" w:hAnsi="Times New Roman" w:cs="Times New Roman"/>
          <w:b/>
          <w:bCs/>
          <w:sz w:val="24"/>
          <w:szCs w:val="24"/>
        </w:rPr>
        <w:t xml:space="preserve">Suppl. Fig. </w:t>
      </w:r>
      <w:r>
        <w:rPr>
          <w:rFonts w:ascii="Times New Roman" w:hAnsi="Times New Roman" w:cs="Times New Roman"/>
          <w:b/>
          <w:bCs/>
          <w:sz w:val="24"/>
          <w:szCs w:val="24"/>
        </w:rPr>
        <w:t>1</w:t>
      </w:r>
      <w:r w:rsidR="006E21A9" w:rsidRPr="00382E1B">
        <w:rPr>
          <w:rFonts w:ascii="Times New Roman" w:hAnsi="Times New Roman" w:cs="Times New Roman"/>
          <w:b/>
          <w:bCs/>
          <w:sz w:val="24"/>
          <w:szCs w:val="24"/>
        </w:rPr>
        <w:t xml:space="preserve"> </w:t>
      </w:r>
      <w:r w:rsidR="006E21A9" w:rsidRPr="00382E1B">
        <w:rPr>
          <w:rFonts w:ascii="Times New Roman" w:hAnsi="Times New Roman" w:cs="Times New Roman"/>
          <w:sz w:val="24"/>
          <w:szCs w:val="24"/>
        </w:rPr>
        <w:t xml:space="preserve">Schematic representation of the two-tissue compartment model applied for </w:t>
      </w:r>
      <w:r w:rsidR="00C32728" w:rsidRPr="00382E1B">
        <w:rPr>
          <w:rFonts w:ascii="Times New Roman" w:hAnsi="Times New Roman" w:cs="Times New Roman"/>
          <w:sz w:val="24"/>
          <w:szCs w:val="24"/>
        </w:rPr>
        <w:t>[</w:t>
      </w:r>
      <w:r w:rsidR="006E21A9" w:rsidRPr="00382E1B">
        <w:rPr>
          <w:rFonts w:ascii="Times New Roman" w:hAnsi="Times New Roman" w:cs="Times New Roman"/>
          <w:sz w:val="24"/>
          <w:szCs w:val="24"/>
          <w:vertAlign w:val="superscript"/>
        </w:rPr>
        <w:t>18</w:t>
      </w:r>
      <w:r w:rsidR="006E21A9"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006E21A9" w:rsidRPr="00382E1B">
        <w:rPr>
          <w:rFonts w:ascii="Times New Roman" w:hAnsi="Times New Roman" w:cs="Times New Roman"/>
          <w:sz w:val="24"/>
          <w:szCs w:val="24"/>
        </w:rPr>
        <w:t>-FDG. C</w:t>
      </w:r>
      <w:r w:rsidR="006E21A9" w:rsidRPr="00382E1B">
        <w:rPr>
          <w:rFonts w:ascii="Times New Roman" w:hAnsi="Times New Roman" w:cs="Times New Roman"/>
          <w:sz w:val="24"/>
          <w:szCs w:val="24"/>
          <w:vertAlign w:val="subscript"/>
        </w:rPr>
        <w:t>p</w:t>
      </w:r>
      <w:r w:rsidR="006E21A9" w:rsidRPr="00382E1B">
        <w:rPr>
          <w:rFonts w:ascii="Times New Roman" w:hAnsi="Times New Roman" w:cs="Times New Roman"/>
          <w:sz w:val="24"/>
          <w:szCs w:val="24"/>
        </w:rPr>
        <w:t xml:space="preserve"> is the </w:t>
      </w:r>
      <w:r w:rsidR="00C32728" w:rsidRPr="00382E1B">
        <w:rPr>
          <w:rFonts w:ascii="Times New Roman" w:hAnsi="Times New Roman" w:cs="Times New Roman"/>
          <w:sz w:val="24"/>
          <w:szCs w:val="24"/>
        </w:rPr>
        <w:t>[</w:t>
      </w:r>
      <w:r w:rsidR="006E21A9" w:rsidRPr="00382E1B">
        <w:rPr>
          <w:rFonts w:ascii="Times New Roman" w:hAnsi="Times New Roman" w:cs="Times New Roman"/>
          <w:sz w:val="24"/>
          <w:szCs w:val="24"/>
          <w:vertAlign w:val="superscript"/>
        </w:rPr>
        <w:t>18</w:t>
      </w:r>
      <w:r w:rsidR="006E21A9"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006E21A9" w:rsidRPr="00382E1B">
        <w:rPr>
          <w:rFonts w:ascii="Times New Roman" w:hAnsi="Times New Roman" w:cs="Times New Roman"/>
          <w:sz w:val="24"/>
          <w:szCs w:val="24"/>
        </w:rPr>
        <w:t>-FDG concentration in blood plasma, i.e., the input function. C</w:t>
      </w:r>
      <w:r w:rsidR="006E21A9" w:rsidRPr="00382E1B">
        <w:rPr>
          <w:rFonts w:ascii="Times New Roman" w:hAnsi="Times New Roman" w:cs="Times New Roman"/>
          <w:sz w:val="24"/>
          <w:szCs w:val="24"/>
          <w:vertAlign w:val="subscript"/>
        </w:rPr>
        <w:t>1</w:t>
      </w:r>
      <w:r w:rsidR="006E21A9" w:rsidRPr="00382E1B">
        <w:rPr>
          <w:rFonts w:ascii="Times New Roman" w:hAnsi="Times New Roman" w:cs="Times New Roman"/>
          <w:sz w:val="24"/>
          <w:szCs w:val="24"/>
        </w:rPr>
        <w:t xml:space="preserve"> and C</w:t>
      </w:r>
      <w:r w:rsidR="006E21A9" w:rsidRPr="00382E1B">
        <w:rPr>
          <w:rFonts w:ascii="Times New Roman" w:hAnsi="Times New Roman" w:cs="Times New Roman"/>
          <w:sz w:val="24"/>
          <w:szCs w:val="24"/>
          <w:vertAlign w:val="subscript"/>
        </w:rPr>
        <w:t>2</w:t>
      </w:r>
      <w:r w:rsidR="006E21A9" w:rsidRPr="00382E1B">
        <w:rPr>
          <w:rFonts w:ascii="Times New Roman" w:hAnsi="Times New Roman" w:cs="Times New Roman"/>
          <w:sz w:val="24"/>
          <w:szCs w:val="24"/>
        </w:rPr>
        <w:t xml:space="preserve"> represent the concentration of free FDG and metabolized FDG (</w:t>
      </w:r>
      <w:r w:rsidR="00C32728" w:rsidRPr="00382E1B">
        <w:rPr>
          <w:rFonts w:ascii="Times New Roman" w:hAnsi="Times New Roman" w:cs="Times New Roman"/>
          <w:sz w:val="24"/>
          <w:szCs w:val="24"/>
        </w:rPr>
        <w:t>[</w:t>
      </w:r>
      <w:r w:rsidR="006E21A9" w:rsidRPr="00382E1B">
        <w:rPr>
          <w:rFonts w:ascii="Times New Roman" w:hAnsi="Times New Roman" w:cs="Times New Roman"/>
          <w:sz w:val="24"/>
          <w:szCs w:val="24"/>
          <w:vertAlign w:val="superscript"/>
        </w:rPr>
        <w:t>18</w:t>
      </w:r>
      <w:r w:rsidR="006E21A9"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006E21A9" w:rsidRPr="00382E1B">
        <w:rPr>
          <w:rFonts w:ascii="Times New Roman" w:hAnsi="Times New Roman" w:cs="Times New Roman"/>
          <w:sz w:val="24"/>
          <w:szCs w:val="24"/>
        </w:rPr>
        <w:t>-FDG-6PO</w:t>
      </w:r>
      <w:r w:rsidR="006E21A9" w:rsidRPr="00382E1B">
        <w:rPr>
          <w:rFonts w:ascii="Times New Roman" w:hAnsi="Times New Roman" w:cs="Times New Roman"/>
          <w:sz w:val="24"/>
          <w:szCs w:val="24"/>
          <w:vertAlign w:val="subscript"/>
        </w:rPr>
        <w:t>4</w:t>
      </w:r>
      <w:r w:rsidR="006E21A9" w:rsidRPr="00382E1B">
        <w:rPr>
          <w:rFonts w:ascii="Times New Roman" w:hAnsi="Times New Roman" w:cs="Times New Roman"/>
          <w:sz w:val="24"/>
          <w:szCs w:val="24"/>
        </w:rPr>
        <w:t>) in tissue, respectively. K</w:t>
      </w:r>
      <w:r w:rsidR="006E21A9" w:rsidRPr="00382E1B">
        <w:rPr>
          <w:rFonts w:ascii="Times New Roman" w:hAnsi="Times New Roman" w:cs="Times New Roman"/>
          <w:sz w:val="24"/>
          <w:szCs w:val="24"/>
          <w:vertAlign w:val="subscript"/>
        </w:rPr>
        <w:t>1</w:t>
      </w:r>
      <w:r w:rsidR="006E21A9" w:rsidRPr="00382E1B">
        <w:rPr>
          <w:rFonts w:ascii="Times New Roman" w:hAnsi="Times New Roman" w:cs="Times New Roman"/>
          <w:sz w:val="24"/>
          <w:szCs w:val="24"/>
        </w:rPr>
        <w:t>, k</w:t>
      </w:r>
      <w:r w:rsidR="006E21A9" w:rsidRPr="00382E1B">
        <w:rPr>
          <w:rFonts w:ascii="Times New Roman" w:hAnsi="Times New Roman" w:cs="Times New Roman"/>
          <w:sz w:val="24"/>
          <w:szCs w:val="24"/>
          <w:vertAlign w:val="subscript"/>
        </w:rPr>
        <w:t>2</w:t>
      </w:r>
      <w:r w:rsidR="006E21A9" w:rsidRPr="00382E1B">
        <w:rPr>
          <w:rFonts w:ascii="Times New Roman" w:hAnsi="Times New Roman" w:cs="Times New Roman"/>
          <w:sz w:val="24"/>
          <w:szCs w:val="24"/>
        </w:rPr>
        <w:t>, k</w:t>
      </w:r>
      <w:r w:rsidR="006E21A9" w:rsidRPr="00382E1B">
        <w:rPr>
          <w:rFonts w:ascii="Times New Roman" w:hAnsi="Times New Roman" w:cs="Times New Roman"/>
          <w:sz w:val="24"/>
          <w:szCs w:val="24"/>
          <w:vertAlign w:val="subscript"/>
        </w:rPr>
        <w:t>3</w:t>
      </w:r>
      <w:r w:rsidR="006E21A9" w:rsidRPr="00382E1B">
        <w:rPr>
          <w:rFonts w:ascii="Times New Roman" w:hAnsi="Times New Roman" w:cs="Times New Roman"/>
          <w:sz w:val="24"/>
          <w:szCs w:val="24"/>
        </w:rPr>
        <w:t xml:space="preserve"> and k</w:t>
      </w:r>
      <w:r w:rsidR="006E21A9" w:rsidRPr="00382E1B">
        <w:rPr>
          <w:rFonts w:ascii="Times New Roman" w:hAnsi="Times New Roman" w:cs="Times New Roman"/>
          <w:sz w:val="24"/>
          <w:szCs w:val="24"/>
          <w:vertAlign w:val="subscript"/>
        </w:rPr>
        <w:t>4</w:t>
      </w:r>
      <w:r w:rsidR="006E21A9" w:rsidRPr="00382E1B">
        <w:rPr>
          <w:rFonts w:ascii="Times New Roman" w:hAnsi="Times New Roman" w:cs="Times New Roman"/>
          <w:sz w:val="24"/>
          <w:szCs w:val="24"/>
        </w:rPr>
        <w:t xml:space="preserve"> are the kinetic parameters that describe compartmental transfer rates of </w:t>
      </w:r>
      <w:r w:rsidR="00C32728" w:rsidRPr="00382E1B">
        <w:rPr>
          <w:rFonts w:ascii="Times New Roman" w:hAnsi="Times New Roman" w:cs="Times New Roman"/>
          <w:sz w:val="24"/>
          <w:szCs w:val="24"/>
        </w:rPr>
        <w:t>[</w:t>
      </w:r>
      <w:r w:rsidR="006E21A9" w:rsidRPr="00382E1B">
        <w:rPr>
          <w:rFonts w:ascii="Times New Roman" w:hAnsi="Times New Roman" w:cs="Times New Roman"/>
          <w:sz w:val="24"/>
          <w:szCs w:val="24"/>
          <w:vertAlign w:val="superscript"/>
        </w:rPr>
        <w:t>18</w:t>
      </w:r>
      <w:r w:rsidR="006E21A9"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006E21A9" w:rsidRPr="00382E1B">
        <w:rPr>
          <w:rFonts w:ascii="Times New Roman" w:hAnsi="Times New Roman" w:cs="Times New Roman"/>
          <w:sz w:val="24"/>
          <w:szCs w:val="24"/>
        </w:rPr>
        <w:t>-FDG.</w:t>
      </w:r>
    </w:p>
    <w:p w14:paraId="278FEB85" w14:textId="77777777" w:rsidR="006E21A9" w:rsidRPr="00382E1B" w:rsidRDefault="006E21A9" w:rsidP="006E21A9">
      <w:pPr>
        <w:spacing w:line="480" w:lineRule="auto"/>
        <w:rPr>
          <w:rFonts w:ascii="Times New Roman" w:hAnsi="Times New Roman" w:cs="Times New Roman"/>
          <w:sz w:val="24"/>
          <w:szCs w:val="24"/>
        </w:rPr>
      </w:pPr>
    </w:p>
    <w:p w14:paraId="195973F8" w14:textId="7E62C2A4" w:rsidR="00B96228" w:rsidRPr="00382E1B" w:rsidRDefault="00B96228" w:rsidP="004F5A8C">
      <w:pPr>
        <w:spacing w:line="480" w:lineRule="auto"/>
        <w:ind w:firstLine="420"/>
        <w:rPr>
          <w:rFonts w:ascii="Times New Roman" w:hAnsi="Times New Roman" w:cs="Times New Roman"/>
          <w:sz w:val="24"/>
          <w:szCs w:val="24"/>
        </w:rPr>
      </w:pPr>
      <w:r w:rsidRPr="00382E1B">
        <w:rPr>
          <w:rFonts w:ascii="Times New Roman" w:hAnsi="Times New Roman" w:cs="Times New Roman"/>
          <w:sz w:val="24"/>
          <w:szCs w:val="24"/>
        </w:rPr>
        <w:t>The direct reconstruction of multiparametric images is based on the Patlak model, Patlak model is a graphical analysis technique that has been extensively validated for quantitative analysis of PET/CT. It converts the time-consuming nonlinear estimation of the kinetic micro-parameters to linear regression to determine the macro-parameters. Patlak analysis requires a full input function and tissue time-activity curves (TTACs) measured by PET. In our study, TTACs were extracted from the VOIs delineated on lung lesions during each scan, while IF was extracted from the descending aorta, as it is less affected by cardiac and respiratory motion. The Patlak model is derived from the compartment model for tracers that are irreversibly trapped in the target tissue, the following equation was used to construct the Patlak plots and to generate the linear regressions:</w:t>
      </w:r>
    </w:p>
    <w:p w14:paraId="17C2A65F" w14:textId="77777777" w:rsidR="00B96228" w:rsidRPr="00382E1B" w:rsidRDefault="00000000" w:rsidP="004F5A8C">
      <w:pPr>
        <w:spacing w:line="480" w:lineRule="auto"/>
        <w:rPr>
          <w:rFonts w:ascii="Times New Roman" w:hAnsi="Times New Roman" w:cs="Times New Roman"/>
          <w:i/>
          <w:sz w:val="24"/>
          <w:szCs w:val="24"/>
        </w:rPr>
      </w:pPr>
      <m:oMathPara>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T</m:t>
                  </m:r>
                </m:sub>
              </m:sSub>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f>
            <m:fPr>
              <m:ctrlPr>
                <w:rPr>
                  <w:rFonts w:ascii="Cambria Math" w:hAnsi="Cambria Math" w:cs="Times New Roman"/>
                  <w:i/>
                  <w:sz w:val="24"/>
                  <w:szCs w:val="24"/>
                </w:rPr>
              </m:ctrlPr>
            </m:fPr>
            <m:num>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t</m:t>
                  </m:r>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(τ)dτ</m:t>
                  </m:r>
                </m:e>
              </m:nary>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(t)</m:t>
              </m:r>
            </m:den>
          </m:f>
          <m:r>
            <w:rPr>
              <w:rFonts w:ascii="Cambria Math" w:hAnsi="Cambria Math" w:cs="Times New Roman"/>
              <w:sz w:val="24"/>
              <w:szCs w:val="24"/>
            </w:rPr>
            <m:t>+V</m:t>
          </m:r>
        </m:oMath>
      </m:oMathPara>
    </w:p>
    <w:p w14:paraId="4968CAA2" w14:textId="2E9763EF" w:rsidR="006E21A9" w:rsidRPr="00382E1B" w:rsidRDefault="00B96228" w:rsidP="004F5A8C">
      <w:pPr>
        <w:spacing w:line="480" w:lineRule="auto"/>
        <w:rPr>
          <w:rFonts w:ascii="Times New Roman" w:hAnsi="Times New Roman" w:cs="Times New Roman"/>
          <w:sz w:val="24"/>
          <w:szCs w:val="24"/>
        </w:rPr>
      </w:pPr>
      <w:r w:rsidRPr="00382E1B">
        <w:rPr>
          <w:rFonts w:ascii="Times New Roman" w:hAnsi="Times New Roman" w:cs="Times New Roman"/>
          <w:sz w:val="24"/>
          <w:szCs w:val="24"/>
        </w:rPr>
        <w:t>C</w:t>
      </w:r>
      <w:r w:rsidRPr="00382E1B">
        <w:rPr>
          <w:rFonts w:ascii="Times New Roman" w:hAnsi="Times New Roman" w:cs="Times New Roman"/>
          <w:sz w:val="24"/>
          <w:szCs w:val="24"/>
          <w:vertAlign w:val="subscript"/>
        </w:rPr>
        <w:t>p</w:t>
      </w:r>
      <w:r w:rsidRPr="00382E1B">
        <w:rPr>
          <w:rFonts w:ascii="Times New Roman" w:hAnsi="Times New Roman" w:cs="Times New Roman"/>
          <w:sz w:val="24"/>
          <w:szCs w:val="24"/>
        </w:rPr>
        <w:t xml:space="preserve"> is the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-FDG concentration in blood plasma, i.e., the input function. C</w:t>
      </w:r>
      <w:r w:rsidRPr="00382E1B">
        <w:rPr>
          <w:rFonts w:ascii="Times New Roman" w:hAnsi="Times New Roman" w:cs="Times New Roman"/>
          <w:sz w:val="24"/>
          <w:szCs w:val="24"/>
          <w:vertAlign w:val="subscript"/>
        </w:rPr>
        <w:t>T</w:t>
      </w:r>
      <w:r w:rsidRPr="00382E1B">
        <w:rPr>
          <w:rFonts w:ascii="Times New Roman" w:hAnsi="Times New Roman" w:cs="Times New Roman"/>
          <w:sz w:val="24"/>
          <w:szCs w:val="24"/>
        </w:rPr>
        <w:t xml:space="preserve"> expresses the total activity in the target tissue and it is the sum of the concentrations of C</w:t>
      </w:r>
      <w:r w:rsidRPr="00382E1B">
        <w:rPr>
          <w:rFonts w:ascii="Times New Roman" w:hAnsi="Times New Roman" w:cs="Times New Roman"/>
          <w:sz w:val="24"/>
          <w:szCs w:val="24"/>
          <w:vertAlign w:val="subscript"/>
        </w:rPr>
        <w:t>1</w:t>
      </w:r>
      <w:r w:rsidRPr="00382E1B">
        <w:rPr>
          <w:rFonts w:ascii="Times New Roman" w:hAnsi="Times New Roman" w:cs="Times New Roman"/>
          <w:sz w:val="24"/>
          <w:szCs w:val="24"/>
        </w:rPr>
        <w:t xml:space="preserve"> and C</w:t>
      </w:r>
      <w:r w:rsidRPr="00382E1B">
        <w:rPr>
          <w:rFonts w:ascii="Times New Roman" w:hAnsi="Times New Roman" w:cs="Times New Roman"/>
          <w:sz w:val="24"/>
          <w:szCs w:val="24"/>
          <w:vertAlign w:val="subscript"/>
        </w:rPr>
        <w:t>2</w:t>
      </w:r>
      <w:r w:rsidRPr="00382E1B">
        <w:rPr>
          <w:rFonts w:ascii="Times New Roman" w:hAnsi="Times New Roman" w:cs="Times New Roman"/>
          <w:sz w:val="24"/>
          <w:szCs w:val="24"/>
        </w:rPr>
        <w:t>, C</w:t>
      </w:r>
      <w:r w:rsidRPr="00382E1B">
        <w:rPr>
          <w:rFonts w:ascii="Times New Roman" w:hAnsi="Times New Roman" w:cs="Times New Roman"/>
          <w:sz w:val="24"/>
          <w:szCs w:val="24"/>
          <w:vertAlign w:val="subscript"/>
        </w:rPr>
        <w:t>1</w:t>
      </w:r>
      <w:r w:rsidRPr="00382E1B">
        <w:rPr>
          <w:rFonts w:ascii="Times New Roman" w:hAnsi="Times New Roman" w:cs="Times New Roman"/>
          <w:sz w:val="24"/>
          <w:szCs w:val="24"/>
        </w:rPr>
        <w:t xml:space="preserve"> and C</w:t>
      </w:r>
      <w:r w:rsidRPr="00382E1B">
        <w:rPr>
          <w:rFonts w:ascii="Times New Roman" w:hAnsi="Times New Roman" w:cs="Times New Roman"/>
          <w:sz w:val="24"/>
          <w:szCs w:val="24"/>
          <w:vertAlign w:val="subscript"/>
        </w:rPr>
        <w:t>2</w:t>
      </w:r>
      <w:r w:rsidRPr="00382E1B">
        <w:rPr>
          <w:rFonts w:ascii="Times New Roman" w:hAnsi="Times New Roman" w:cs="Times New Roman"/>
          <w:sz w:val="24"/>
          <w:szCs w:val="24"/>
        </w:rPr>
        <w:t xml:space="preserve"> represent the concentration of free FDG and metabolized FDG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-FDG-6PO</w:t>
      </w:r>
      <w:r w:rsidRPr="00382E1B">
        <w:rPr>
          <w:rFonts w:ascii="Times New Roman" w:hAnsi="Times New Roman" w:cs="Times New Roman"/>
          <w:sz w:val="24"/>
          <w:szCs w:val="24"/>
          <w:vertAlign w:val="subscript"/>
        </w:rPr>
        <w:t>4</w:t>
      </w:r>
      <w:r w:rsidRPr="00382E1B">
        <w:rPr>
          <w:rFonts w:ascii="Times New Roman" w:hAnsi="Times New Roman" w:cs="Times New Roman"/>
          <w:sz w:val="24"/>
          <w:szCs w:val="24"/>
        </w:rPr>
        <w:t xml:space="preserve">) in tissue, respectively. In the formula, t is the time of </w:t>
      </w:r>
      <w:r w:rsidR="00C32728" w:rsidRPr="00382E1B">
        <w:rPr>
          <w:rFonts w:ascii="Times New Roman" w:hAnsi="Times New Roman" w:cs="Times New Roman"/>
          <w:sz w:val="24"/>
          <w:szCs w:val="24"/>
        </w:rPr>
        <w:t>[</w:t>
      </w:r>
      <w:r w:rsidRPr="00382E1B">
        <w:rPr>
          <w:rFonts w:ascii="Times New Roman" w:hAnsi="Times New Roman" w:cs="Times New Roman"/>
          <w:sz w:val="24"/>
          <w:szCs w:val="24"/>
          <w:vertAlign w:val="superscript"/>
        </w:rPr>
        <w:t>18</w:t>
      </w:r>
      <w:r w:rsidRPr="00382E1B">
        <w:rPr>
          <w:rFonts w:ascii="Times New Roman" w:hAnsi="Times New Roman" w:cs="Times New Roman"/>
          <w:sz w:val="24"/>
          <w:szCs w:val="24"/>
        </w:rPr>
        <w:t>F</w:t>
      </w:r>
      <w:r w:rsidR="00C32728" w:rsidRPr="00382E1B">
        <w:rPr>
          <w:rFonts w:ascii="Times New Roman" w:hAnsi="Times New Roman" w:cs="Times New Roman"/>
          <w:sz w:val="24"/>
          <w:szCs w:val="24"/>
        </w:rPr>
        <w:t>]</w:t>
      </w:r>
      <w:r w:rsidRPr="00382E1B">
        <w:rPr>
          <w:rFonts w:ascii="Times New Roman" w:hAnsi="Times New Roman" w:cs="Times New Roman"/>
          <w:sz w:val="24"/>
          <w:szCs w:val="24"/>
        </w:rPr>
        <w:t>-FDG injection. This model estimates the Patlak slope (K</w:t>
      </w:r>
      <w:r w:rsidRPr="00382E1B">
        <w:rPr>
          <w:rFonts w:ascii="Times New Roman" w:hAnsi="Times New Roman" w:cs="Times New Roman"/>
          <w:sz w:val="24"/>
          <w:szCs w:val="24"/>
          <w:vertAlign w:val="subscript"/>
        </w:rPr>
        <w:t>i</w:t>
      </w:r>
      <w:r w:rsidRPr="00382E1B">
        <w:rPr>
          <w:rFonts w:ascii="Times New Roman" w:hAnsi="Times New Roman" w:cs="Times New Roman"/>
          <w:sz w:val="24"/>
          <w:szCs w:val="24"/>
        </w:rPr>
        <w:t>) that represents the net influx rate constant, and the Patlak intercept (DV), which is the apparent distribution volume of non-metabolized tracer in tissue. The Patlak equation is applied voxelwise so that multiparametric images of slope (MR</w:t>
      </w:r>
      <w:r w:rsidRPr="00382E1B">
        <w:rPr>
          <w:rFonts w:ascii="Times New Roman" w:hAnsi="Times New Roman" w:cs="Times New Roman"/>
          <w:sz w:val="24"/>
          <w:szCs w:val="24"/>
          <w:vertAlign w:val="subscript"/>
        </w:rPr>
        <w:t>FDG</w:t>
      </w:r>
      <w:r w:rsidRPr="00382E1B">
        <w:rPr>
          <w:rFonts w:ascii="Times New Roman" w:hAnsi="Times New Roman" w:cs="Times New Roman"/>
          <w:sz w:val="24"/>
          <w:szCs w:val="24"/>
        </w:rPr>
        <w:t>) and intercept (DV</w:t>
      </w:r>
      <w:r w:rsidRPr="00382E1B">
        <w:rPr>
          <w:rFonts w:ascii="Times New Roman" w:hAnsi="Times New Roman" w:cs="Times New Roman"/>
          <w:sz w:val="24"/>
          <w:szCs w:val="24"/>
          <w:vertAlign w:val="subscript"/>
        </w:rPr>
        <w:t>FDG</w:t>
      </w:r>
      <w:r w:rsidRPr="00382E1B">
        <w:rPr>
          <w:rFonts w:ascii="Times New Roman" w:hAnsi="Times New Roman" w:cs="Times New Roman"/>
          <w:sz w:val="24"/>
          <w:szCs w:val="24"/>
        </w:rPr>
        <w:t>) are produced. While the tracer equilibrium has been reached between blood and tissue after some time, the two-tissue irreversible compartment is fitted to the uptake data, K</w:t>
      </w:r>
      <w:r w:rsidRPr="00382E1B">
        <w:rPr>
          <w:rFonts w:ascii="Times New Roman" w:hAnsi="Times New Roman" w:cs="Times New Roman"/>
          <w:sz w:val="24"/>
          <w:szCs w:val="24"/>
          <w:vertAlign w:val="subscript"/>
        </w:rPr>
        <w:t>i</w:t>
      </w:r>
      <w:r w:rsidRPr="00382E1B">
        <w:rPr>
          <w:rFonts w:ascii="Times New Roman" w:hAnsi="Times New Roman" w:cs="Times New Roman"/>
          <w:sz w:val="24"/>
          <w:szCs w:val="24"/>
        </w:rPr>
        <w:t xml:space="preserve"> can be derived from the equation as follows: K</w:t>
      </w:r>
      <w:r w:rsidRPr="00382E1B">
        <w:rPr>
          <w:rFonts w:ascii="Times New Roman" w:hAnsi="Times New Roman" w:cs="Times New Roman"/>
          <w:sz w:val="24"/>
          <w:szCs w:val="24"/>
          <w:vertAlign w:val="subscript"/>
        </w:rPr>
        <w:t>i</w:t>
      </w:r>
      <w:r w:rsidRPr="00382E1B">
        <w:rPr>
          <w:rFonts w:ascii="Times New Roman" w:hAnsi="Times New Roman" w:cs="Times New Roman"/>
          <w:sz w:val="24"/>
          <w:szCs w:val="24"/>
        </w:rPr>
        <w:t xml:space="preserve"> = (K</w:t>
      </w:r>
      <w:r w:rsidRPr="00382E1B">
        <w:rPr>
          <w:rFonts w:ascii="Times New Roman" w:hAnsi="Times New Roman" w:cs="Times New Roman"/>
          <w:sz w:val="24"/>
          <w:szCs w:val="24"/>
          <w:vertAlign w:val="subscript"/>
        </w:rPr>
        <w:t>1</w:t>
      </w:r>
      <w:r w:rsidRPr="00382E1B">
        <w:rPr>
          <w:rFonts w:ascii="Times New Roman" w:hAnsi="Times New Roman" w:cs="Times New Roman"/>
          <w:sz w:val="24"/>
          <w:szCs w:val="24"/>
        </w:rPr>
        <w:t xml:space="preserve"> × k</w:t>
      </w:r>
      <w:r w:rsidRPr="00382E1B">
        <w:rPr>
          <w:rFonts w:ascii="Times New Roman" w:hAnsi="Times New Roman" w:cs="Times New Roman"/>
          <w:sz w:val="24"/>
          <w:szCs w:val="24"/>
          <w:vertAlign w:val="subscript"/>
        </w:rPr>
        <w:t>3</w:t>
      </w:r>
      <w:r w:rsidRPr="00382E1B">
        <w:rPr>
          <w:rFonts w:ascii="Times New Roman" w:hAnsi="Times New Roman" w:cs="Times New Roman"/>
          <w:sz w:val="24"/>
          <w:szCs w:val="24"/>
        </w:rPr>
        <w:t>) / (k</w:t>
      </w:r>
      <w:r w:rsidRPr="00382E1B">
        <w:rPr>
          <w:rFonts w:ascii="Times New Roman" w:hAnsi="Times New Roman" w:cs="Times New Roman"/>
          <w:sz w:val="24"/>
          <w:szCs w:val="24"/>
          <w:vertAlign w:val="subscript"/>
        </w:rPr>
        <w:t>2</w:t>
      </w:r>
      <w:r w:rsidRPr="00382E1B">
        <w:rPr>
          <w:rFonts w:ascii="Times New Roman" w:hAnsi="Times New Roman" w:cs="Times New Roman"/>
          <w:sz w:val="24"/>
          <w:szCs w:val="24"/>
        </w:rPr>
        <w:t xml:space="preserve"> + k</w:t>
      </w:r>
      <w:r w:rsidRPr="00382E1B">
        <w:rPr>
          <w:rFonts w:ascii="Times New Roman" w:hAnsi="Times New Roman" w:cs="Times New Roman"/>
          <w:sz w:val="24"/>
          <w:szCs w:val="24"/>
          <w:vertAlign w:val="subscript"/>
        </w:rPr>
        <w:t>3</w:t>
      </w:r>
      <w:r w:rsidRPr="00382E1B">
        <w:rPr>
          <w:rFonts w:ascii="Times New Roman" w:hAnsi="Times New Roman" w:cs="Times New Roman"/>
          <w:sz w:val="24"/>
          <w:szCs w:val="24"/>
        </w:rPr>
        <w:t>). Moreover, MR</w:t>
      </w:r>
      <w:r w:rsidRPr="00382E1B">
        <w:rPr>
          <w:rFonts w:ascii="Times New Roman" w:hAnsi="Times New Roman" w:cs="Times New Roman"/>
          <w:sz w:val="24"/>
          <w:szCs w:val="24"/>
          <w:vertAlign w:val="subscript"/>
        </w:rPr>
        <w:t>FDG</w:t>
      </w:r>
      <w:r w:rsidRPr="00382E1B">
        <w:rPr>
          <w:rFonts w:ascii="Times New Roman" w:hAnsi="Times New Roman" w:cs="Times New Roman"/>
          <w:sz w:val="24"/>
          <w:szCs w:val="24"/>
        </w:rPr>
        <w:t xml:space="preserve"> can be calculated using the patient's measured blood glucose by the following formula: MR</w:t>
      </w:r>
      <w:r w:rsidRPr="00382E1B">
        <w:rPr>
          <w:rFonts w:ascii="Times New Roman" w:hAnsi="Times New Roman" w:cs="Times New Roman"/>
          <w:sz w:val="24"/>
          <w:szCs w:val="24"/>
          <w:vertAlign w:val="subscript"/>
        </w:rPr>
        <w:t>FDG</w:t>
      </w:r>
      <w:r w:rsidRPr="00382E1B">
        <w:rPr>
          <w:rFonts w:ascii="Times New Roman" w:hAnsi="Times New Roman" w:cs="Times New Roman"/>
          <w:sz w:val="24"/>
          <w:szCs w:val="24"/>
        </w:rPr>
        <w:t xml:space="preserve"> = K</w:t>
      </w:r>
      <w:r w:rsidRPr="00382E1B">
        <w:rPr>
          <w:rFonts w:ascii="Times New Roman" w:hAnsi="Times New Roman" w:cs="Times New Roman"/>
          <w:sz w:val="24"/>
          <w:szCs w:val="24"/>
          <w:vertAlign w:val="subscript"/>
        </w:rPr>
        <w:t xml:space="preserve">i </w:t>
      </w:r>
      <w:r w:rsidRPr="00382E1B">
        <w:rPr>
          <w:rFonts w:ascii="Times New Roman" w:hAnsi="Times New Roman" w:cs="Times New Roman"/>
          <w:sz w:val="24"/>
          <w:szCs w:val="24"/>
        </w:rPr>
        <w:t>× blood glucose.</w:t>
      </w:r>
      <w:bookmarkEnd w:id="6"/>
    </w:p>
    <w:p w14:paraId="7BA8F725" w14:textId="04ABDA8C" w:rsidR="006E21A9" w:rsidRPr="00382E1B" w:rsidRDefault="006E21A9" w:rsidP="004F5A8C">
      <w:pPr>
        <w:spacing w:line="480" w:lineRule="auto"/>
        <w:rPr>
          <w:rFonts w:ascii="Times New Roman" w:hAnsi="Times New Roman" w:cs="Times New Roman"/>
          <w:b/>
          <w:bCs/>
          <w:sz w:val="24"/>
          <w:szCs w:val="24"/>
        </w:rPr>
      </w:pPr>
      <w:r w:rsidRPr="00382E1B">
        <w:rPr>
          <w:rFonts w:ascii="Times New Roman" w:hAnsi="Times New Roman" w:cs="Times New Roman"/>
          <w:noProof/>
          <w:sz w:val="24"/>
          <w:szCs w:val="24"/>
        </w:rPr>
        <w:lastRenderedPageBreak/>
        <w:drawing>
          <wp:inline distT="0" distB="0" distL="0" distR="0" wp14:anchorId="4FEBE4FB" wp14:editId="27DD37F0">
            <wp:extent cx="5274310" cy="6043930"/>
            <wp:effectExtent l="0" t="0" r="0" b="1270"/>
            <wp:docPr id="8674182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18201" name="图片 867418201"/>
                    <pic:cNvPicPr/>
                  </pic:nvPicPr>
                  <pic:blipFill>
                    <a:blip r:embed="rId9"/>
                    <a:stretch>
                      <a:fillRect/>
                    </a:stretch>
                  </pic:blipFill>
                  <pic:spPr>
                    <a:xfrm>
                      <a:off x="0" y="0"/>
                      <a:ext cx="5274310" cy="6043930"/>
                    </a:xfrm>
                    <a:prstGeom prst="rect">
                      <a:avLst/>
                    </a:prstGeom>
                  </pic:spPr>
                </pic:pic>
              </a:graphicData>
            </a:graphic>
          </wp:inline>
        </w:drawing>
      </w:r>
    </w:p>
    <w:p w14:paraId="235E08D1" w14:textId="4E875CDE" w:rsidR="00DF081F" w:rsidRPr="003B4A0B" w:rsidRDefault="00DF081F" w:rsidP="00DF081F">
      <w:pPr>
        <w:spacing w:line="480" w:lineRule="auto"/>
        <w:rPr>
          <w:rFonts w:ascii="Times New Roman" w:hAnsi="Times New Roman" w:cs="Times New Roman"/>
          <w:b/>
          <w:bCs/>
          <w:sz w:val="24"/>
          <w:szCs w:val="24"/>
        </w:rPr>
      </w:pPr>
      <w:r w:rsidRPr="00DF081F">
        <w:rPr>
          <w:rFonts w:ascii="Times New Roman" w:hAnsi="Times New Roman" w:cs="Times New Roman"/>
          <w:b/>
          <w:bCs/>
          <w:sz w:val="24"/>
          <w:szCs w:val="24"/>
        </w:rPr>
        <w:t xml:space="preserve">Suppl. Fig. </w:t>
      </w:r>
      <w:r>
        <w:rPr>
          <w:rFonts w:ascii="Times New Roman" w:hAnsi="Times New Roman" w:cs="Times New Roman"/>
          <w:b/>
          <w:bCs/>
          <w:sz w:val="24"/>
          <w:szCs w:val="24"/>
        </w:rPr>
        <w:t>2</w:t>
      </w:r>
      <w:r w:rsidRPr="003B4A0B">
        <w:rPr>
          <w:rFonts w:ascii="Times New Roman" w:hAnsi="Times New Roman" w:cs="Times New Roman"/>
          <w:b/>
          <w:bCs/>
          <w:sz w:val="24"/>
          <w:szCs w:val="24"/>
        </w:rPr>
        <w:t xml:space="preserve"> </w:t>
      </w:r>
      <w:r w:rsidRPr="003B4A0B">
        <w:rPr>
          <w:rFonts w:ascii="Times New Roman" w:hAnsi="Times New Roman" w:cs="Times New Roman"/>
          <w:sz w:val="24"/>
          <w:szCs w:val="24"/>
        </w:rPr>
        <w:t xml:space="preserve">Case of a 73-year-old female patient diagnosed as invasive adenocarcinoma (red arrows) by </w:t>
      </w:r>
      <w:proofErr w:type="spellStart"/>
      <w:r w:rsidRPr="003B4A0B">
        <w:rPr>
          <w:rFonts w:ascii="Times New Roman" w:hAnsi="Times New Roman" w:cs="Times New Roman"/>
          <w:sz w:val="24"/>
          <w:szCs w:val="24"/>
        </w:rPr>
        <w:t>bronchoscopic</w:t>
      </w:r>
      <w:proofErr w:type="spellEnd"/>
      <w:r w:rsidRPr="003B4A0B">
        <w:rPr>
          <w:rFonts w:ascii="Times New Roman" w:hAnsi="Times New Roman" w:cs="Times New Roman"/>
          <w:sz w:val="24"/>
          <w:szCs w:val="24"/>
        </w:rPr>
        <w:t xml:space="preserve"> biopsy, and the tumor had spread to multiple lymph nodes (white arrows). The tumor and its metastases exhibit high uptake of FDG on MR</w:t>
      </w:r>
      <w:r w:rsidRPr="003B4A0B">
        <w:rPr>
          <w:rFonts w:ascii="Times New Roman" w:hAnsi="Times New Roman" w:cs="Times New Roman"/>
          <w:sz w:val="24"/>
          <w:szCs w:val="24"/>
          <w:vertAlign w:val="subscript"/>
        </w:rPr>
        <w:t>FDG</w:t>
      </w:r>
      <w:r w:rsidRPr="003B4A0B">
        <w:rPr>
          <w:rFonts w:ascii="Times New Roman" w:hAnsi="Times New Roman" w:cs="Times New Roman"/>
          <w:sz w:val="24"/>
          <w:szCs w:val="24"/>
        </w:rPr>
        <w:t xml:space="preserve"> image </w:t>
      </w:r>
      <w:r w:rsidRPr="003E7E7E">
        <w:rPr>
          <w:rFonts w:ascii="Times New Roman" w:hAnsi="Times New Roman" w:cs="Times New Roman"/>
          <w:b/>
          <w:bCs/>
          <w:sz w:val="24"/>
          <w:szCs w:val="24"/>
        </w:rPr>
        <w:t xml:space="preserve">(A) </w:t>
      </w:r>
      <w:r w:rsidRPr="003B4A0B">
        <w:rPr>
          <w:rFonts w:ascii="Times New Roman" w:hAnsi="Times New Roman" w:cs="Times New Roman"/>
          <w:sz w:val="24"/>
          <w:szCs w:val="24"/>
        </w:rPr>
        <w:t xml:space="preserve">and SUV image </w:t>
      </w:r>
      <w:r w:rsidRPr="003E7E7E">
        <w:rPr>
          <w:rFonts w:ascii="Times New Roman" w:hAnsi="Times New Roman" w:cs="Times New Roman"/>
          <w:b/>
          <w:bCs/>
          <w:sz w:val="24"/>
          <w:szCs w:val="24"/>
        </w:rPr>
        <w:t>(C)</w:t>
      </w:r>
      <w:r w:rsidRPr="003B4A0B">
        <w:rPr>
          <w:rFonts w:ascii="Times New Roman" w:hAnsi="Times New Roman" w:cs="Times New Roman"/>
          <w:sz w:val="24"/>
          <w:szCs w:val="24"/>
        </w:rPr>
        <w:t>, while low uptake of FDG is shown on DV</w:t>
      </w:r>
      <w:r w:rsidRPr="003B4A0B">
        <w:rPr>
          <w:rFonts w:ascii="Times New Roman" w:hAnsi="Times New Roman" w:cs="Times New Roman"/>
          <w:sz w:val="24"/>
          <w:szCs w:val="24"/>
          <w:vertAlign w:val="subscript"/>
        </w:rPr>
        <w:t>FDG</w:t>
      </w:r>
      <w:r w:rsidRPr="003B4A0B">
        <w:rPr>
          <w:rFonts w:ascii="Times New Roman" w:hAnsi="Times New Roman" w:cs="Times New Roman"/>
          <w:sz w:val="24"/>
          <w:szCs w:val="24"/>
        </w:rPr>
        <w:t xml:space="preserve"> image </w:t>
      </w:r>
      <w:r w:rsidRPr="003E7E7E">
        <w:rPr>
          <w:rFonts w:ascii="Times New Roman" w:hAnsi="Times New Roman" w:cs="Times New Roman"/>
          <w:b/>
          <w:bCs/>
          <w:sz w:val="24"/>
          <w:szCs w:val="24"/>
        </w:rPr>
        <w:t>(B)</w:t>
      </w:r>
      <w:r w:rsidRPr="003B4A0B">
        <w:rPr>
          <w:rFonts w:ascii="Times New Roman" w:hAnsi="Times New Roman" w:cs="Times New Roman"/>
          <w:sz w:val="24"/>
          <w:szCs w:val="24"/>
        </w:rPr>
        <w:t>, or even partially absent.</w:t>
      </w:r>
      <w:r w:rsidRPr="003B4A0B">
        <w:rPr>
          <w:rFonts w:ascii="Times New Roman" w:hAnsi="Times New Roman" w:cs="Times New Roman"/>
          <w:b/>
          <w:bCs/>
          <w:sz w:val="24"/>
          <w:szCs w:val="24"/>
        </w:rPr>
        <w:t xml:space="preserve"> </w:t>
      </w:r>
      <w:r w:rsidRPr="003B4A0B">
        <w:rPr>
          <w:rFonts w:ascii="Times New Roman" w:hAnsi="Times New Roman" w:cs="Times New Roman"/>
          <w:sz w:val="24"/>
          <w:szCs w:val="24"/>
        </w:rPr>
        <w:t xml:space="preserve">Lung lesion </w:t>
      </w:r>
      <w:r w:rsidRPr="003E7E7E">
        <w:rPr>
          <w:rFonts w:ascii="Times New Roman" w:hAnsi="Times New Roman" w:cs="Times New Roman"/>
          <w:b/>
          <w:bCs/>
          <w:sz w:val="24"/>
          <w:szCs w:val="24"/>
        </w:rPr>
        <w:t>(D)</w:t>
      </w:r>
      <w:r w:rsidRPr="003B4A0B">
        <w:rPr>
          <w:rFonts w:ascii="Times New Roman" w:hAnsi="Times New Roman" w:cs="Times New Roman"/>
          <w:sz w:val="24"/>
          <w:szCs w:val="24"/>
        </w:rPr>
        <w:t xml:space="preserve"> and metastatic lymph nodes in the posterior mediastinum</w:t>
      </w:r>
      <w:r w:rsidRPr="003E7E7E">
        <w:rPr>
          <w:rFonts w:ascii="Times New Roman" w:hAnsi="Times New Roman" w:cs="Times New Roman"/>
          <w:b/>
          <w:bCs/>
          <w:sz w:val="24"/>
          <w:szCs w:val="24"/>
        </w:rPr>
        <w:t xml:space="preserve"> (E)</w:t>
      </w:r>
      <w:r w:rsidRPr="003B4A0B">
        <w:rPr>
          <w:rFonts w:ascii="Times New Roman" w:hAnsi="Times New Roman" w:cs="Times New Roman"/>
          <w:sz w:val="24"/>
          <w:szCs w:val="24"/>
        </w:rPr>
        <w:t xml:space="preserve"> are hypermetabolic on MR</w:t>
      </w:r>
      <w:r w:rsidRPr="003B4A0B">
        <w:rPr>
          <w:rFonts w:ascii="Times New Roman" w:hAnsi="Times New Roman" w:cs="Times New Roman"/>
          <w:sz w:val="24"/>
          <w:szCs w:val="24"/>
          <w:vertAlign w:val="subscript"/>
        </w:rPr>
        <w:t>FDG</w:t>
      </w:r>
      <w:r w:rsidRPr="003B4A0B">
        <w:rPr>
          <w:rFonts w:ascii="Times New Roman" w:hAnsi="Times New Roman" w:cs="Times New Roman"/>
          <w:sz w:val="24"/>
          <w:szCs w:val="24"/>
        </w:rPr>
        <w:t xml:space="preserve"> fusion image and SUV fusion image, with almost no free FDG present.</w:t>
      </w:r>
    </w:p>
    <w:p w14:paraId="57E8A02C" w14:textId="69850CA5" w:rsidR="006E21A9" w:rsidRPr="00DF081F" w:rsidRDefault="006E21A9" w:rsidP="006E21A9">
      <w:pPr>
        <w:spacing w:line="480" w:lineRule="auto"/>
        <w:rPr>
          <w:rFonts w:ascii="Times New Roman" w:hAnsi="Times New Roman" w:cs="Times New Roman"/>
          <w:sz w:val="24"/>
          <w:szCs w:val="24"/>
        </w:rPr>
      </w:pPr>
    </w:p>
    <w:p w14:paraId="47C7014E" w14:textId="3889DE1C" w:rsidR="006E21A9" w:rsidRPr="00382E1B" w:rsidRDefault="006E21A9" w:rsidP="006E21A9">
      <w:pPr>
        <w:spacing w:line="480" w:lineRule="auto"/>
        <w:rPr>
          <w:rFonts w:ascii="Times New Roman" w:hAnsi="Times New Roman" w:cs="Times New Roman"/>
          <w:b/>
          <w:bCs/>
          <w:sz w:val="24"/>
          <w:szCs w:val="24"/>
        </w:rPr>
      </w:pPr>
      <w:r w:rsidRPr="00382E1B">
        <w:rPr>
          <w:rFonts w:ascii="Times New Roman" w:hAnsi="Times New Roman" w:cs="Times New Roman"/>
          <w:noProof/>
          <w:sz w:val="24"/>
          <w:szCs w:val="24"/>
        </w:rPr>
        <w:drawing>
          <wp:inline distT="0" distB="0" distL="0" distR="0" wp14:anchorId="1C1AAAAC" wp14:editId="500C65FC">
            <wp:extent cx="5274310" cy="3537585"/>
            <wp:effectExtent l="0" t="0" r="0" b="5715"/>
            <wp:docPr id="12774924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92423" name="图片 1277492423"/>
                    <pic:cNvPicPr/>
                  </pic:nvPicPr>
                  <pic:blipFill>
                    <a:blip r:embed="rId10"/>
                    <a:stretch>
                      <a:fillRect/>
                    </a:stretch>
                  </pic:blipFill>
                  <pic:spPr>
                    <a:xfrm>
                      <a:off x="0" y="0"/>
                      <a:ext cx="5274310" cy="3537585"/>
                    </a:xfrm>
                    <a:prstGeom prst="rect">
                      <a:avLst/>
                    </a:prstGeom>
                  </pic:spPr>
                </pic:pic>
              </a:graphicData>
            </a:graphic>
          </wp:inline>
        </w:drawing>
      </w:r>
    </w:p>
    <w:p w14:paraId="2EAE195A" w14:textId="502A34DD" w:rsidR="006E21A9" w:rsidRPr="00254450" w:rsidRDefault="00DF081F" w:rsidP="006E21A9">
      <w:pPr>
        <w:spacing w:line="480" w:lineRule="auto"/>
        <w:rPr>
          <w:rFonts w:ascii="Times New Roman" w:hAnsi="Times New Roman" w:cs="Times New Roman" w:hint="eastAsia"/>
          <w:sz w:val="24"/>
          <w:szCs w:val="24"/>
        </w:rPr>
      </w:pPr>
      <w:r w:rsidRPr="00DF081F">
        <w:rPr>
          <w:rFonts w:ascii="Times New Roman" w:hAnsi="Times New Roman" w:cs="Times New Roman"/>
          <w:b/>
          <w:bCs/>
          <w:sz w:val="24"/>
          <w:szCs w:val="24"/>
        </w:rPr>
        <w:t xml:space="preserve">Suppl. Fig. </w:t>
      </w:r>
      <w:r>
        <w:rPr>
          <w:rFonts w:ascii="Times New Roman" w:hAnsi="Times New Roman" w:cs="Times New Roman"/>
          <w:b/>
          <w:bCs/>
          <w:sz w:val="24"/>
          <w:szCs w:val="24"/>
        </w:rPr>
        <w:t>3</w:t>
      </w:r>
      <w:r w:rsidR="006E21A9" w:rsidRPr="00382E1B">
        <w:rPr>
          <w:rFonts w:ascii="Times New Roman" w:hAnsi="Times New Roman" w:cs="Times New Roman"/>
          <w:b/>
          <w:bCs/>
          <w:sz w:val="24"/>
          <w:szCs w:val="24"/>
        </w:rPr>
        <w:t xml:space="preserve"> </w:t>
      </w:r>
      <w:r w:rsidR="00254450" w:rsidRPr="003B4A0B">
        <w:rPr>
          <w:rFonts w:ascii="Times New Roman" w:hAnsi="Times New Roman" w:cs="Times New Roman"/>
          <w:sz w:val="24"/>
          <w:szCs w:val="24"/>
        </w:rPr>
        <w:t xml:space="preserve">Comparison of the differences in semi-quantitative indices </w:t>
      </w:r>
      <w:r w:rsidR="00254450" w:rsidRPr="003E7E7E">
        <w:rPr>
          <w:rFonts w:ascii="Times New Roman" w:hAnsi="Times New Roman" w:cs="Times New Roman"/>
          <w:b/>
          <w:bCs/>
          <w:sz w:val="24"/>
          <w:szCs w:val="24"/>
        </w:rPr>
        <w:t>(A-C)</w:t>
      </w:r>
      <w:r w:rsidR="00254450" w:rsidRPr="003B4A0B">
        <w:rPr>
          <w:rFonts w:ascii="Times New Roman" w:hAnsi="Times New Roman" w:cs="Times New Roman"/>
          <w:sz w:val="24"/>
          <w:szCs w:val="24"/>
        </w:rPr>
        <w:t xml:space="preserve"> and quantitative indices </w:t>
      </w:r>
      <w:r w:rsidR="00254450" w:rsidRPr="003E7E7E">
        <w:rPr>
          <w:rFonts w:ascii="Times New Roman" w:hAnsi="Times New Roman" w:cs="Times New Roman"/>
          <w:b/>
          <w:bCs/>
          <w:sz w:val="24"/>
          <w:szCs w:val="24"/>
        </w:rPr>
        <w:t>(D-E)</w:t>
      </w:r>
      <w:r w:rsidR="00254450" w:rsidRPr="003B4A0B">
        <w:rPr>
          <w:rFonts w:ascii="Times New Roman" w:hAnsi="Times New Roman" w:cs="Times New Roman"/>
          <w:sz w:val="24"/>
          <w:szCs w:val="24"/>
        </w:rPr>
        <w:t xml:space="preserve"> between benign and malignancy group. Scatter plots provide lower to upper quartiles (P25 to P75), the median (middle line), and the outliers.</w:t>
      </w:r>
    </w:p>
    <w:p w14:paraId="2B42841A" w14:textId="77777777" w:rsidR="006E21A9" w:rsidRPr="00382E1B" w:rsidRDefault="006E21A9" w:rsidP="006E21A9">
      <w:pPr>
        <w:spacing w:line="480" w:lineRule="auto"/>
        <w:rPr>
          <w:rFonts w:ascii="Times New Roman" w:hAnsi="Times New Roman" w:cs="Times New Roman"/>
          <w:sz w:val="24"/>
          <w:szCs w:val="24"/>
        </w:rPr>
      </w:pPr>
    </w:p>
    <w:p w14:paraId="5CAE4B66" w14:textId="4FD4874F" w:rsidR="006E21A9" w:rsidRPr="00382E1B" w:rsidRDefault="006E21A9" w:rsidP="006E21A9">
      <w:pPr>
        <w:spacing w:line="480" w:lineRule="auto"/>
        <w:rPr>
          <w:rFonts w:ascii="Times New Roman" w:hAnsi="Times New Roman" w:cs="Times New Roman"/>
          <w:sz w:val="24"/>
          <w:szCs w:val="24"/>
        </w:rPr>
      </w:pPr>
      <w:r w:rsidRPr="00382E1B">
        <w:rPr>
          <w:rFonts w:ascii="Times New Roman" w:hAnsi="Times New Roman" w:cs="Times New Roman"/>
          <w:noProof/>
          <w:sz w:val="24"/>
          <w:szCs w:val="24"/>
        </w:rPr>
        <w:drawing>
          <wp:inline distT="0" distB="0" distL="0" distR="0" wp14:anchorId="2757D2B1" wp14:editId="6F3AA6D7">
            <wp:extent cx="3560876" cy="2606565"/>
            <wp:effectExtent l="0" t="0" r="0" b="0"/>
            <wp:docPr id="15375591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59137" name="图片 1537559137"/>
                    <pic:cNvPicPr/>
                  </pic:nvPicPr>
                  <pic:blipFill>
                    <a:blip r:embed="rId11"/>
                    <a:stretch>
                      <a:fillRect/>
                    </a:stretch>
                  </pic:blipFill>
                  <pic:spPr>
                    <a:xfrm>
                      <a:off x="0" y="0"/>
                      <a:ext cx="3582499" cy="2622393"/>
                    </a:xfrm>
                    <a:prstGeom prst="rect">
                      <a:avLst/>
                    </a:prstGeom>
                  </pic:spPr>
                </pic:pic>
              </a:graphicData>
            </a:graphic>
          </wp:inline>
        </w:drawing>
      </w:r>
    </w:p>
    <w:p w14:paraId="680F4E4F" w14:textId="4CA92AD0" w:rsidR="006E21A9" w:rsidRPr="00254450" w:rsidRDefault="00DF081F" w:rsidP="006E21A9">
      <w:pPr>
        <w:spacing w:line="480" w:lineRule="auto"/>
        <w:rPr>
          <w:rFonts w:ascii="Times New Roman" w:hAnsi="Times New Roman" w:cs="Times New Roman" w:hint="eastAsia"/>
          <w:b/>
          <w:bCs/>
          <w:sz w:val="24"/>
          <w:szCs w:val="24"/>
        </w:rPr>
      </w:pPr>
      <w:r w:rsidRPr="00DF081F">
        <w:rPr>
          <w:rFonts w:ascii="Times New Roman" w:hAnsi="Times New Roman" w:cs="Times New Roman"/>
          <w:b/>
          <w:bCs/>
          <w:sz w:val="24"/>
          <w:szCs w:val="24"/>
        </w:rPr>
        <w:t xml:space="preserve">Suppl. Fig. </w:t>
      </w:r>
      <w:r>
        <w:rPr>
          <w:rFonts w:ascii="Times New Roman" w:hAnsi="Times New Roman" w:cs="Times New Roman"/>
          <w:b/>
          <w:bCs/>
          <w:sz w:val="24"/>
          <w:szCs w:val="24"/>
        </w:rPr>
        <w:t>4</w:t>
      </w:r>
      <w:r w:rsidR="006E21A9" w:rsidRPr="00382E1B">
        <w:rPr>
          <w:rFonts w:ascii="Times New Roman" w:hAnsi="Times New Roman" w:cs="Times New Roman"/>
          <w:sz w:val="24"/>
          <w:szCs w:val="24"/>
        </w:rPr>
        <w:t xml:space="preserve"> </w:t>
      </w:r>
      <w:r w:rsidR="00254450" w:rsidRPr="003B4A0B">
        <w:rPr>
          <w:rFonts w:ascii="Times New Roman" w:hAnsi="Times New Roman" w:cs="Times New Roman"/>
          <w:sz w:val="24"/>
          <w:szCs w:val="24"/>
        </w:rPr>
        <w:t>Correlations between MR</w:t>
      </w:r>
      <w:r w:rsidR="00254450" w:rsidRPr="003B4A0B">
        <w:rPr>
          <w:rFonts w:ascii="Times New Roman" w:hAnsi="Times New Roman" w:cs="Times New Roman"/>
          <w:sz w:val="24"/>
          <w:szCs w:val="24"/>
          <w:vertAlign w:val="subscript"/>
        </w:rPr>
        <w:t>max</w:t>
      </w:r>
      <w:r w:rsidR="00254450" w:rsidRPr="003B4A0B">
        <w:rPr>
          <w:rFonts w:ascii="Times New Roman" w:hAnsi="Times New Roman" w:cs="Times New Roman"/>
          <w:sz w:val="24"/>
          <w:szCs w:val="24"/>
        </w:rPr>
        <w:t xml:space="preserve"> and SUV</w:t>
      </w:r>
      <w:r w:rsidR="00254450" w:rsidRPr="003B4A0B">
        <w:rPr>
          <w:rFonts w:ascii="Times New Roman" w:hAnsi="Times New Roman" w:cs="Times New Roman"/>
          <w:sz w:val="24"/>
          <w:szCs w:val="24"/>
          <w:vertAlign w:val="subscript"/>
        </w:rPr>
        <w:t>max</w:t>
      </w:r>
      <w:r w:rsidR="00254450" w:rsidRPr="003B4A0B">
        <w:rPr>
          <w:rFonts w:ascii="Times New Roman" w:hAnsi="Times New Roman" w:cs="Times New Roman"/>
          <w:sz w:val="24"/>
          <w:szCs w:val="24"/>
        </w:rPr>
        <w:t xml:space="preserve"> values based on Patlak. The </w:t>
      </w:r>
      <w:r w:rsidR="00254450" w:rsidRPr="003B4A0B">
        <w:rPr>
          <w:rFonts w:ascii="Times New Roman" w:hAnsi="Times New Roman" w:cs="Times New Roman"/>
          <w:sz w:val="24"/>
          <w:szCs w:val="24"/>
        </w:rPr>
        <w:lastRenderedPageBreak/>
        <w:t>regression lines represent the line of best fit. Positive correlations between MR</w:t>
      </w:r>
      <w:r w:rsidR="00254450" w:rsidRPr="003B4A0B">
        <w:rPr>
          <w:rFonts w:ascii="Times New Roman" w:hAnsi="Times New Roman" w:cs="Times New Roman"/>
          <w:sz w:val="24"/>
          <w:szCs w:val="24"/>
          <w:vertAlign w:val="subscript"/>
        </w:rPr>
        <w:t>max</w:t>
      </w:r>
      <w:r w:rsidR="00254450" w:rsidRPr="003B4A0B">
        <w:rPr>
          <w:rFonts w:ascii="Times New Roman" w:hAnsi="Times New Roman" w:cs="Times New Roman"/>
          <w:sz w:val="24"/>
          <w:szCs w:val="24"/>
        </w:rPr>
        <w:t xml:space="preserve"> and SUV</w:t>
      </w:r>
      <w:r w:rsidR="00254450" w:rsidRPr="003B4A0B">
        <w:rPr>
          <w:rFonts w:ascii="Times New Roman" w:hAnsi="Times New Roman" w:cs="Times New Roman"/>
          <w:sz w:val="24"/>
          <w:szCs w:val="24"/>
          <w:vertAlign w:val="subscript"/>
        </w:rPr>
        <w:t>max</w:t>
      </w:r>
      <w:r w:rsidR="00254450" w:rsidRPr="003B4A0B">
        <w:rPr>
          <w:rFonts w:ascii="Times New Roman" w:hAnsi="Times New Roman" w:cs="Times New Roman"/>
          <w:sz w:val="24"/>
          <w:szCs w:val="24"/>
        </w:rPr>
        <w:t xml:space="preserve"> values in both benign and malignant groups were observed.</w:t>
      </w:r>
    </w:p>
    <w:sectPr w:rsidR="006E21A9" w:rsidRPr="00254450" w:rsidSect="005B378F">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2238C" w14:textId="77777777" w:rsidR="00BD3AF7" w:rsidRDefault="00BD3AF7" w:rsidP="00916738">
      <w:r>
        <w:separator/>
      </w:r>
    </w:p>
  </w:endnote>
  <w:endnote w:type="continuationSeparator" w:id="0">
    <w:p w14:paraId="7755CA8D" w14:textId="77777777" w:rsidR="00BD3AF7" w:rsidRDefault="00BD3AF7" w:rsidP="009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659447"/>
      <w:docPartObj>
        <w:docPartGallery w:val="Page Numbers (Bottom of Page)"/>
        <w:docPartUnique/>
      </w:docPartObj>
    </w:sdtPr>
    <w:sdtContent>
      <w:p w14:paraId="62115B33" w14:textId="313FDFF7" w:rsidR="00832415" w:rsidRDefault="00832415">
        <w:pPr>
          <w:pStyle w:val="a5"/>
          <w:jc w:val="center"/>
        </w:pPr>
        <w:r>
          <w:fldChar w:fldCharType="begin"/>
        </w:r>
        <w:r>
          <w:instrText>PAGE   \* MERGEFORMAT</w:instrText>
        </w:r>
        <w:r>
          <w:fldChar w:fldCharType="separate"/>
        </w:r>
        <w:r>
          <w:rPr>
            <w:lang w:val="zh-CN"/>
          </w:rPr>
          <w:t>2</w:t>
        </w:r>
        <w:r>
          <w:fldChar w:fldCharType="end"/>
        </w:r>
      </w:p>
    </w:sdtContent>
  </w:sdt>
  <w:p w14:paraId="2592A011" w14:textId="77777777" w:rsidR="00832415" w:rsidRDefault="008324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C4177" w14:textId="77777777" w:rsidR="00BD3AF7" w:rsidRDefault="00BD3AF7" w:rsidP="00916738">
      <w:r>
        <w:separator/>
      </w:r>
    </w:p>
  </w:footnote>
  <w:footnote w:type="continuationSeparator" w:id="0">
    <w:p w14:paraId="41152468" w14:textId="77777777" w:rsidR="00BD3AF7" w:rsidRDefault="00BD3AF7" w:rsidP="009167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072B"/>
    <w:multiLevelType w:val="hybridMultilevel"/>
    <w:tmpl w:val="30FEF72C"/>
    <w:lvl w:ilvl="0" w:tplc="09741290">
      <w:start w:val="1"/>
      <w:numFmt w:val="bullet"/>
      <w:lvlText w:val=""/>
      <w:lvlJc w:val="left"/>
      <w:pPr>
        <w:ind w:left="440" w:hanging="440"/>
      </w:pPr>
      <w:rPr>
        <w:rFonts w:ascii="Wingdings" w:hAnsi="Wingdings" w:hint="default"/>
        <w:sz w:val="13"/>
        <w:szCs w:val="13"/>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23A81E00"/>
    <w:multiLevelType w:val="hybridMultilevel"/>
    <w:tmpl w:val="5F06BD8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44388558">
    <w:abstractNumId w:val="0"/>
  </w:num>
  <w:num w:numId="2" w16cid:durableId="1337731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xsDQxMjWxNDA1NjdX0lEKTi0uzszPAykwrwUA++FpziwAAAA="/>
    <w:docVar w:name="EN.InstantFormat" w:val="&lt;ENInstantFormat&gt;&lt;Enabled&gt;1&lt;/Enabled&gt;&lt;ScanUnformatted&gt;1&lt;/ScanUnformatted&gt;&lt;ScanChanges&gt;1&lt;/ScanChanges&gt;&lt;Suspended&gt;1&lt;/Suspended&gt;&lt;/ENInstantFormat&gt;"/>
  </w:docVars>
  <w:rsids>
    <w:rsidRoot w:val="00B96228"/>
    <w:rsid w:val="00012448"/>
    <w:rsid w:val="00031F1B"/>
    <w:rsid w:val="0003474A"/>
    <w:rsid w:val="0005449F"/>
    <w:rsid w:val="00096C6C"/>
    <w:rsid w:val="000A5583"/>
    <w:rsid w:val="000C2258"/>
    <w:rsid w:val="000E3C3C"/>
    <w:rsid w:val="00173EB9"/>
    <w:rsid w:val="00186067"/>
    <w:rsid w:val="00190921"/>
    <w:rsid w:val="00191135"/>
    <w:rsid w:val="00192E44"/>
    <w:rsid w:val="00195A65"/>
    <w:rsid w:val="001A675E"/>
    <w:rsid w:val="001C6C4E"/>
    <w:rsid w:val="001E6540"/>
    <w:rsid w:val="001F0E6A"/>
    <w:rsid w:val="001F206B"/>
    <w:rsid w:val="002220F6"/>
    <w:rsid w:val="00223839"/>
    <w:rsid w:val="00237663"/>
    <w:rsid w:val="00254450"/>
    <w:rsid w:val="00256E53"/>
    <w:rsid w:val="002602F0"/>
    <w:rsid w:val="0027725F"/>
    <w:rsid w:val="002A2C4D"/>
    <w:rsid w:val="002B6323"/>
    <w:rsid w:val="003240B0"/>
    <w:rsid w:val="00336BE1"/>
    <w:rsid w:val="00347899"/>
    <w:rsid w:val="003574F9"/>
    <w:rsid w:val="0036594F"/>
    <w:rsid w:val="00382E1B"/>
    <w:rsid w:val="003857E3"/>
    <w:rsid w:val="00393D7F"/>
    <w:rsid w:val="003A5299"/>
    <w:rsid w:val="0040238F"/>
    <w:rsid w:val="004064B8"/>
    <w:rsid w:val="004324DB"/>
    <w:rsid w:val="004452BE"/>
    <w:rsid w:val="004569A3"/>
    <w:rsid w:val="00482CDE"/>
    <w:rsid w:val="0048696C"/>
    <w:rsid w:val="00492986"/>
    <w:rsid w:val="00497128"/>
    <w:rsid w:val="004A5373"/>
    <w:rsid w:val="004B2168"/>
    <w:rsid w:val="004F5A8C"/>
    <w:rsid w:val="00506FE1"/>
    <w:rsid w:val="00512F94"/>
    <w:rsid w:val="00564548"/>
    <w:rsid w:val="00566EA6"/>
    <w:rsid w:val="00566F88"/>
    <w:rsid w:val="00570B91"/>
    <w:rsid w:val="00580B3C"/>
    <w:rsid w:val="00591A99"/>
    <w:rsid w:val="005B02DF"/>
    <w:rsid w:val="005B0B9E"/>
    <w:rsid w:val="005B378F"/>
    <w:rsid w:val="005C025F"/>
    <w:rsid w:val="005D261A"/>
    <w:rsid w:val="005D39FF"/>
    <w:rsid w:val="005F1A35"/>
    <w:rsid w:val="00610BB8"/>
    <w:rsid w:val="00614F9F"/>
    <w:rsid w:val="00623ADE"/>
    <w:rsid w:val="006355D8"/>
    <w:rsid w:val="00671B5D"/>
    <w:rsid w:val="00682872"/>
    <w:rsid w:val="00686B89"/>
    <w:rsid w:val="006E21A9"/>
    <w:rsid w:val="00701B4D"/>
    <w:rsid w:val="007030D1"/>
    <w:rsid w:val="00721880"/>
    <w:rsid w:val="007476EB"/>
    <w:rsid w:val="00770AA3"/>
    <w:rsid w:val="00781EB2"/>
    <w:rsid w:val="007A5AD6"/>
    <w:rsid w:val="007C50D1"/>
    <w:rsid w:val="007C6DBC"/>
    <w:rsid w:val="007C7772"/>
    <w:rsid w:val="007D4775"/>
    <w:rsid w:val="007E7217"/>
    <w:rsid w:val="00802EC6"/>
    <w:rsid w:val="0082491F"/>
    <w:rsid w:val="00832415"/>
    <w:rsid w:val="00845713"/>
    <w:rsid w:val="00850E60"/>
    <w:rsid w:val="00853DC2"/>
    <w:rsid w:val="008846A5"/>
    <w:rsid w:val="008F4131"/>
    <w:rsid w:val="0091641B"/>
    <w:rsid w:val="00916738"/>
    <w:rsid w:val="00935FA4"/>
    <w:rsid w:val="00964E5D"/>
    <w:rsid w:val="00977A97"/>
    <w:rsid w:val="009824E9"/>
    <w:rsid w:val="009E57FF"/>
    <w:rsid w:val="009E612C"/>
    <w:rsid w:val="009F38A6"/>
    <w:rsid w:val="00A0060A"/>
    <w:rsid w:val="00A1374C"/>
    <w:rsid w:val="00A31761"/>
    <w:rsid w:val="00A42C40"/>
    <w:rsid w:val="00A71234"/>
    <w:rsid w:val="00A87217"/>
    <w:rsid w:val="00AA00B3"/>
    <w:rsid w:val="00AC3D27"/>
    <w:rsid w:val="00AD4DE5"/>
    <w:rsid w:val="00AE30F8"/>
    <w:rsid w:val="00AF3B16"/>
    <w:rsid w:val="00B0272A"/>
    <w:rsid w:val="00B4793F"/>
    <w:rsid w:val="00B63CDD"/>
    <w:rsid w:val="00B648F9"/>
    <w:rsid w:val="00B91850"/>
    <w:rsid w:val="00B96228"/>
    <w:rsid w:val="00BD3AF7"/>
    <w:rsid w:val="00C32728"/>
    <w:rsid w:val="00C47CFE"/>
    <w:rsid w:val="00C6496A"/>
    <w:rsid w:val="00C80767"/>
    <w:rsid w:val="00CE4767"/>
    <w:rsid w:val="00D058BC"/>
    <w:rsid w:val="00D22D14"/>
    <w:rsid w:val="00D56E5E"/>
    <w:rsid w:val="00D853FF"/>
    <w:rsid w:val="00DE55E3"/>
    <w:rsid w:val="00DF081F"/>
    <w:rsid w:val="00E01AE2"/>
    <w:rsid w:val="00E02EE1"/>
    <w:rsid w:val="00E1137C"/>
    <w:rsid w:val="00E22F30"/>
    <w:rsid w:val="00E34D30"/>
    <w:rsid w:val="00E42169"/>
    <w:rsid w:val="00E71F37"/>
    <w:rsid w:val="00E71F8C"/>
    <w:rsid w:val="00E75915"/>
    <w:rsid w:val="00EB5AD6"/>
    <w:rsid w:val="00EB79C4"/>
    <w:rsid w:val="00F5491D"/>
    <w:rsid w:val="00F72E00"/>
    <w:rsid w:val="00F76B0C"/>
    <w:rsid w:val="00F83D14"/>
    <w:rsid w:val="00FA2FC5"/>
    <w:rsid w:val="00FB15B1"/>
    <w:rsid w:val="00FE2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4EFFEE"/>
  <w15:chartTrackingRefBased/>
  <w15:docId w15:val="{6201C73F-45F1-4CFA-83E4-CE1A0E9D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A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22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6228"/>
    <w:rPr>
      <w:sz w:val="18"/>
      <w:szCs w:val="18"/>
    </w:rPr>
  </w:style>
  <w:style w:type="paragraph" w:styleId="a5">
    <w:name w:val="footer"/>
    <w:basedOn w:val="a"/>
    <w:link w:val="a6"/>
    <w:uiPriority w:val="99"/>
    <w:unhideWhenUsed/>
    <w:rsid w:val="00B96228"/>
    <w:pPr>
      <w:tabs>
        <w:tab w:val="center" w:pos="4153"/>
        <w:tab w:val="right" w:pos="8306"/>
      </w:tabs>
      <w:snapToGrid w:val="0"/>
      <w:jc w:val="left"/>
    </w:pPr>
    <w:rPr>
      <w:sz w:val="18"/>
      <w:szCs w:val="18"/>
    </w:rPr>
  </w:style>
  <w:style w:type="character" w:customStyle="1" w:styleId="a6">
    <w:name w:val="页脚 字符"/>
    <w:basedOn w:val="a0"/>
    <w:link w:val="a5"/>
    <w:uiPriority w:val="99"/>
    <w:rsid w:val="00B96228"/>
    <w:rPr>
      <w:sz w:val="18"/>
      <w:szCs w:val="18"/>
    </w:rPr>
  </w:style>
  <w:style w:type="table" w:styleId="a7">
    <w:name w:val="Table Grid"/>
    <w:basedOn w:val="a1"/>
    <w:uiPriority w:val="39"/>
    <w:rsid w:val="00B96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B96228"/>
    <w:rPr>
      <w:sz w:val="21"/>
      <w:szCs w:val="21"/>
    </w:rPr>
  </w:style>
  <w:style w:type="paragraph" w:styleId="a9">
    <w:name w:val="annotation text"/>
    <w:basedOn w:val="a"/>
    <w:link w:val="aa"/>
    <w:uiPriority w:val="99"/>
    <w:semiHidden/>
    <w:unhideWhenUsed/>
    <w:rsid w:val="00B96228"/>
    <w:pPr>
      <w:jc w:val="left"/>
    </w:pPr>
  </w:style>
  <w:style w:type="character" w:customStyle="1" w:styleId="aa">
    <w:name w:val="批注文字 字符"/>
    <w:basedOn w:val="a0"/>
    <w:link w:val="a9"/>
    <w:uiPriority w:val="99"/>
    <w:semiHidden/>
    <w:rsid w:val="00B96228"/>
  </w:style>
  <w:style w:type="paragraph" w:styleId="ab">
    <w:name w:val="annotation subject"/>
    <w:basedOn w:val="a9"/>
    <w:next w:val="a9"/>
    <w:link w:val="ac"/>
    <w:uiPriority w:val="99"/>
    <w:semiHidden/>
    <w:unhideWhenUsed/>
    <w:rsid w:val="00B96228"/>
    <w:rPr>
      <w:b/>
      <w:bCs/>
    </w:rPr>
  </w:style>
  <w:style w:type="character" w:customStyle="1" w:styleId="ac">
    <w:name w:val="批注主题 字符"/>
    <w:basedOn w:val="aa"/>
    <w:link w:val="ab"/>
    <w:uiPriority w:val="99"/>
    <w:semiHidden/>
    <w:rsid w:val="00B96228"/>
    <w:rPr>
      <w:b/>
      <w:bCs/>
    </w:rPr>
  </w:style>
  <w:style w:type="paragraph" w:customStyle="1" w:styleId="EndNoteBibliographyTitle">
    <w:name w:val="EndNote Bibliography Title"/>
    <w:basedOn w:val="a"/>
    <w:link w:val="EndNoteBibliographyTitle0"/>
    <w:rsid w:val="00B96228"/>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B96228"/>
    <w:rPr>
      <w:rFonts w:ascii="DengXian" w:eastAsia="DengXian" w:hAnsi="DengXian"/>
      <w:noProof/>
      <w:sz w:val="20"/>
    </w:rPr>
  </w:style>
  <w:style w:type="paragraph" w:customStyle="1" w:styleId="EndNoteBibliography">
    <w:name w:val="EndNote Bibliography"/>
    <w:basedOn w:val="a"/>
    <w:link w:val="EndNoteBibliography0"/>
    <w:rsid w:val="00B96228"/>
    <w:rPr>
      <w:rFonts w:ascii="DengXian" w:eastAsia="DengXian" w:hAnsi="DengXian"/>
      <w:noProof/>
      <w:sz w:val="20"/>
    </w:rPr>
  </w:style>
  <w:style w:type="character" w:customStyle="1" w:styleId="EndNoteBibliography0">
    <w:name w:val="EndNote Bibliography 字符"/>
    <w:basedOn w:val="a0"/>
    <w:link w:val="EndNoteBibliography"/>
    <w:rsid w:val="00B96228"/>
    <w:rPr>
      <w:rFonts w:ascii="DengXian" w:eastAsia="DengXian" w:hAnsi="DengXian"/>
      <w:noProof/>
      <w:sz w:val="20"/>
    </w:rPr>
  </w:style>
  <w:style w:type="character" w:styleId="ad">
    <w:name w:val="line number"/>
    <w:basedOn w:val="a0"/>
    <w:uiPriority w:val="99"/>
    <w:semiHidden/>
    <w:unhideWhenUsed/>
    <w:rsid w:val="00832415"/>
  </w:style>
  <w:style w:type="paragraph" w:styleId="ae">
    <w:name w:val="List Paragraph"/>
    <w:basedOn w:val="a"/>
    <w:uiPriority w:val="34"/>
    <w:qFormat/>
    <w:rsid w:val="004064B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ADE65-4905-C242-ABD1-444412F84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7</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翊含</dc:creator>
  <cp:keywords/>
  <dc:description/>
  <cp:lastModifiedBy>YH Z</cp:lastModifiedBy>
  <cp:revision>68</cp:revision>
  <dcterms:created xsi:type="dcterms:W3CDTF">2023-12-15T08:37:00Z</dcterms:created>
  <dcterms:modified xsi:type="dcterms:W3CDTF">2024-04-03T12:41:00Z</dcterms:modified>
</cp:coreProperties>
</file>