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Supporting information</w:t>
      </w:r>
    </w:p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center"/>
        <w:textAlignment w:val="auto"/>
        <w:rPr>
          <w:rFonts w:hint="eastAsia" w:cs="Times New Roman"/>
          <w:szCs w:val="21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Interactive effects of natural and anthropogenic factors on heterogenetic accumulations of heavy metals in surface drinking water sources in the upper Huaihe River Basin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in China</w:t>
      </w:r>
    </w:p>
    <w:p/>
    <w:p/>
    <w:p>
      <w:pPr>
        <w:wordWrap w:val="0"/>
        <w:spacing w:before="240" w:beforeLines="100" w:after="240" w:afterLines="100" w:line="480" w:lineRule="auto"/>
        <w:ind w:left="0" w:leftChars="0" w:firstLine="0" w:firstLineChars="0"/>
        <w:jc w:val="center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cs="Times New Roman"/>
          <w:szCs w:val="21"/>
          <w:lang w:val="en-US" w:eastAsia="zh-CN" w:bidi="ar"/>
        </w:rPr>
        <w:t>Tong</w:t>
      </w:r>
      <w:r>
        <w:rPr>
          <w:rFonts w:hint="default" w:ascii="Times New Roman" w:hAnsi="Times New Roman" w:eastAsia="宋体" w:cs="Times New Roman"/>
          <w:szCs w:val="21"/>
          <w:lang w:bidi="ar"/>
        </w:rPr>
        <w:t xml:space="preserve"> 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Liu</w:t>
      </w:r>
      <w:r>
        <w:rPr>
          <w:rFonts w:hint="default" w:ascii="Times New Roman" w:hAnsi="Times New Roman" w:eastAsia="宋体" w:cs="Times New Roman"/>
          <w:szCs w:val="21"/>
          <w:vertAlign w:val="superscript"/>
          <w:lang w:bidi="ar"/>
        </w:rPr>
        <w:t>1</w:t>
      </w:r>
      <w:r>
        <w:rPr>
          <w:rFonts w:hint="default" w:ascii="Times New Roman" w:hAnsi="Times New Roman" w:eastAsia="宋体" w:cs="Times New Roman"/>
          <w:szCs w:val="21"/>
          <w:lang w:bidi="ar"/>
        </w:rPr>
        <w:t>, Mingya Wang</w:t>
      </w:r>
      <w:r>
        <w:rPr>
          <w:rFonts w:hint="default" w:ascii="Times New Roman" w:hAnsi="Times New Roman" w:eastAsia="宋体" w:cs="Times New Roman"/>
          <w:szCs w:val="21"/>
          <w:vertAlign w:val="superscript"/>
          <w:lang w:bidi="ar"/>
        </w:rPr>
        <w:t>1</w:t>
      </w:r>
      <w:r>
        <w:rPr>
          <w:rFonts w:hint="default" w:ascii="Times New Roman" w:hAnsi="Times New Roman" w:eastAsia="宋体" w:cs="Times New Roman"/>
          <w:szCs w:val="21"/>
          <w:lang w:bidi="ar"/>
        </w:rPr>
        <w:t>,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 xml:space="preserve"> Chunhui Zhang</w:t>
      </w:r>
      <w:r>
        <w:rPr>
          <w:rFonts w:hint="default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, Shili Yang</w:t>
      </w:r>
      <w:r>
        <w:rPr>
          <w:rFonts w:hint="default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, Fan Zhang</w:t>
      </w:r>
      <w:r>
        <w:rPr>
          <w:rFonts w:hint="default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, Luhao Jia</w:t>
      </w:r>
      <w:r>
        <w:rPr>
          <w:rFonts w:hint="default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, Wanqi Ma</w:t>
      </w:r>
      <w:r>
        <w:rPr>
          <w:rFonts w:hint="default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, Shaobo Sui</w:t>
      </w:r>
      <w:r>
        <w:rPr>
          <w:rFonts w:hint="default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>,</w:t>
      </w:r>
      <w:r>
        <w:rPr>
          <w:rFonts w:hint="eastAsia" w:ascii="Times New Roman" w:hAnsi="Times New Roman" w:cs="Times New Roman"/>
          <w:szCs w:val="21"/>
          <w:lang w:val="en-US" w:eastAsia="zh-CN" w:bidi="ar"/>
        </w:rPr>
        <w:t>Qingwei Liu</w:t>
      </w:r>
      <w:r>
        <w:rPr>
          <w:rFonts w:hint="eastAsia" w:ascii="Times New Roman" w:hAnsi="Times New Roman" w:cs="Times New Roman"/>
          <w:szCs w:val="21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cs="Times New Roman"/>
          <w:szCs w:val="21"/>
          <w:lang w:val="en-US" w:eastAsia="zh-CN" w:bidi="ar"/>
        </w:rPr>
        <w:t>,</w:t>
      </w:r>
      <w:r>
        <w:rPr>
          <w:rFonts w:hint="default" w:ascii="Times New Roman" w:hAnsi="Times New Roman" w:cs="Times New Roman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szCs w:val="21"/>
          <w:lang w:bidi="ar"/>
        </w:rPr>
        <w:t>Mingshi Wang</w:t>
      </w:r>
      <w:r>
        <w:rPr>
          <w:rFonts w:hint="default" w:ascii="Times New Roman" w:hAnsi="Times New Roman" w:eastAsia="宋体" w:cs="Times New Roman"/>
          <w:szCs w:val="21"/>
          <w:vertAlign w:val="superscript"/>
          <w:lang w:bidi="ar"/>
        </w:rPr>
        <w:t>1, *</w:t>
      </w: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 w:eastAsia="Times New Roman" w:cs="Times New Roman"/>
          <w:i/>
          <w:iCs/>
          <w:szCs w:val="21"/>
        </w:rPr>
      </w:pPr>
      <w:r>
        <w:rPr>
          <w:rFonts w:hint="eastAsia" w:ascii="Times New Roman" w:hAnsi="Times New Roman" w:eastAsia="宋体" w:cs="Times New Roman"/>
          <w:i/>
          <w:iCs/>
          <w:szCs w:val="21"/>
          <w:vertAlign w:val="superscript"/>
          <w:lang w:bidi="ar"/>
        </w:rPr>
        <w:t>1</w:t>
      </w:r>
      <w:r>
        <w:rPr>
          <w:rFonts w:ascii="Times New Roman" w:hAnsi="Times New Roman" w:eastAsia="宋体" w:cs="Times New Roman"/>
          <w:i/>
          <w:iCs/>
          <w:szCs w:val="21"/>
          <w:lang w:bidi="ar"/>
        </w:rPr>
        <w:t xml:space="preserve"> </w:t>
      </w:r>
      <w:r>
        <w:rPr>
          <w:rFonts w:ascii="Times New Roman" w:hAnsi="Times New Roman" w:eastAsia="等线" w:cs="Times New Roman"/>
          <w:i/>
          <w:iCs/>
          <w:szCs w:val="21"/>
          <w:lang w:bidi="ar"/>
        </w:rPr>
        <w:t xml:space="preserve">College </w:t>
      </w:r>
      <w:r>
        <w:rPr>
          <w:rFonts w:ascii="Times New Roman" w:hAnsi="Times New Roman" w:eastAsia="等线" w:cs="Times New Roman"/>
          <w:i/>
          <w:iCs/>
          <w:spacing w:val="-3"/>
          <w:szCs w:val="21"/>
          <w:lang w:bidi="ar"/>
        </w:rPr>
        <w:t xml:space="preserve">of </w:t>
      </w:r>
      <w:r>
        <w:rPr>
          <w:rFonts w:ascii="Times New Roman" w:hAnsi="Times New Roman" w:eastAsia="等线" w:cs="Times New Roman"/>
          <w:i/>
          <w:iCs/>
          <w:szCs w:val="21"/>
          <w:lang w:bidi="ar"/>
        </w:rPr>
        <w:t xml:space="preserve">Resource and Environment, Henan Polytechnic </w:t>
      </w:r>
      <w:r>
        <w:rPr>
          <w:rFonts w:ascii="Times New Roman" w:hAnsi="Times New Roman" w:eastAsia="等线" w:cs="Times New Roman"/>
          <w:i/>
          <w:iCs/>
          <w:spacing w:val="-4"/>
          <w:szCs w:val="21"/>
          <w:lang w:bidi="ar"/>
        </w:rPr>
        <w:t xml:space="preserve">University, </w:t>
      </w:r>
      <w:r>
        <w:rPr>
          <w:rFonts w:ascii="Times New Roman" w:hAnsi="Times New Roman" w:eastAsia="等线" w:cs="Times New Roman"/>
          <w:i/>
          <w:iCs/>
          <w:spacing w:val="-3"/>
          <w:szCs w:val="21"/>
          <w:lang w:bidi="ar"/>
        </w:rPr>
        <w:t xml:space="preserve">Jiaozuo, </w:t>
      </w:r>
      <w:r>
        <w:rPr>
          <w:rFonts w:ascii="Times New Roman" w:hAnsi="Times New Roman" w:eastAsia="等线" w:cs="Times New Roman"/>
          <w:i/>
          <w:iCs/>
          <w:szCs w:val="21"/>
          <w:lang w:bidi="ar"/>
        </w:rPr>
        <w:t>454003,</w:t>
      </w:r>
      <w:r>
        <w:rPr>
          <w:rFonts w:ascii="Times New Roman" w:hAnsi="Times New Roman" w:eastAsia="等线" w:cs="Times New Roman"/>
          <w:i/>
          <w:iCs/>
          <w:spacing w:val="36"/>
          <w:szCs w:val="21"/>
          <w:lang w:bidi="ar"/>
        </w:rPr>
        <w:t xml:space="preserve"> </w:t>
      </w:r>
      <w:r>
        <w:rPr>
          <w:rFonts w:ascii="Times New Roman" w:hAnsi="Times New Roman" w:eastAsia="等线" w:cs="Times New Roman"/>
          <w:i/>
          <w:iCs/>
          <w:szCs w:val="21"/>
          <w:lang w:bidi="ar"/>
        </w:rPr>
        <w:t>China;</w:t>
      </w: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0" w:name="OLE_LINK24"/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10" w:name="_GoBack"/>
      <w:bookmarkEnd w:id="10"/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tabs>
          <w:tab w:val="left" w:pos="697"/>
        </w:tabs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Corresponding author.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E-mail address: </w:t>
      </w:r>
      <w:r>
        <w:fldChar w:fldCharType="begin"/>
      </w:r>
      <w:r>
        <w:instrText xml:space="preserve"> HYPERLINK "mailto:mingshiwang@hpu.edu.cn" </w:instrText>
      </w:r>
      <w:r>
        <w:fldChar w:fldCharType="separate"/>
      </w:r>
      <w:r>
        <w:rPr>
          <w:rStyle w:val="5"/>
          <w:rFonts w:ascii="Times New Roman" w:hAnsi="Times New Roman"/>
          <w:sz w:val="24"/>
          <w:szCs w:val="24"/>
        </w:rPr>
        <w:t>mingshiwang@hpu.edu.cn</w:t>
      </w:r>
      <w:r>
        <w:rPr>
          <w:rStyle w:val="5"/>
          <w:rFonts w:ascii="Times New Roman" w:hAnsi="Times New Roman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 xml:space="preserve"> (M. Wang).</w:t>
      </w:r>
      <w:bookmarkEnd w:id="0"/>
    </w:p>
    <w:p>
      <w:pPr>
        <w:spacing w:line="480" w:lineRule="auto"/>
        <w:jc w:val="left"/>
        <w:rPr>
          <w:rFonts w:hint="default" w:ascii="Times New Roman" w:hAnsi="Times New Roman" w:cs="Times New Roman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Tables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5 Fig</w:t>
      </w:r>
    </w:p>
    <w:p>
      <w:pPr>
        <w:keepNext w:val="0"/>
        <w:keepLines w:val="0"/>
        <w:pageBreakBefore w:val="0"/>
        <w:tabs>
          <w:tab w:val="left" w:pos="697"/>
        </w:tabs>
        <w:kinsoku/>
        <w:wordWrap/>
        <w:overflowPunct/>
        <w:topLinePunct w:val="0"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kern w:val="0"/>
          <w:szCs w:val="21"/>
          <w:lang w:val="en-US" w:bidi="zh-CN"/>
        </w:rPr>
      </w:pPr>
      <w:r>
        <w:rPr>
          <w:rFonts w:hint="eastAsia" w:ascii="Times New Roman" w:hAnsi="Times New Roman" w:eastAsia="宋体" w:cs="Times New Roman"/>
          <w:b/>
          <w:szCs w:val="21"/>
        </w:rPr>
        <w:t>T</w:t>
      </w:r>
      <w:r>
        <w:rPr>
          <w:rFonts w:ascii="Times New Roman" w:hAnsi="Times New Roman" w:eastAsia="宋体" w:cs="Times New Roman"/>
          <w:b/>
          <w:szCs w:val="21"/>
        </w:rPr>
        <w:t xml:space="preserve">able S1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US" w:bidi="zh-CN"/>
        </w:rPr>
        <w:t>WQI water quality classification.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FF0000"/>
          <w:spacing w:val="6"/>
          <w:szCs w:val="21"/>
          <w:lang w:val="en-US"/>
        </w:rPr>
      </w:pPr>
      <w:r>
        <w:rPr>
          <w:rFonts w:hint="eastAsia" w:ascii="Times New Roman" w:hAnsi="Times New Roman" w:eastAsia="宋体" w:cs="Times New Roman"/>
          <w:b/>
          <w:szCs w:val="21"/>
        </w:rPr>
        <w:t>T</w:t>
      </w:r>
      <w:r>
        <w:rPr>
          <w:rFonts w:ascii="Times New Roman" w:hAnsi="Times New Roman" w:eastAsia="宋体" w:cs="Times New Roman"/>
          <w:b/>
          <w:szCs w:val="21"/>
        </w:rPr>
        <w:t xml:space="preserve">able S2 </w:t>
      </w:r>
      <w:r>
        <w:rPr>
          <w:rFonts w:hint="eastAsia" w:ascii="Times New Roman" w:hAnsi="Times New Roman" w:cs="Times New Roman"/>
          <w:kern w:val="0"/>
          <w:szCs w:val="21"/>
          <w:lang w:bidi="zh-CN"/>
        </w:rPr>
        <w:t>EI value of standards at all levels</w:t>
      </w:r>
      <w:r>
        <w:rPr>
          <w:rFonts w:hint="eastAsia" w:ascii="Times New Roman" w:hAnsi="Times New Roman" w:cs="Times New Roman"/>
          <w:kern w:val="0"/>
          <w:szCs w:val="21"/>
          <w:lang w:val="en-US" w:bidi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Cs w:val="21"/>
        </w:rPr>
        <w:t>T</w:t>
      </w:r>
      <w:r>
        <w:rPr>
          <w:rFonts w:ascii="Times New Roman" w:hAnsi="Times New Roman" w:eastAsia="宋体" w:cs="Times New Roman"/>
          <w:b/>
          <w:szCs w:val="21"/>
        </w:rPr>
        <w:t>able S3</w:t>
      </w:r>
      <w:r>
        <w:rPr>
          <w:rFonts w:ascii="Times New Roman" w:hAnsi="Times New Roman" w:eastAsia="宋体" w:cs="Times New Roman"/>
          <w:b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>SF and RfD values of each factor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Cs w:val="21"/>
        </w:rPr>
        <w:t>T</w:t>
      </w:r>
      <w:r>
        <w:rPr>
          <w:rFonts w:ascii="Times New Roman" w:hAnsi="Times New Roman" w:eastAsia="宋体" w:cs="Times New Roman"/>
          <w:b/>
          <w:szCs w:val="21"/>
        </w:rPr>
        <w:t>able S4</w:t>
      </w:r>
      <w:r>
        <w:rPr>
          <w:rFonts w:ascii="Times New Roman" w:hAnsi="Times New Roman" w:eastAsia="宋体" w:cs="Times New Roman"/>
          <w:kern w:val="0"/>
          <w:szCs w:val="21"/>
          <w:lang w:bidi="zh-CN"/>
        </w:rPr>
        <w:t xml:space="preserve"> </w:t>
      </w:r>
      <w:r>
        <w:rPr>
          <w:rFonts w:ascii="Times New Roman" w:hAnsi="Times New Roman" w:eastAsia="宋体" w:cs="Times New Roman"/>
          <w:szCs w:val="21"/>
          <w:lang w:eastAsia="en-US"/>
        </w:rPr>
        <w:t>Exposure factors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and values used in health risk assessment model to evaluate exposure risks with Mote Carlo simulator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kern w:val="0"/>
          <w:szCs w:val="21"/>
          <w:lang w:val="en-US" w:bidi="zh-CN"/>
        </w:rPr>
      </w:pPr>
      <w:r>
        <w:rPr>
          <w:rFonts w:ascii="Times New Roman" w:hAnsi="Times New Roman" w:cs="Times New Roman"/>
          <w:b/>
          <w:bCs/>
          <w:szCs w:val="21"/>
        </w:rPr>
        <w:t>Table S5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Cs w:val="21"/>
          <w:lang w:bidi="zh-CN"/>
        </w:rPr>
        <w:t>Concentration statistics of various indicators in drinking water source areas</w:t>
      </w:r>
      <w:r>
        <w:rPr>
          <w:rFonts w:hint="eastAsia" w:ascii="Times New Roman" w:hAnsi="Times New Roman" w:eastAsia="宋体" w:cs="Times New Roman"/>
          <w:kern w:val="0"/>
          <w:szCs w:val="21"/>
          <w:lang w:val="en-US" w:bidi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bidi="zh-CN"/>
        </w:rPr>
        <w:t xml:space="preserve">Fig S1 </w:t>
      </w:r>
      <w:r>
        <w:rPr>
          <w:rFonts w:hint="default" w:ascii="Times New Roman" w:hAnsi="Times New Roman" w:eastAsia="Times New Roman" w:cs="Times New Roman"/>
          <w:kern w:val="0"/>
          <w:szCs w:val="21"/>
          <w:lang w:val="en-GB"/>
        </w:rPr>
        <w:t xml:space="preserve">WQI water quality index during wet, dry, and </w:t>
      </w:r>
      <w:r>
        <w:rPr>
          <w:rFonts w:hint="default" w:ascii="Times New Roman" w:hAnsi="Times New Roman" w:cs="Times New Roman"/>
          <w:kern w:val="0"/>
          <w:szCs w:val="21"/>
          <w:lang w:val="en-US" w:eastAsia="zh-CN"/>
        </w:rPr>
        <w:t>normal</w:t>
      </w:r>
      <w:r>
        <w:rPr>
          <w:rFonts w:hint="default" w:ascii="Times New Roman" w:hAnsi="Times New Roman" w:eastAsia="Times New Roman" w:cs="Times New Roman"/>
          <w:kern w:val="0"/>
          <w:szCs w:val="21"/>
          <w:lang w:val="en-GB"/>
        </w:rPr>
        <w:t xml:space="preserve"> seasons</w:t>
      </w: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S2</w:t>
      </w:r>
      <w:r>
        <w:rPr>
          <w:rFonts w:ascii="Times New Roman" w:hAnsi="Times New Roman" w:eastAsia="Times New Roman" w:cs="Times New Roman"/>
          <w:kern w:val="0"/>
          <w:szCs w:val="21"/>
          <w:lang w:val="en-GB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/>
        </w:rPr>
        <w:t>Calculation results of WQI values in different periods</w:t>
      </w:r>
      <w:r>
        <w:rPr>
          <w:rFonts w:hint="eastAsia" w:ascii="Times New Roman" w:hAnsi="Times New Roman" w:eastAsia="宋体" w:cs="Times New Roman"/>
          <w:kern w:val="0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S3</w:t>
      </w:r>
      <w:r>
        <w:rPr>
          <w:rFonts w:ascii="Times New Roman" w:hAnsi="Times New Roman" w:eastAsia="Times New Roman" w:cs="Times New Roman"/>
          <w:kern w:val="0"/>
          <w:szCs w:val="21"/>
          <w:lang w:val="en-GB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 w:bidi="zh-CN"/>
        </w:rPr>
        <w:t>Calculation of trophic state EI values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US" w:bidi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S4</w:t>
      </w:r>
      <w:r>
        <w:rPr>
          <w:rFonts w:ascii="Times New Roman" w:hAnsi="Times New Roman" w:eastAsia="Times New Roman" w:cs="Times New Roman"/>
          <w:kern w:val="0"/>
          <w:szCs w:val="21"/>
          <w:lang w:val="en-GB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 w:bidi="zh-CN"/>
        </w:rPr>
        <w:t>Correlation analysis between EI and various factors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US" w:bidi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黑体" w:cs="Times New Roman"/>
          <w:kern w:val="0"/>
          <w:szCs w:val="21"/>
          <w:lang w:val="en-US" w:bidi="zh-CN"/>
        </w:rPr>
      </w:pPr>
      <w:r>
        <w:rPr>
          <w:rFonts w:ascii="Times New Roman" w:hAnsi="Times New Roman" w:eastAsia="宋体" w:cs="Times New Roman"/>
          <w:b/>
          <w:bCs/>
          <w:kern w:val="0"/>
          <w:szCs w:val="21"/>
          <w:lang w:bidi="zh-CN"/>
        </w:rPr>
        <w:t>Table S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bidi="zh-CN"/>
        </w:rPr>
        <w:t>6</w:t>
      </w:r>
      <w:r>
        <w:rPr>
          <w:rFonts w:hint="eastAsia" w:ascii="Times New Roman" w:hAnsi="Times New Roman" w:eastAsia="宋体" w:cs="Times New Roman"/>
          <w:kern w:val="0"/>
          <w:szCs w:val="21"/>
          <w:lang w:bidi="zh-CN"/>
        </w:rPr>
        <w:t xml:space="preserve"> Carcinogenic risk values of various heavy metals</w:t>
      </w:r>
      <w:r>
        <w:rPr>
          <w:rFonts w:hint="eastAsia" w:ascii="Times New Roman" w:hAnsi="Times New Roman" w:eastAsia="宋体" w:cs="Times New Roman"/>
          <w:kern w:val="0"/>
          <w:szCs w:val="21"/>
          <w:lang w:val="en-US" w:bidi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kern w:val="0"/>
          <w:szCs w:val="21"/>
          <w:highlight w:val="none"/>
          <w:lang w:val="en-US" w:bidi="zh-CN"/>
        </w:rPr>
      </w:pPr>
      <w:r>
        <w:rPr>
          <w:rFonts w:ascii="Times New Roman" w:hAnsi="Times New Roman" w:eastAsia="宋体" w:cs="Times New Roman"/>
          <w:b/>
          <w:szCs w:val="21"/>
          <w:highlight w:val="none"/>
        </w:rPr>
        <w:t>Table S</w:t>
      </w:r>
      <w:r>
        <w:rPr>
          <w:rFonts w:hint="eastAsia" w:ascii="Times New Roman" w:hAnsi="Times New Roman" w:eastAsia="宋体" w:cs="Times New Roman"/>
          <w:b/>
          <w:szCs w:val="21"/>
          <w:highlight w:val="none"/>
          <w:lang w:val="en-US" w:eastAsia="zh-CN"/>
        </w:rPr>
        <w:t>7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kern w:val="0"/>
          <w:szCs w:val="21"/>
          <w:highlight w:val="none"/>
          <w:lang w:bidi="zh-CN"/>
        </w:rPr>
        <w:t>Non carcinogenic risk values for various heavy metals</w:t>
      </w:r>
      <w:r>
        <w:rPr>
          <w:rFonts w:hint="eastAsia" w:ascii="Times New Roman" w:hAnsi="Times New Roman" w:cs="Times New Roman"/>
          <w:kern w:val="0"/>
          <w:szCs w:val="21"/>
          <w:highlight w:val="none"/>
          <w:lang w:val="en-US" w:bidi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kern w:val="0"/>
          <w:szCs w:val="21"/>
          <w:highlight w:val="none"/>
          <w:lang w:val="en-US"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S5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 w:bidi="zh-CN"/>
        </w:rPr>
        <w:t>Correlation analysis of heavy metals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US" w:bidi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 w:eastAsiaTheme="minorEastAsia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Cs w:val="21"/>
          <w:highlight w:val="none"/>
        </w:rPr>
        <w:t>T</w:t>
      </w:r>
      <w:r>
        <w:rPr>
          <w:rFonts w:ascii="Times New Roman" w:hAnsi="Times New Roman" w:eastAsia="宋体" w:cs="Times New Roman"/>
          <w:b/>
          <w:szCs w:val="21"/>
          <w:highlight w:val="none"/>
        </w:rPr>
        <w:t>able S</w:t>
      </w:r>
      <w:r>
        <w:rPr>
          <w:rFonts w:hint="eastAsia" w:ascii="Times New Roman" w:hAnsi="Times New Roman" w:eastAsia="宋体" w:cs="Times New Roman"/>
          <w:b/>
          <w:szCs w:val="21"/>
          <w:highlight w:val="none"/>
          <w:lang w:val="en-US" w:eastAsia="zh-CN"/>
        </w:rPr>
        <w:t>8</w:t>
      </w:r>
      <w:r>
        <w:rPr>
          <w:rFonts w:ascii="Times New Roman" w:hAnsi="Times New Roman" w:cs="Times New Roman"/>
          <w:b/>
          <w:bCs/>
          <w:highlight w:val="none"/>
        </w:rPr>
        <w:t xml:space="preserve"> </w:t>
      </w:r>
      <w:r>
        <w:rPr>
          <w:rFonts w:hint="eastAsia" w:ascii="Times New Roman" w:hAnsi="Times New Roman" w:cs="Times New Roman"/>
          <w:szCs w:val="21"/>
          <w:highlight w:val="none"/>
        </w:rPr>
        <w:t>The first three terms of factor interaction and their explanatory power q values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.</w:t>
      </w:r>
    </w:p>
    <w:p>
      <w:pPr>
        <w:spacing w:line="360" w:lineRule="auto"/>
        <w:rPr>
          <w:rFonts w:hint="default" w:ascii="Times New Roman" w:hAnsi="Times New Roman" w:cs="Times New Roman"/>
          <w:kern w:val="0"/>
          <w:szCs w:val="21"/>
          <w:highlight w:val="none"/>
          <w:lang w:val="en-US" w:bidi="zh-CN"/>
        </w:rPr>
      </w:pPr>
    </w:p>
    <w:p>
      <w:pPr>
        <w:rPr>
          <w:rFonts w:ascii="Times New Roman" w:hAnsi="Times New Roman" w:cs="Times New Roman"/>
          <w:kern w:val="0"/>
          <w:szCs w:val="21"/>
          <w:lang w:bidi="zh-CN"/>
        </w:rPr>
      </w:pPr>
      <w:r>
        <w:rPr>
          <w:rFonts w:ascii="Times New Roman" w:hAnsi="Times New Roman" w:cs="Times New Roman"/>
          <w:kern w:val="0"/>
          <w:szCs w:val="21"/>
          <w:lang w:bidi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Times New Roman" w:cs="Times New Roman"/>
          <w:kern w:val="0"/>
          <w:szCs w:val="21"/>
          <w:lang w:val="en-US"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Table S</w:t>
      </w:r>
      <w:r>
        <w:rPr>
          <w:rFonts w:ascii="Times New Roman" w:hAnsi="Times New Roman" w:eastAsia="Times New Roman" w:cs="Times New Roman"/>
          <w:b/>
          <w:bCs/>
          <w:kern w:val="0"/>
          <w:szCs w:val="21"/>
          <w:lang w:val="zh-CN" w:bidi="zh-CN"/>
        </w:rPr>
        <w:fldChar w:fldCharType="begin"/>
      </w: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instrText xml:space="preserve"> SEQ Table \* ARABIC </w:instrText>
      </w:r>
      <w:r>
        <w:rPr>
          <w:rFonts w:ascii="Times New Roman" w:hAnsi="Times New Roman" w:eastAsia="Times New Roman" w:cs="Times New Roman"/>
          <w:b/>
          <w:bCs/>
          <w:kern w:val="0"/>
          <w:szCs w:val="21"/>
          <w:lang w:val="zh-CN" w:bidi="zh-CN"/>
        </w:rPr>
        <w:fldChar w:fldCharType="separate"/>
      </w: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1</w:t>
      </w:r>
      <w:r>
        <w:rPr>
          <w:rFonts w:ascii="Times New Roman" w:hAnsi="Times New Roman" w:eastAsia="Times New Roman" w:cs="Times New Roman"/>
          <w:b/>
          <w:bCs/>
          <w:kern w:val="0"/>
          <w:szCs w:val="21"/>
          <w:lang w:val="zh-CN" w:bidi="zh-CN"/>
        </w:rPr>
        <w:fldChar w:fldCharType="end"/>
      </w:r>
      <w:r>
        <w:rPr>
          <w:color w:val="FF0000"/>
          <w:szCs w:val="21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US" w:bidi="zh-CN"/>
        </w:rPr>
        <w:t>WQI water quality classification</w:t>
      </w:r>
      <w:r>
        <w:rPr>
          <w:rFonts w:hint="eastAsia" w:ascii="Times New Roman" w:hAnsi="Times New Roman" w:eastAsia="Times New Roman" w:cs="Times New Roman"/>
          <w:kern w:val="0"/>
          <w:szCs w:val="21"/>
          <w:vertAlign w:val="superscript"/>
          <w:lang w:val="en-US" w:bidi="zh-CN"/>
        </w:rPr>
        <w:t>a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  <w:t>R</w:t>
            </w: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ange</w:t>
            </w:r>
          </w:p>
        </w:tc>
        <w:tc>
          <w:tcPr>
            <w:tcW w:w="14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WQI＜25</w:t>
            </w:r>
          </w:p>
        </w:tc>
        <w:tc>
          <w:tcPr>
            <w:tcW w:w="14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25≤WQI≤70</w:t>
            </w:r>
          </w:p>
        </w:tc>
        <w:tc>
          <w:tcPr>
            <w:tcW w:w="14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50＜WQI≤70</w:t>
            </w:r>
          </w:p>
        </w:tc>
        <w:tc>
          <w:tcPr>
            <w:tcW w:w="142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70＜WQI≤90</w:t>
            </w:r>
          </w:p>
        </w:tc>
        <w:tc>
          <w:tcPr>
            <w:tcW w:w="142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WQI＞90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Water quality level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very good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good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medium</w:t>
            </w:r>
          </w:p>
        </w:tc>
        <w:tc>
          <w:tcPr>
            <w:tcW w:w="1421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poor</w:t>
            </w:r>
          </w:p>
        </w:tc>
        <w:tc>
          <w:tcPr>
            <w:tcW w:w="1421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18"/>
                <w:szCs w:val="18"/>
                <w:vertAlign w:val="baseline"/>
                <w:lang w:val="en-US" w:bidi="zh-CN"/>
              </w:rPr>
              <w:t>very poor</w:t>
            </w:r>
          </w:p>
        </w:tc>
      </w:tr>
    </w:tbl>
    <w:p>
      <w:pPr>
        <w:spacing w:line="360" w:lineRule="auto"/>
        <w:rPr>
          <w:rFonts w:hint="eastAsia" w:ascii="Times New Roman" w:hAnsi="Times New Roman" w:cs="Times New Roman"/>
          <w:kern w:val="0"/>
          <w:szCs w:val="21"/>
          <w:lang w:val="en-US" w:bidi="zh-CN"/>
        </w:rPr>
      </w:pPr>
      <w:r>
        <w:rPr>
          <w:rFonts w:hint="eastAsia" w:ascii="Times New Roman" w:hAnsi="Times New Roman" w:cs="Times New Roman"/>
          <w:kern w:val="0"/>
          <w:szCs w:val="21"/>
          <w:vertAlign w:val="superscript"/>
          <w:lang w:val="en-US" w:bidi="zh-CN"/>
        </w:rPr>
        <w:t>a</w:t>
      </w:r>
      <w:r>
        <w:rPr>
          <w:rFonts w:hint="eastAsia" w:ascii="Times New Roman" w:hAnsi="Times New Roman" w:cs="Times New Roman"/>
          <w:kern w:val="0"/>
          <w:szCs w:val="21"/>
          <w:lang w:val="en-US" w:bidi="zh-CN"/>
        </w:rPr>
        <w:t>form: (Zhu et al.2021)</w:t>
      </w:r>
    </w:p>
    <w:p>
      <w:pPr>
        <w:spacing w:line="360" w:lineRule="auto"/>
        <w:rPr>
          <w:rFonts w:hint="eastAsia" w:ascii="Times New Roman" w:hAnsi="Times New Roman" w:cs="Times New Roman"/>
          <w:kern w:val="0"/>
          <w:szCs w:val="21"/>
          <w:lang w:val="en-US" w:bidi="zh-CN"/>
        </w:rPr>
      </w:pPr>
    </w:p>
    <w:p>
      <w:pPr>
        <w:spacing w:line="360" w:lineRule="auto"/>
        <w:rPr>
          <w:rFonts w:hint="eastAsia" w:ascii="Times New Roman" w:hAnsi="Times New Roman" w:cs="Times New Roman"/>
          <w:kern w:val="0"/>
          <w:szCs w:val="21"/>
          <w:lang w:val="en-US" w:bidi="zh-CN"/>
        </w:rPr>
      </w:pPr>
    </w:p>
    <w:p>
      <w:pPr>
        <w:jc w:val="center"/>
        <w:rPr>
          <w:rFonts w:hint="default" w:ascii="Times New Roman" w:hAnsi="Times New Roman" w:cs="Times New Roman"/>
          <w:kern w:val="0"/>
          <w:szCs w:val="21"/>
          <w:lang w:val="en-US"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Table S</w:t>
      </w:r>
      <w:r>
        <w:rPr>
          <w:rFonts w:ascii="Times New Roman" w:hAnsi="Times New Roman" w:cs="Times New Roman"/>
          <w:b/>
          <w:bCs/>
          <w:kern w:val="0"/>
          <w:szCs w:val="21"/>
          <w:lang w:bidi="zh-CN"/>
        </w:rPr>
        <w:t xml:space="preserve">2 </w:t>
      </w:r>
      <w:bookmarkStart w:id="1" w:name="_Hlk145771685"/>
      <w:r>
        <w:rPr>
          <w:rFonts w:hint="eastAsia" w:ascii="Times New Roman" w:hAnsi="Times New Roman" w:cs="Times New Roman"/>
          <w:kern w:val="0"/>
          <w:szCs w:val="21"/>
          <w:lang w:bidi="zh-CN"/>
        </w:rPr>
        <w:t>EI value of standards at all levels</w:t>
      </w:r>
      <w:r>
        <w:rPr>
          <w:rFonts w:hint="eastAsia" w:ascii="Times New Roman" w:hAnsi="Times New Roman" w:cs="Times New Roman"/>
          <w:kern w:val="0"/>
          <w:szCs w:val="21"/>
          <w:vertAlign w:val="superscript"/>
          <w:lang w:val="en-US" w:bidi="zh-CN"/>
        </w:rPr>
        <w:t>b</w:t>
      </w:r>
    </w:p>
    <w:tbl>
      <w:tblPr>
        <w:tblStyle w:val="3"/>
        <w:tblW w:w="0" w:type="auto"/>
        <w:tblInd w:w="113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4"/>
        <w:gridCol w:w="322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  <w:t>Level</w:t>
            </w:r>
          </w:p>
        </w:tc>
        <w:tc>
          <w:tcPr>
            <w:tcW w:w="3223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EI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  <w:tcBorders>
              <w:top w:val="single" w:color="auto" w:sz="8" w:space="0"/>
            </w:tcBorders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Level 1 (oligotrophic)</w:t>
            </w:r>
          </w:p>
        </w:tc>
        <w:tc>
          <w:tcPr>
            <w:tcW w:w="3223" w:type="dxa"/>
            <w:tcBorders>
              <w:top w:val="single" w:color="auto" w:sz="8" w:space="0"/>
            </w:tcBorders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Level 2 (medium nutrition)</w:t>
            </w:r>
          </w:p>
        </w:tc>
        <w:tc>
          <w:tcPr>
            <w:tcW w:w="322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39.42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Level 3 (eutrophic)</w:t>
            </w:r>
          </w:p>
        </w:tc>
        <w:tc>
          <w:tcPr>
            <w:tcW w:w="322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61.29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  <w:t>Level</w:t>
            </w: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 xml:space="preserve"> 4 (heavy eutrophication)</w:t>
            </w:r>
          </w:p>
        </w:tc>
        <w:tc>
          <w:tcPr>
            <w:tcW w:w="322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76.28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4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  <w:t>Level</w:t>
            </w: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 xml:space="preserve"> 5 (extremely nutritious)</w:t>
            </w:r>
          </w:p>
        </w:tc>
        <w:tc>
          <w:tcPr>
            <w:tcW w:w="322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99.77</w:t>
            </w:r>
          </w:p>
        </w:tc>
      </w:tr>
      <w:bookmarkEnd w:id="1"/>
    </w:tbl>
    <w:p>
      <w:pPr>
        <w:autoSpaceDE w:val="0"/>
        <w:autoSpaceDN w:val="0"/>
        <w:jc w:val="both"/>
        <w:rPr>
          <w:rFonts w:hint="default" w:ascii="Times New Roman" w:hAnsi="Times New Roman" w:eastAsia="Times New Roman" w:cs="Times New Roman"/>
          <w:b w:val="0"/>
          <w:bCs w:val="0"/>
          <w:kern w:val="0"/>
          <w:szCs w:val="21"/>
          <w:lang w:val="en-US" w:bidi="zh-CN"/>
        </w:rPr>
      </w:pPr>
      <w:bookmarkStart w:id="2" w:name="_Hlk129183263"/>
      <w:r>
        <w:rPr>
          <w:rFonts w:hint="eastAsia" w:ascii="Times New Roman" w:hAnsi="Times New Roman" w:eastAsia="Times New Roman" w:cs="Times New Roman"/>
          <w:b w:val="0"/>
          <w:bCs w:val="0"/>
          <w:kern w:val="0"/>
          <w:szCs w:val="21"/>
          <w:vertAlign w:val="superscript"/>
          <w:lang w:val="en-US" w:bidi="zh-CN"/>
        </w:rPr>
        <w:t>b</w:t>
      </w:r>
      <w:r>
        <w:rPr>
          <w:rFonts w:hint="eastAsia" w:ascii="Times New Roman" w:hAnsi="Times New Roman" w:eastAsia="Times New Roman" w:cs="Times New Roman"/>
          <w:b w:val="0"/>
          <w:bCs w:val="0"/>
          <w:kern w:val="0"/>
          <w:szCs w:val="21"/>
          <w:lang w:val="en-US" w:bidi="zh-CN"/>
        </w:rPr>
        <w:t>from: (Li et al.2010)</w:t>
      </w:r>
    </w:p>
    <w:p>
      <w:pPr>
        <w:autoSpaceDE w:val="0"/>
        <w:autoSpaceDN w:val="0"/>
        <w:jc w:val="both"/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</w:pPr>
    </w:p>
    <w:p>
      <w:pPr>
        <w:autoSpaceDE w:val="0"/>
        <w:autoSpaceDN w:val="0"/>
        <w:jc w:val="both"/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</w:pPr>
    </w:p>
    <w:p>
      <w:pPr>
        <w:autoSpaceDE w:val="0"/>
        <w:autoSpaceDN w:val="0"/>
        <w:jc w:val="center"/>
        <w:rPr>
          <w:rFonts w:hint="eastAsia" w:ascii="Times New Roman" w:hAnsi="Times New Roman" w:cs="Times New Roman" w:eastAsiaTheme="minorEastAsia"/>
          <w:kern w:val="0"/>
          <w:szCs w:val="21"/>
          <w:lang w:val="en-US" w:eastAsia="zh-CN"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Table S</w:t>
      </w:r>
      <w:bookmarkEnd w:id="2"/>
      <w:r>
        <w:rPr>
          <w:rFonts w:ascii="Times New Roman" w:hAnsi="Times New Roman" w:cs="Times New Roman"/>
          <w:b/>
          <w:bCs/>
          <w:kern w:val="0"/>
          <w:szCs w:val="21"/>
          <w:lang w:bidi="zh-CN"/>
        </w:rPr>
        <w:t>3</w:t>
      </w:r>
      <w:r>
        <w:rPr>
          <w:rFonts w:ascii="Times New Roman" w:hAnsi="Times New Roman" w:eastAsia="Times New Roman" w:cs="Times New Roman"/>
          <w:color w:val="FF0000"/>
          <w:kern w:val="0"/>
          <w:szCs w:val="21"/>
          <w:lang w:bidi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>SF and RfD values of each factor</w:t>
      </w: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c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383"/>
        <w:gridCol w:w="1383"/>
        <w:gridCol w:w="1383"/>
        <w:gridCol w:w="138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</w:rPr>
              <w:t>As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</w:rPr>
              <w:t>Hg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</w:rPr>
              <w:t>Cd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</w:rPr>
              <w:t>Cr</w:t>
            </w: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1383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</w:rPr>
              <w:t>Pb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tcBorders>
              <w:top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SF</w:t>
            </w:r>
          </w:p>
        </w:tc>
        <w:tc>
          <w:tcPr>
            <w:tcW w:w="1382" w:type="dxa"/>
            <w:tcBorders>
              <w:top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1383" w:type="dxa"/>
            <w:tcBorders>
              <w:top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0.5</w:t>
            </w:r>
          </w:p>
        </w:tc>
        <w:tc>
          <w:tcPr>
            <w:tcW w:w="1383" w:type="dxa"/>
            <w:tcBorders>
              <w:top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0.5</w:t>
            </w:r>
          </w:p>
        </w:tc>
        <w:tc>
          <w:tcPr>
            <w:tcW w:w="1383" w:type="dxa"/>
            <w:tcBorders>
              <w:top w:val="single" w:color="auto" w:sz="8" w:space="0"/>
            </w:tcBorders>
            <w:vAlign w:val="top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0.0085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RfD</w:t>
            </w:r>
          </w:p>
        </w:tc>
        <w:tc>
          <w:tcPr>
            <w:tcW w:w="1382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138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138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0.0005</w:t>
            </w:r>
          </w:p>
        </w:tc>
        <w:tc>
          <w:tcPr>
            <w:tcW w:w="138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0.003</w:t>
            </w:r>
          </w:p>
        </w:tc>
        <w:tc>
          <w:tcPr>
            <w:tcW w:w="1383" w:type="dxa"/>
          </w:tcPr>
          <w:p>
            <w:pPr>
              <w:tabs>
                <w:tab w:val="center" w:pos="4200"/>
                <w:tab w:val="right" w:pos="8190"/>
              </w:tabs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</w:rPr>
              <w:t>0.0014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kern w:val="0"/>
          <w:szCs w:val="21"/>
          <w:lang w:val="en-US" w:bidi="zh-CN"/>
        </w:rPr>
      </w:pPr>
      <w:r>
        <w:rPr>
          <w:rFonts w:hint="eastAsia" w:ascii="Times New Roman" w:hAnsi="Times New Roman" w:cs="Times New Roman"/>
          <w:kern w:val="0"/>
          <w:szCs w:val="21"/>
          <w:vertAlign w:val="superscript"/>
          <w:lang w:val="en-US" w:bidi="zh-CN"/>
        </w:rPr>
        <w:t>c</w:t>
      </w:r>
      <w:r>
        <w:rPr>
          <w:rFonts w:hint="eastAsia" w:ascii="Times New Roman" w:hAnsi="Times New Roman" w:cs="Times New Roman"/>
          <w:kern w:val="0"/>
          <w:szCs w:val="21"/>
          <w:lang w:val="en-US" w:bidi="zh-CN"/>
        </w:rPr>
        <w:t>from: (Zhang et al.2022)</w:t>
      </w:r>
    </w:p>
    <w:p>
      <w:pP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br w:type="page"/>
      </w:r>
    </w:p>
    <w:p>
      <w:pPr>
        <w:autoSpaceDE w:val="0"/>
        <w:autoSpaceDN w:val="0"/>
        <w:jc w:val="center"/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autoSpaceDE w:val="0"/>
        <w:autoSpaceDN w:val="0"/>
        <w:jc w:val="center"/>
        <w:rPr>
          <w:rFonts w:ascii="Times New Roman" w:hAnsi="Times New Roman" w:cs="Times New Roman"/>
          <w:kern w:val="0"/>
          <w:szCs w:val="21"/>
          <w:lang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Table S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>4</w:t>
      </w:r>
      <w:r>
        <w:rPr>
          <w:rFonts w:ascii="Times New Roman" w:hAnsi="Times New Roman" w:eastAsia="Times New Roman" w:cs="Times New Roman"/>
          <w:color w:val="FF0000"/>
          <w:kern w:val="0"/>
          <w:szCs w:val="21"/>
          <w:lang w:bidi="zh-CN"/>
        </w:rPr>
        <w:t xml:space="preserve"> </w:t>
      </w:r>
      <w:r>
        <w:rPr>
          <w:rFonts w:ascii="Times New Roman" w:hAnsi="Times New Roman" w:eastAsia="宋体" w:cs="Times New Roman"/>
          <w:szCs w:val="21"/>
          <w:lang w:eastAsia="en-US"/>
        </w:rPr>
        <w:t>Exposure factors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and values used in health risk assessment model to evaluate exposure risks with Mote Carlo simulator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1"/>
        <w:gridCol w:w="1332"/>
        <w:gridCol w:w="2362"/>
        <w:gridCol w:w="2362"/>
        <w:gridCol w:w="2438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Parameters</w:t>
            </w:r>
          </w:p>
        </w:tc>
        <w:tc>
          <w:tcPr>
            <w:tcW w:w="133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Unit</w:t>
            </w:r>
          </w:p>
        </w:tc>
        <w:tc>
          <w:tcPr>
            <w:tcW w:w="236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Probabilistic Distribution</w:t>
            </w:r>
          </w:p>
        </w:tc>
        <w:tc>
          <w:tcPr>
            <w:tcW w:w="236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Children</w:t>
            </w:r>
          </w:p>
        </w:tc>
        <w:tc>
          <w:tcPr>
            <w:tcW w:w="24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Adult</w:t>
            </w:r>
          </w:p>
        </w:tc>
        <w:tc>
          <w:tcPr>
            <w:tcW w:w="236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C</w:t>
            </w:r>
          </w:p>
        </w:tc>
        <w:tc>
          <w:tcPr>
            <w:tcW w:w="133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mg/L</w:t>
            </w:r>
          </w:p>
        </w:tc>
        <w:tc>
          <w:tcPr>
            <w:tcW w:w="236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Normal</w:t>
            </w:r>
          </w:p>
        </w:tc>
        <w:tc>
          <w:tcPr>
            <w:tcW w:w="236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Measured</w:t>
            </w:r>
          </w:p>
        </w:tc>
        <w:tc>
          <w:tcPr>
            <w:tcW w:w="2438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Measured</w:t>
            </w:r>
          </w:p>
        </w:tc>
        <w:tc>
          <w:tcPr>
            <w:tcW w:w="2363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  <w:t>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IR (Intake rate)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L/day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Normal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50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superscript"/>
                <w:lang w:val="en-US" w:bidi="zh-CN"/>
              </w:rPr>
              <w:t xml:space="preserve">th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:0.6,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95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superscript"/>
                <w:lang w:val="en-US" w:bidi="zh-CN"/>
              </w:rPr>
              <w:t xml:space="preserve">th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:1.3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50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superscript"/>
                <w:lang w:val="en-US" w:bidi="zh-CN"/>
              </w:rPr>
              <w:t xml:space="preserve">th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:1.5,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95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superscript"/>
                <w:lang w:val="en-US" w:bidi="zh-CN"/>
              </w:rPr>
              <w:t xml:space="preserve">th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:3.7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  <w:t>(Shi et al.2022)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superscript"/>
                <w:lang w:val="en-US" w:bidi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EF (Exposure frequency)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Day/year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Triangular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350 (180,365)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350 (180,365)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  <w:t>(Shi et al.2022)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superscript"/>
                <w:lang w:val="en-US" w:bidi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ED (Exposure duration)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year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Point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6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30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  <w:t>(USEPA,2011)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BW (Average body weight)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kg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Lognormal/Normal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(37.0,2.98)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(60.3,3.46)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  <w:t>(Wang et al.2022)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superscript"/>
                <w:lang w:val="en-US" w:bidi="zh-CN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AT (Average time of exposure)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day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Point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2190 (</w:t>
            </w:r>
            <w:r>
              <w:rPr>
                <w:rFonts w:hint="default" w:ascii="Times New Roman" w:hAnsi="Times New Roman" w:eastAsia="宋体" w:cs="Times New Roman"/>
                <w:szCs w:val="21"/>
                <w:lang w:eastAsia="en-US"/>
              </w:rPr>
              <w:t>non-carcinogenic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)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25550 (</w:t>
            </w:r>
            <w:r>
              <w:rPr>
                <w:rFonts w:hint="default" w:ascii="Times New Roman" w:hAnsi="Times New Roman" w:eastAsia="宋体" w:cs="Times New Roman"/>
                <w:szCs w:val="21"/>
                <w:lang w:eastAsia="en-US"/>
              </w:rPr>
              <w:t>carcinogenic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)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10950 (</w:t>
            </w:r>
            <w:r>
              <w:rPr>
                <w:rFonts w:hint="default" w:ascii="Times New Roman" w:hAnsi="Times New Roman" w:eastAsia="宋体" w:cs="Times New Roman"/>
                <w:szCs w:val="21"/>
                <w:lang w:eastAsia="en-US"/>
              </w:rPr>
              <w:t>non-carcinogenic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)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25550 (</w:t>
            </w:r>
            <w:r>
              <w:rPr>
                <w:rFonts w:hint="default" w:ascii="Times New Roman" w:hAnsi="Times New Roman" w:eastAsia="宋体" w:cs="Times New Roman"/>
                <w:szCs w:val="21"/>
                <w:lang w:eastAsia="en-US"/>
              </w:rPr>
              <w:t>carcinogenic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vertAlign w:val="baseline"/>
                <w:lang w:val="en-US" w:bidi="zh-CN"/>
              </w:rPr>
              <w:t>)</w:t>
            </w:r>
          </w:p>
        </w:tc>
        <w:tc>
          <w:tcPr>
            <w:tcW w:w="236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baseline"/>
                <w:lang w:val="en-US" w:bidi="zh-CN"/>
              </w:rPr>
              <w:t>(Wang et al.2022)</w:t>
            </w: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highlight w:val="none"/>
                <w:vertAlign w:val="superscript"/>
                <w:lang w:val="en-US" w:bidi="zh-CN"/>
              </w:rPr>
              <w:t>e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kern w:val="0"/>
          <w:szCs w:val="21"/>
          <w:lang w:val="en-US" w:bidi="zh-CN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>
      <w:pP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</w:pPr>
    </w:p>
    <w:p>
      <w:pPr>
        <w:autoSpaceDE w:val="0"/>
        <w:autoSpaceDN w:val="0"/>
        <w:jc w:val="center"/>
        <w:rPr>
          <w:rFonts w:ascii="Times New Roman" w:hAnsi="Times New Roman" w:cs="Times New Roman"/>
          <w:kern w:val="0"/>
          <w:szCs w:val="21"/>
          <w:lang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Table S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>5</w:t>
      </w:r>
      <w:r>
        <w:rPr>
          <w:rFonts w:ascii="Times New Roman" w:hAnsi="Times New Roman" w:eastAsia="Times New Roman" w:cs="Times New Roman"/>
          <w:color w:val="FF0000"/>
          <w:kern w:val="0"/>
          <w:szCs w:val="21"/>
          <w:lang w:bidi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Cs w:val="21"/>
          <w:lang w:bidi="zh-CN"/>
        </w:rPr>
        <w:t>Concentration statistics of various indicators in drinking water source areas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266"/>
        <w:gridCol w:w="1266"/>
        <w:gridCol w:w="1266"/>
        <w:gridCol w:w="1185"/>
        <w:gridCol w:w="1487"/>
        <w:gridCol w:w="126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ndex</w:t>
            </w:r>
          </w:p>
        </w:tc>
        <w:tc>
          <w:tcPr>
            <w:tcW w:w="1266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eastAsia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inimum value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mg/L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266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Maximum value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mg/L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266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verage value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mg/L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185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edian</w:t>
            </w:r>
          </w:p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mg/L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487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tandard deviation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mg/L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269" w:type="dxa"/>
            <w:tcBorders>
              <w:top w:val="single" w:color="auto" w:sz="12" w:space="0"/>
              <w:bottom w:val="single" w:color="auto" w:sz="8" w:space="0"/>
            </w:tcBorders>
            <w:vAlign w:val="top"/>
          </w:tcPr>
          <w:p>
            <w:pPr>
              <w:pStyle w:val="6"/>
              <w:rPr>
                <w:rFonts w:hint="default" w:ascii="Times New Roman" w:hAnsi="Times New Roman" w:eastAsia="黑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oefficient of variation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pH</w:t>
            </w:r>
          </w:p>
        </w:tc>
        <w:tc>
          <w:tcPr>
            <w:tcW w:w="1266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6.88</w:t>
            </w:r>
          </w:p>
        </w:tc>
        <w:tc>
          <w:tcPr>
            <w:tcW w:w="1266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8.90</w:t>
            </w:r>
          </w:p>
        </w:tc>
        <w:tc>
          <w:tcPr>
            <w:tcW w:w="1266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7.70</w:t>
            </w:r>
          </w:p>
        </w:tc>
        <w:tc>
          <w:tcPr>
            <w:tcW w:w="1185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7.67</w:t>
            </w:r>
          </w:p>
        </w:tc>
        <w:tc>
          <w:tcPr>
            <w:tcW w:w="1487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0.46</w:t>
            </w:r>
          </w:p>
        </w:tc>
        <w:tc>
          <w:tcPr>
            <w:tcW w:w="1269" w:type="dxa"/>
            <w:tcBorders>
              <w:top w:val="single" w:color="auto" w:sz="8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6.01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DO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5.00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12.2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8.14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8.20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1.56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19.19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COD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bscript"/>
              </w:rPr>
              <w:t>MN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0.70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5.90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3.32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3.30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1.19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35.85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BOD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0.50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3.90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2.51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2.70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0.86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34.40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NH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-N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0.85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0.24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0.21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0.14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58.89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TP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0.01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0.19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0.04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0.03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0.02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65.86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TN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0.06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0.72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0.71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0.28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39.40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As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0.003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0.00032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0.0003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69.25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Hg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0.00004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0.0001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0.000045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0.00004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0.000015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33.99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Cd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0.0001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0.0005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0.0005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0.0005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90.99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Cr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0.04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0.005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0.0039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71.99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Pb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0.00009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0.02</w:t>
            </w:r>
          </w:p>
        </w:tc>
        <w:tc>
          <w:tcPr>
            <w:tcW w:w="1266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0.0045</w:t>
            </w:r>
          </w:p>
        </w:tc>
        <w:tc>
          <w:tcPr>
            <w:tcW w:w="1185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0.0025</w:t>
            </w:r>
          </w:p>
        </w:tc>
        <w:tc>
          <w:tcPr>
            <w:tcW w:w="1487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0.0043</w:t>
            </w:r>
          </w:p>
        </w:tc>
        <w:tc>
          <w:tcPr>
            <w:tcW w:w="1269" w:type="dxa"/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96.15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3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-N</w:t>
            </w:r>
          </w:p>
        </w:tc>
        <w:tc>
          <w:tcPr>
            <w:tcW w:w="1266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0.004</w:t>
            </w:r>
          </w:p>
        </w:tc>
        <w:tc>
          <w:tcPr>
            <w:tcW w:w="1266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3.08</w:t>
            </w:r>
          </w:p>
        </w:tc>
        <w:tc>
          <w:tcPr>
            <w:tcW w:w="1266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0.28</w:t>
            </w:r>
          </w:p>
        </w:tc>
        <w:tc>
          <w:tcPr>
            <w:tcW w:w="1185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0.21</w:t>
            </w:r>
          </w:p>
        </w:tc>
        <w:tc>
          <w:tcPr>
            <w:tcW w:w="1487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0.31</w:t>
            </w:r>
          </w:p>
        </w:tc>
        <w:tc>
          <w:tcPr>
            <w:tcW w:w="1269" w:type="dxa"/>
            <w:tcBorders>
              <w:bottom w:val="single" w:color="auto" w:sz="12" w:space="0"/>
            </w:tcBorders>
          </w:tcPr>
          <w:p>
            <w:pPr>
              <w:pStyle w:val="6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112.61</w:t>
            </w:r>
          </w:p>
        </w:tc>
      </w:tr>
    </w:tbl>
    <w:p>
      <w:pPr>
        <w:rPr>
          <w:rFonts w:ascii="Times New Roman" w:hAnsi="Times New Roman" w:eastAsia="宋体" w:cs="Times New Roman"/>
          <w:b/>
          <w:bCs/>
          <w:spacing w:val="6"/>
          <w:szCs w:val="21"/>
        </w:rPr>
      </w:pPr>
    </w:p>
    <w:p>
      <w:pPr>
        <w:rPr>
          <w:rFonts w:ascii="Times New Roman" w:hAnsi="Times New Roman" w:eastAsia="宋体" w:cs="Times New Roman"/>
          <w:b/>
          <w:bCs/>
          <w:spacing w:val="6"/>
          <w:szCs w:val="21"/>
        </w:rPr>
      </w:pPr>
    </w:p>
    <w:p>
      <w:pPr>
        <w:jc w:val="center"/>
        <w:rPr>
          <w:rFonts w:ascii="Times New Roman" w:hAnsi="Times New Roman" w:eastAsia="宋体" w:cs="Times New Roman"/>
          <w:b/>
          <w:bCs/>
          <w:spacing w:val="6"/>
          <w:szCs w:val="21"/>
        </w:rPr>
      </w:pPr>
      <w:r>
        <w:rPr>
          <w:rFonts w:hint="eastAsia" w:ascii="黑体" w:hAnsi="黑体" w:eastAsia="黑体"/>
          <w:sz w:val="18"/>
          <w:szCs w:val="18"/>
        </w:rPr>
        <w:drawing>
          <wp:inline distT="0" distB="0" distL="114300" distR="114300">
            <wp:extent cx="3597275" cy="2660015"/>
            <wp:effectExtent l="0" t="0" r="9525" b="6985"/>
            <wp:docPr id="7" name="图片 7" descr="箱状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箱状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7275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b/>
          <w:bCs/>
          <w:kern w:val="0"/>
          <w:szCs w:val="21"/>
          <w:lang w:val="en-US" w:bidi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bidi="zh-CN"/>
        </w:rPr>
        <w:t xml:space="preserve">Fig S1 </w:t>
      </w:r>
      <w:r>
        <w:rPr>
          <w:rFonts w:hint="default" w:ascii="Times New Roman" w:hAnsi="Times New Roman" w:eastAsia="Times New Roman" w:cs="Times New Roman"/>
          <w:kern w:val="0"/>
          <w:szCs w:val="21"/>
          <w:lang w:val="en-GB"/>
        </w:rPr>
        <w:t xml:space="preserve">WQI water quality index during wet, dry, and </w:t>
      </w:r>
      <w:r>
        <w:rPr>
          <w:rFonts w:hint="default" w:ascii="Times New Roman" w:hAnsi="Times New Roman" w:cs="Times New Roman"/>
          <w:kern w:val="0"/>
          <w:szCs w:val="21"/>
          <w:lang w:val="en-US" w:eastAsia="zh-CN"/>
        </w:rPr>
        <w:t>normal</w:t>
      </w:r>
      <w:r>
        <w:rPr>
          <w:rFonts w:hint="default" w:ascii="Times New Roman" w:hAnsi="Times New Roman" w:eastAsia="Times New Roman" w:cs="Times New Roman"/>
          <w:kern w:val="0"/>
          <w:szCs w:val="21"/>
          <w:lang w:val="en-GB"/>
        </w:rPr>
        <w:t xml:space="preserve"> seasons</w:t>
      </w:r>
    </w:p>
    <w:p>
      <w:pPr>
        <w:rPr>
          <w:rFonts w:ascii="Times New Roman" w:hAnsi="Times New Roman" w:eastAsia="宋体" w:cs="Times New Roman"/>
          <w:b/>
          <w:bCs/>
          <w:spacing w:val="6"/>
          <w:szCs w:val="21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bCs/>
          <w:spacing w:val="6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pacing w:val="6"/>
          <w:szCs w:val="21"/>
          <w:lang w:eastAsia="zh-CN"/>
        </w:rPr>
        <w:drawing>
          <wp:inline distT="0" distB="0" distL="114300" distR="114300">
            <wp:extent cx="5265420" cy="1240155"/>
            <wp:effectExtent l="0" t="0" r="5080" b="444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24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bCs/>
          <w:spacing w:val="6"/>
          <w:szCs w:val="21"/>
        </w:rPr>
      </w:pPr>
      <w:bookmarkStart w:id="3" w:name="OLE_LINK2"/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S2</w:t>
      </w:r>
      <w:r>
        <w:rPr>
          <w:rFonts w:ascii="Times New Roman" w:hAnsi="Times New Roman" w:eastAsia="Times New Roman" w:cs="Times New Roman"/>
          <w:kern w:val="0"/>
          <w:szCs w:val="21"/>
          <w:lang w:val="en-GB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/>
        </w:rPr>
        <w:t>Calculation results of WQI values in different periods</w:t>
      </w:r>
    </w:p>
    <w:bookmarkEnd w:id="3"/>
    <w:p>
      <w:pPr>
        <w:rPr>
          <w:rFonts w:ascii="Times New Roman" w:hAnsi="Times New Roman" w:eastAsia="宋体" w:cs="Times New Roman"/>
          <w:b/>
          <w:bCs/>
          <w:spacing w:val="6"/>
          <w:szCs w:val="21"/>
        </w:rPr>
      </w:pPr>
    </w:p>
    <w:p>
      <w:pPr>
        <w:jc w:val="center"/>
        <w:rPr>
          <w:rFonts w:hint="eastAsia" w:ascii="黑体" w:hAnsi="黑体" w:eastAsia="黑体"/>
          <w:sz w:val="18"/>
          <w:szCs w:val="18"/>
          <w:lang w:eastAsia="zh-CN"/>
        </w:rPr>
      </w:pPr>
      <w:r>
        <w:rPr>
          <w:rFonts w:hint="eastAsia" w:ascii="黑体" w:hAnsi="黑体" w:eastAsia="黑体"/>
          <w:sz w:val="18"/>
          <w:szCs w:val="18"/>
          <w:lang w:eastAsia="zh-CN"/>
        </w:rPr>
        <w:drawing>
          <wp:inline distT="0" distB="0" distL="114300" distR="114300">
            <wp:extent cx="3044190" cy="2153285"/>
            <wp:effectExtent l="0" t="0" r="3810" b="5715"/>
            <wp:docPr id="3" name="图片 3" descr="营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营养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4190" cy="215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/>
        <w:jc w:val="center"/>
        <w:textAlignment w:val="auto"/>
        <w:rPr>
          <w:rFonts w:hint="eastAsia" w:ascii="Times New Roman" w:hAnsi="Times New Roman" w:eastAsia="Times New Roman" w:cs="Times New Roman"/>
          <w:kern w:val="0"/>
          <w:szCs w:val="21"/>
          <w:lang w:val="en-GB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S3</w:t>
      </w:r>
      <w:r>
        <w:rPr>
          <w:rFonts w:ascii="Times New Roman" w:hAnsi="Times New Roman" w:eastAsia="Times New Roman" w:cs="Times New Roman"/>
          <w:kern w:val="0"/>
          <w:szCs w:val="21"/>
          <w:lang w:val="en-GB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 w:bidi="zh-CN"/>
        </w:rPr>
        <w:t>Calculation of trophic state EI values</w:t>
      </w:r>
    </w:p>
    <w:p>
      <w:pPr>
        <w:jc w:val="center"/>
        <w:rPr>
          <w:rFonts w:hint="eastAsia" w:ascii="黑体" w:hAnsi="黑体" w:eastAsia="黑体"/>
          <w:sz w:val="18"/>
          <w:szCs w:val="18"/>
          <w:lang w:eastAsia="zh-CN"/>
        </w:rPr>
      </w:pPr>
    </w:p>
    <w:p>
      <w:pPr>
        <w:jc w:val="center"/>
        <w:rPr>
          <w:rFonts w:hint="eastAsia" w:ascii="黑体" w:hAnsi="黑体" w:eastAsia="黑体"/>
          <w:sz w:val="18"/>
          <w:szCs w:val="18"/>
          <w:lang w:eastAsia="zh-CN"/>
        </w:rPr>
      </w:pPr>
    </w:p>
    <w:p>
      <w:pPr>
        <w:jc w:val="center"/>
        <w:rPr>
          <w:rFonts w:hint="eastAsia" w:ascii="黑体" w:hAnsi="黑体" w:eastAsia="黑体"/>
          <w:sz w:val="18"/>
          <w:szCs w:val="18"/>
          <w:lang w:eastAsia="zh-CN"/>
        </w:rPr>
      </w:pPr>
    </w:p>
    <w:p>
      <w:pPr>
        <w:autoSpaceDE w:val="0"/>
        <w:autoSpaceDN w:val="0"/>
        <w:jc w:val="center"/>
        <w:rPr>
          <w:rFonts w:hint="eastAsia"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drawing>
          <wp:inline distT="0" distB="0" distL="114300" distR="114300">
            <wp:extent cx="3470910" cy="2286000"/>
            <wp:effectExtent l="0" t="0" r="8890" b="0"/>
            <wp:docPr id="6" name="图片 6" descr="相关性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相关性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091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kern w:val="0"/>
          <w:szCs w:val="21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S4</w:t>
      </w:r>
      <w:r>
        <w:rPr>
          <w:rFonts w:ascii="Times New Roman" w:hAnsi="Times New Roman" w:eastAsia="Times New Roman" w:cs="Times New Roman"/>
          <w:kern w:val="0"/>
          <w:szCs w:val="21"/>
          <w:lang w:val="en-GB"/>
        </w:rPr>
        <w:t xml:space="preserve">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 w:bidi="zh-CN"/>
        </w:rPr>
        <w:t>Correlation analysis between EI and various factors</w:t>
      </w:r>
    </w:p>
    <w:p>
      <w:pPr>
        <w:autoSpaceDE w:val="0"/>
        <w:autoSpaceDN w:val="0"/>
        <w:jc w:val="center"/>
        <w:rPr>
          <w:rFonts w:hint="eastAsia" w:ascii="黑体" w:hAnsi="黑体" w:eastAsia="黑体"/>
          <w:sz w:val="18"/>
          <w:szCs w:val="18"/>
        </w:rPr>
      </w:pPr>
    </w:p>
    <w:p>
      <w:pPr>
        <w:autoSpaceDE w:val="0"/>
        <w:autoSpaceDN w:val="0"/>
        <w:jc w:val="center"/>
        <w:rPr>
          <w:rFonts w:ascii="Times New Roman" w:hAnsi="Times New Roman" w:eastAsia="宋体" w:cs="Times New Roman"/>
          <w:b/>
          <w:bCs/>
          <w:kern w:val="0"/>
          <w:szCs w:val="21"/>
          <w:lang w:bidi="zh-CN"/>
        </w:rPr>
      </w:pPr>
    </w:p>
    <w:p>
      <w:pPr>
        <w:autoSpaceDE w:val="0"/>
        <w:autoSpaceDN w:val="0"/>
        <w:jc w:val="center"/>
        <w:rPr>
          <w:rFonts w:ascii="Times New Roman" w:hAnsi="Times New Roman" w:eastAsia="黑体" w:cs="Times New Roman"/>
          <w:kern w:val="0"/>
          <w:szCs w:val="21"/>
          <w:lang w:bidi="zh-CN"/>
        </w:rPr>
      </w:pPr>
      <w:r>
        <w:rPr>
          <w:rFonts w:ascii="Times New Roman" w:hAnsi="Times New Roman" w:eastAsia="宋体" w:cs="Times New Roman"/>
          <w:b/>
          <w:bCs/>
          <w:kern w:val="0"/>
          <w:szCs w:val="21"/>
          <w:lang w:bidi="zh-CN"/>
        </w:rPr>
        <w:t>Table S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  <w:lang w:val="en-US" w:bidi="zh-CN"/>
        </w:rPr>
        <w:t>6</w:t>
      </w:r>
      <w:r>
        <w:rPr>
          <w:rFonts w:hint="eastAsia" w:ascii="Times New Roman" w:hAnsi="Times New Roman" w:eastAsia="宋体" w:cs="Times New Roman"/>
          <w:kern w:val="0"/>
          <w:szCs w:val="21"/>
          <w:lang w:bidi="zh-CN"/>
        </w:rPr>
        <w:t xml:space="preserve"> Carcinogenic risk values of various heavy metals</w:t>
      </w: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307"/>
        <w:gridCol w:w="1219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42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42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verage value</w:t>
            </w:r>
          </w:p>
        </w:tc>
        <w:tc>
          <w:tcPr>
            <w:tcW w:w="130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Average Standard Error</w:t>
            </w:r>
          </w:p>
        </w:tc>
        <w:tc>
          <w:tcPr>
            <w:tcW w:w="121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 xml:space="preserve">inimum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21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 xml:space="preserve">Maximum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21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edian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As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1.94E-06</w:t>
            </w:r>
          </w:p>
        </w:tc>
        <w:tc>
          <w:tcPr>
            <w:tcW w:w="130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9.92E-09</w:t>
            </w:r>
          </w:p>
        </w:tc>
        <w:tc>
          <w:tcPr>
            <w:tcW w:w="1219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8.63E-08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9.92E-06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1.76E-06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42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7.98E-06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3.44E-08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1.36E-06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3.91E-05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7.36E-06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Cd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7.75E-07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8.67E-09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3.20E-12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1.37E-05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4.94E-07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3.17E-06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3.28E-08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9.98E-12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3.58E-05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2.14E-06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Cr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6.74E-06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3.97E-08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bidi="ar"/>
              </w:rPr>
              <w:t>2.61E-09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3.68E-05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6.24E-06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2.76E-05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1.41E-07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bidi="ar"/>
              </w:rPr>
              <w:t>1.14E-08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9.48E-05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2.67E-05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Pb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1.07E-07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1.51E-09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1.12E-09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3.61E-06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6.09E-08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ind w:firstLine="42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4.42E-07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6.08E-09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4.43E-09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1.35E-05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2.59E-07</w:t>
            </w:r>
          </w:p>
        </w:tc>
      </w:tr>
    </w:tbl>
    <w:p/>
    <w:p/>
    <w:p>
      <w:pP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br w:type="page"/>
      </w:r>
    </w:p>
    <w:p>
      <w:pPr>
        <w:spacing w:line="360" w:lineRule="auto"/>
        <w:jc w:val="center"/>
        <w:rPr>
          <w:rFonts w:ascii="Times New Roman" w:hAnsi="Times New Roman" w:eastAsia="宋体" w:cs="Times New Roman"/>
          <w:spacing w:val="6"/>
          <w:szCs w:val="21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bidi="zh-CN"/>
        </w:rPr>
        <w:t>Table S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>7</w:t>
      </w:r>
      <w:r>
        <w:rPr>
          <w:rFonts w:ascii="Times New Roman" w:hAnsi="Times New Roman" w:cs="Times New Roman"/>
          <w:b/>
          <w:bCs/>
          <w:kern w:val="0"/>
          <w:szCs w:val="21"/>
          <w:lang w:bidi="zh-CN"/>
        </w:rPr>
        <w:t xml:space="preserve"> </w:t>
      </w:r>
      <w:r>
        <w:rPr>
          <w:rFonts w:hint="eastAsia" w:ascii="Times New Roman" w:hAnsi="Times New Roman" w:cs="Times New Roman"/>
          <w:kern w:val="0"/>
          <w:szCs w:val="21"/>
          <w:lang w:bidi="zh-CN"/>
        </w:rPr>
        <w:t>Non carcinogenic risk values for various heavy metals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225"/>
        <w:gridCol w:w="1219"/>
        <w:gridCol w:w="1310"/>
        <w:gridCol w:w="1219"/>
        <w:gridCol w:w="1217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verage value</w:t>
            </w:r>
          </w:p>
        </w:tc>
        <w:tc>
          <w:tcPr>
            <w:tcW w:w="13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Average Standard Error</w:t>
            </w:r>
          </w:p>
        </w:tc>
        <w:tc>
          <w:tcPr>
            <w:tcW w:w="121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 xml:space="preserve">inimum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 xml:space="preserve">Maximum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V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21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edian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As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5.04E-02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2.57E-04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2.24E-03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2.57E-01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4.55E-02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42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4.14E-02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1.78E-04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7.05E-03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2.03E-01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3.82E-02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</w:rPr>
              <w:t>Hg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4.93E-03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1.85E-05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2.28E-04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1.62E-02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4.72E-03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42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4.04E-03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1.10E-05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1.56E-03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9.83E-03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3.89E-03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Cd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3.62E-02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4.05E-04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1.50E-07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6.37E-01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2.31E-02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2.96E-02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3.06E-04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9.32E-08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3.34E-01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2.00E-02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Cr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  <w:vertAlign w:val="superscript"/>
              </w:rPr>
              <w:t>6+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5.24E-02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3.09E-04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bidi="ar"/>
              </w:rPr>
              <w:t>2.03E-05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2.86E-01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4.86E-02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2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4.29E-02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2.19E-04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bidi="ar"/>
              </w:rPr>
              <w:t>1.78E-05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1.47E-01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4.15E-02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Pb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hildren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1.05E-01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1.48E-03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1.10E-03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3.54E+00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5.97E-02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42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ind w:firstLine="0" w:firstLineChars="0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Times New Roman" w:cs="Times New Roman"/>
                <w:sz w:val="18"/>
                <w:szCs w:val="18"/>
              </w:rPr>
              <w:t>dult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8.66E-02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4.72E-03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8.69E-04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2.64E+00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bidi="ar"/>
              </w:rPr>
              <w:t>5.09E-02</w:t>
            </w:r>
          </w:p>
        </w:tc>
      </w:tr>
    </w:tbl>
    <w:p>
      <w:pPr>
        <w:jc w:val="center"/>
        <w:rPr>
          <w:rFonts w:ascii="Times New Roman" w:hAnsi="Times New Roman" w:eastAsia="Times New Roman" w:cs="Times New Roman"/>
          <w:b/>
          <w:bCs/>
          <w:szCs w:val="21"/>
        </w:rPr>
      </w:pPr>
      <w:bookmarkStart w:id="4" w:name="_nebAFDB7764_5557_461D_B4F0_39B85BDF4884"/>
    </w:p>
    <w:p>
      <w:pPr>
        <w:jc w:val="center"/>
        <w:rPr>
          <w:rFonts w:ascii="Times New Roman" w:hAnsi="Times New Roman" w:eastAsia="Times New Roman" w:cs="Times New Roman"/>
          <w:b/>
          <w:bCs/>
          <w:szCs w:val="21"/>
        </w:rPr>
      </w:pPr>
    </w:p>
    <w:p>
      <w:pPr>
        <w:jc w:val="center"/>
        <w:rPr>
          <w:rFonts w:hint="eastAsia" w:ascii="黑体" w:hAnsi="黑体" w:eastAsia="黑体" w:cs="黑体"/>
          <w:sz w:val="18"/>
          <w:szCs w:val="1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highlight w:val="none"/>
          <w:lang w:val="en-US" w:eastAsia="zh-CN"/>
        </w:rPr>
        <w:drawing>
          <wp:inline distT="0" distB="0" distL="114300" distR="114300">
            <wp:extent cx="2724150" cy="1892300"/>
            <wp:effectExtent l="0" t="0" r="6350" b="0"/>
            <wp:docPr id="9" name="图片 9" descr="重金属相关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重金属相关性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黑体" w:hAnsi="黑体" w:eastAsia="黑体" w:cs="黑体"/>
          <w:sz w:val="18"/>
          <w:szCs w:val="18"/>
          <w:highlight w:val="none"/>
          <w:lang w:val="en-US" w:eastAsia="zh-CN"/>
        </w:rPr>
      </w:pPr>
      <w:r>
        <w:rPr>
          <w:rFonts w:ascii="Times New Roman" w:hAnsi="Times New Roman" w:eastAsia="Times New Roman" w:cs="Times New Roman"/>
          <w:b/>
          <w:bCs/>
          <w:kern w:val="0"/>
          <w:szCs w:val="21"/>
          <w:lang w:val="en-GB" w:bidi="zh-CN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0"/>
          <w:szCs w:val="21"/>
          <w:lang w:val="en-US" w:bidi="zh-CN"/>
        </w:rPr>
        <w:t xml:space="preserve"> S5 </w:t>
      </w:r>
      <w:r>
        <w:rPr>
          <w:rFonts w:hint="eastAsia" w:ascii="Times New Roman" w:hAnsi="Times New Roman" w:eastAsia="Times New Roman" w:cs="Times New Roman"/>
          <w:kern w:val="0"/>
          <w:szCs w:val="21"/>
          <w:lang w:val="en-GB" w:bidi="zh-CN"/>
        </w:rPr>
        <w:t>Correlation analysis of heavy metals</w:t>
      </w:r>
    </w:p>
    <w:p>
      <w:pPr>
        <w:jc w:val="center"/>
        <w:rPr>
          <w:rFonts w:hint="eastAsia" w:ascii="黑体" w:hAnsi="黑体" w:eastAsia="黑体" w:cs="黑体"/>
          <w:sz w:val="18"/>
          <w:szCs w:val="18"/>
          <w:highlight w:val="none"/>
          <w:lang w:val="en-US" w:eastAsia="zh-CN"/>
        </w:rPr>
      </w:pPr>
    </w:p>
    <w:p>
      <w:pPr>
        <w:jc w:val="center"/>
        <w:rPr>
          <w:rFonts w:ascii="Times New Roman" w:hAnsi="Times New Roman" w:cs="Times New Roman"/>
          <w:szCs w:val="21"/>
          <w:vertAlign w:val="superscript"/>
        </w:rPr>
      </w:pPr>
      <w:r>
        <w:rPr>
          <w:rFonts w:ascii="Times New Roman" w:hAnsi="Times New Roman" w:eastAsia="Times New Roman" w:cs="Times New Roman"/>
          <w:b/>
          <w:bCs/>
          <w:szCs w:val="21"/>
        </w:rPr>
        <w:t>Table S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8</w:t>
      </w:r>
      <w:r>
        <w:rPr>
          <w:rFonts w:ascii="Times New Roman" w:hAnsi="Times New Roman" w:eastAsia="Times New Roman" w:cs="Times New Roman"/>
          <w:color w:val="FF0000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The first three terms of factor interaction and their explanatory power q values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280"/>
        <w:gridCol w:w="1076"/>
        <w:gridCol w:w="1021"/>
        <w:gridCol w:w="1076"/>
        <w:gridCol w:w="1021"/>
        <w:gridCol w:w="1076"/>
        <w:gridCol w:w="1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Leading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factor</w:t>
            </w:r>
          </w:p>
        </w:tc>
        <w:tc>
          <w:tcPr>
            <w:tcW w:w="107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interaction1</w:t>
            </w:r>
          </w:p>
        </w:tc>
        <w:tc>
          <w:tcPr>
            <w:tcW w:w="102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q value</w:t>
            </w:r>
          </w:p>
        </w:tc>
        <w:tc>
          <w:tcPr>
            <w:tcW w:w="107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interaction2</w:t>
            </w:r>
          </w:p>
        </w:tc>
        <w:tc>
          <w:tcPr>
            <w:tcW w:w="102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q value</w:t>
            </w:r>
          </w:p>
        </w:tc>
        <w:tc>
          <w:tcPr>
            <w:tcW w:w="107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interaction3</w:t>
            </w:r>
          </w:p>
        </w:tc>
        <w:tc>
          <w:tcPr>
            <w:tcW w:w="102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q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TN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recipitation</w:t>
            </w:r>
          </w:p>
        </w:tc>
        <w:tc>
          <w:tcPr>
            <w:tcW w:w="107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9</w:t>
            </w:r>
          </w:p>
        </w:tc>
        <w:tc>
          <w:tcPr>
            <w:tcW w:w="1021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0.543</w:t>
            </w:r>
          </w:p>
        </w:tc>
        <w:tc>
          <w:tcPr>
            <w:tcW w:w="107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5</w:t>
            </w:r>
          </w:p>
        </w:tc>
        <w:tc>
          <w:tcPr>
            <w:tcW w:w="1021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0.504</w:t>
            </w:r>
          </w:p>
        </w:tc>
        <w:tc>
          <w:tcPr>
            <w:tcW w:w="107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TP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GDP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0.480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0.478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As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recipitation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Hg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GDP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0.763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Cd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GDP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0.594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Cr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DEM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0.786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0.735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Pb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recipitation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0.625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0.614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∩X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subscript"/>
                <w:lang w:val="en-US" w:eastAsia="zh-CN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0.530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黑体" w:cs="Times New Roman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18"/>
          <w:szCs w:val="18"/>
          <w:highlight w:val="none"/>
          <w:lang w:val="en-US" w:eastAsia="zh-CN"/>
        </w:rPr>
        <w:t>(X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subscript"/>
          <w:lang w:val="en-US" w:eastAsia="zh-CN"/>
        </w:rPr>
        <w:t xml:space="preserve">1-9 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 xml:space="preserve">represents DEM, NDVI, </w:t>
      </w:r>
      <w:r>
        <w:rPr>
          <w:rFonts w:hint="eastAsia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>P</w:t>
      </w:r>
      <w:r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  <w:t>recipitation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  <w:t>Temperature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  <w:t>Soil Type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 xml:space="preserve">, Land Use, </w:t>
      </w:r>
      <w:r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  <w:t>Road Network Density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 xml:space="preserve">, GDP, </w:t>
      </w:r>
      <w:r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  <w:t xml:space="preserve">Population </w:t>
      </w:r>
      <w:r>
        <w:rPr>
          <w:rFonts w:hint="eastAsia" w:ascii="Times New Roman" w:hAnsi="Times New Roman" w:cs="Times New Roman"/>
          <w:sz w:val="18"/>
          <w:szCs w:val="18"/>
          <w:highlight w:val="none"/>
          <w:lang w:val="en-US" w:eastAsia="zh-CN"/>
        </w:rPr>
        <w:t>D</w:t>
      </w:r>
      <w:r>
        <w:rPr>
          <w:rFonts w:hint="default" w:ascii="Times New Roman" w:hAnsi="Times New Roman" w:cs="Times New Roman"/>
          <w:sz w:val="18"/>
          <w:szCs w:val="18"/>
          <w:highlight w:val="none"/>
          <w:lang w:val="en-US" w:eastAsia="zh-CN"/>
        </w:rPr>
        <w:t>ensity</w:t>
      </w:r>
      <w:r>
        <w:rPr>
          <w:rFonts w:hint="default" w:ascii="Times New Roman" w:hAnsi="Times New Roman" w:eastAsia="黑体" w:cs="Times New Roman"/>
          <w:sz w:val="18"/>
          <w:szCs w:val="18"/>
          <w:highlight w:val="none"/>
          <w:vertAlign w:val="baseline"/>
          <w:lang w:val="en-US" w:eastAsia="zh-CN"/>
        </w:rPr>
        <w:t>)</w:t>
      </w:r>
    </w:p>
    <w:p>
      <w:pPr>
        <w:rPr>
          <w:rFonts w:hint="eastAsia" w:ascii="Times New Roman" w:hAnsi="Times New Roman" w:eastAsia="宋体"/>
          <w:color w:val="000000"/>
          <w:sz w:val="20"/>
          <w:szCs w:val="24"/>
          <w:lang w:val="en-US" w:eastAsia="zh-CN"/>
        </w:rPr>
      </w:pPr>
    </w:p>
    <w:p>
      <w:pP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br w:type="page"/>
      </w:r>
    </w:p>
    <w:p>
      <w:pPr>
        <w:rPr>
          <w:rFonts w:hint="default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val="en-US" w:eastAsia="zh-CN"/>
        </w:rPr>
        <w:t>Reference</w:t>
      </w:r>
    </w:p>
    <w:p>
      <w:pPr>
        <w:rPr>
          <w:rFonts w:hint="default" w:ascii="Times New Roman" w:hAnsi="Times New Roman" w:eastAsia="Times New Roman"/>
          <w:color w:val="000000"/>
          <w:sz w:val="20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Changjun Z, Fangxing Z, Budong L, et al. Water quality evaluation of Daheiting reservoir based on principal component analysis and WQI</w:t>
      </w:r>
      <w:r>
        <w:rPr>
          <w:rFonts w:hint="default" w:ascii="Times New Roman" w:hAnsi="Times New Roman" w:eastAsia="Times New Roman"/>
          <w:color w:val="000000"/>
          <w:sz w:val="20"/>
          <w:szCs w:val="24"/>
          <w:vertAlign w:val="subscript"/>
        </w:rPr>
        <w:t>min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>[J]. Journal of Henan Normal University(Natural Science Edition), 2021,49(03):52-58.</w:t>
      </w:r>
      <w:bookmarkEnd w:id="4"/>
    </w:p>
    <w:p>
      <w:pPr>
        <w:rPr>
          <w:rFonts w:hint="default" w:ascii="Times New Roman" w:hAnsi="Times New Roman" w:eastAsia="Times New Roman"/>
          <w:color w:val="000000"/>
          <w:sz w:val="20"/>
          <w:szCs w:val="24"/>
        </w:rPr>
      </w:pPr>
      <w:bookmarkStart w:id="5" w:name="_neb9FE9D94D_A4C6_40EE_A1B2_363B290BB967"/>
      <w:r>
        <w:rPr>
          <w:rFonts w:hint="default" w:ascii="Times New Roman" w:hAnsi="Times New Roman" w:eastAsia="Times New Roman"/>
          <w:color w:val="000000"/>
          <w:sz w:val="20"/>
          <w:szCs w:val="24"/>
        </w:rPr>
        <w:t>Zuoyong L, Jiayang W, Chun G. A universal index formula for eutrophic evaluation using a logarithmic power function[J]. Acta Scientiae Circumstantiae, 2010,30(03):664-672.</w:t>
      </w:r>
      <w:bookmarkEnd w:id="5"/>
    </w:p>
    <w:p>
      <w:pPr>
        <w:rPr>
          <w:rFonts w:hint="default" w:ascii="Times New Roman" w:hAnsi="Times New Roman" w:eastAsia="Times New Roman"/>
          <w:color w:val="000000"/>
          <w:sz w:val="20"/>
          <w:szCs w:val="24"/>
        </w:rPr>
      </w:pPr>
      <w:bookmarkStart w:id="6" w:name="_nebF7211E97_4E3B_4F35_B8CA_15B8025DFB4B"/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Zhang L, Tan X, Chen H, et al. </w:t>
      </w:r>
      <w:bookmarkStart w:id="7" w:name="OLE_LINK1"/>
      <w:r>
        <w:rPr>
          <w:rFonts w:hint="default" w:ascii="Times New Roman" w:hAnsi="Times New Roman" w:eastAsia="Times New Roman"/>
          <w:color w:val="000000"/>
          <w:sz w:val="20"/>
          <w:szCs w:val="24"/>
        </w:rPr>
        <w:t>Effects of Agriculture and Animal Husbandry on Heavy Metal Contamination in the Aquatic Environment and Human Health in Huangshui River Basin</w:t>
      </w:r>
      <w:bookmarkEnd w:id="7"/>
      <w:r>
        <w:rPr>
          <w:rFonts w:hint="default" w:ascii="Times New Roman" w:hAnsi="Times New Roman" w:eastAsia="Times New Roman"/>
          <w:color w:val="000000"/>
          <w:sz w:val="20"/>
          <w:szCs w:val="24"/>
        </w:rPr>
        <w:t>[J]. WATER, 2022,14(4).</w:t>
      </w:r>
      <w:bookmarkEnd w:id="6"/>
    </w:p>
    <w:p>
      <w:pPr>
        <w:rPr>
          <w:rFonts w:hint="default" w:ascii="Times New Roman" w:hAnsi="Times New Roman" w:eastAsia="Times New Roman"/>
          <w:color w:val="000000"/>
          <w:sz w:val="20"/>
          <w:szCs w:val="24"/>
        </w:rPr>
      </w:pPr>
      <w:bookmarkStart w:id="8" w:name="_nebC26CD423_8973_46EE_AFB0_2C3B917622B8"/>
      <w:r>
        <w:rPr>
          <w:rFonts w:hint="default" w:ascii="Times New Roman" w:hAnsi="Times New Roman" w:eastAsia="Times New Roman"/>
          <w:color w:val="000000"/>
          <w:sz w:val="20"/>
          <w:szCs w:val="24"/>
        </w:rPr>
        <w:t>Shi H, Zeng M, Peng H, et al. Health Risk Assessment of Heavy Metals in Groundwater of Hainan Island Using the Monte Carlo Simulation Coupled with the APCS / MLR Model[J]. INTERNATIONAL JOURNAL OF ENVIRONMENTAL RESEARCH AND PUBLIC HEALTH, 2022,19(13).</w:t>
      </w:r>
      <w:bookmarkEnd w:id="8"/>
    </w:p>
    <w:p>
      <w:pPr>
        <w:rPr>
          <w:rFonts w:hint="default" w:ascii="Times New Roman" w:hAnsi="Times New Roman" w:eastAsia="Times New Roman"/>
          <w:color w:val="000000"/>
          <w:sz w:val="20"/>
          <w:szCs w:val="24"/>
        </w:rPr>
      </w:pPr>
      <w:bookmarkStart w:id="9" w:name="_neb7251AC61_91F5_4923_A65F_37CEDC0BAF12"/>
      <w:r>
        <w:rPr>
          <w:rFonts w:hint="default" w:ascii="Times New Roman" w:hAnsi="Times New Roman" w:eastAsia="Times New Roman"/>
          <w:color w:val="000000"/>
          <w:sz w:val="20"/>
          <w:szCs w:val="24"/>
        </w:rPr>
        <w:t>Wang W, Chen C, Liu D, et al. Health risk assessment of PM2.5 heavy metals in county units of northern China based on Monte Carlo simulation and APCS-MLR[J]. SCIENCE OF THE TOTAL ENVIRONMENT, 2022,843.</w:t>
      </w:r>
      <w:bookmarkEnd w:id="9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YmQ4ZmUzM2U2OWUxM2MzYjkzYTRiODAwNDM3OGEifQ=="/>
  </w:docVars>
  <w:rsids>
    <w:rsidRoot w:val="60DC0078"/>
    <w:rsid w:val="011119F9"/>
    <w:rsid w:val="08F94AD1"/>
    <w:rsid w:val="133E1F9E"/>
    <w:rsid w:val="148339E6"/>
    <w:rsid w:val="18E52966"/>
    <w:rsid w:val="1E912588"/>
    <w:rsid w:val="2D7A2065"/>
    <w:rsid w:val="349A75F8"/>
    <w:rsid w:val="39141A06"/>
    <w:rsid w:val="3CC41BCE"/>
    <w:rsid w:val="3F0B4C4B"/>
    <w:rsid w:val="3F7D7241"/>
    <w:rsid w:val="425342AE"/>
    <w:rsid w:val="44071387"/>
    <w:rsid w:val="451706FC"/>
    <w:rsid w:val="451D2C79"/>
    <w:rsid w:val="4D951D35"/>
    <w:rsid w:val="595B2712"/>
    <w:rsid w:val="60DC0078"/>
    <w:rsid w:val="62147BDC"/>
    <w:rsid w:val="67672ABA"/>
    <w:rsid w:val="6F557F03"/>
    <w:rsid w:val="783D37E6"/>
    <w:rsid w:val="78D066DC"/>
    <w:rsid w:val="79083F59"/>
    <w:rsid w:val="7FA7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黑体" w:cstheme="minorBidi"/>
      <w:kern w:val="2"/>
      <w:sz w:val="15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2024-01-22T11:29:00Z</dcterms:created>
  <dc:creator>别</dc:creator>
  <cp:lastModifiedBy>我只是会发芽</cp:lastModifiedBy>
  <dcterms:modified xsi:type="dcterms:W3CDTF">2024-04-03T09:20:57Z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B9AF52B577074E769FA2F5229590DEF1_11</vt:lpwstr>
  </property>
</Properties>
</file>