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91FB7" w14:textId="7037BF43" w:rsidR="00E53315" w:rsidRPr="000E616F" w:rsidRDefault="00615F8F" w:rsidP="00F477D6">
      <w:pPr>
        <w:spacing w:line="480" w:lineRule="auto"/>
        <w:rPr>
          <w:rFonts w:ascii="Times New Roman" w:hAnsi="Times New Roman" w:cs="Times New Roman"/>
          <w:lang w:val="en-GB"/>
        </w:rPr>
      </w:pPr>
      <w:r w:rsidRPr="000E616F">
        <w:rPr>
          <w:rFonts w:ascii="Times New Roman" w:hAnsi="Times New Roman" w:cs="Times New Roman"/>
          <w:lang w:val="en-GB"/>
        </w:rPr>
        <w:t>Table 2</w:t>
      </w:r>
      <w:r w:rsidR="008B1422" w:rsidRPr="000E616F">
        <w:rPr>
          <w:rFonts w:ascii="Times New Roman" w:hAnsi="Times New Roman" w:cs="Times New Roman"/>
          <w:lang w:val="en-GB"/>
        </w:rPr>
        <w:t xml:space="preserve"> – </w:t>
      </w:r>
      <w:r w:rsidR="004F7A67" w:rsidRPr="000E616F">
        <w:rPr>
          <w:rFonts w:ascii="Times New Roman" w:hAnsi="Times New Roman" w:cs="Times New Roman"/>
          <w:lang w:val="en-GB"/>
        </w:rPr>
        <w:t xml:space="preserve">Comprehensiveness and </w:t>
      </w:r>
      <w:r w:rsidR="008B1422" w:rsidRPr="000E616F">
        <w:rPr>
          <w:rFonts w:ascii="Times New Roman" w:hAnsi="Times New Roman" w:cs="Times New Roman"/>
          <w:lang w:val="en-GB"/>
        </w:rPr>
        <w:t xml:space="preserve">Content </w:t>
      </w:r>
      <w:r w:rsidR="00812A8D" w:rsidRPr="000E616F">
        <w:rPr>
          <w:rFonts w:ascii="Times New Roman" w:hAnsi="Times New Roman" w:cs="Times New Roman"/>
          <w:lang w:val="en-GB"/>
        </w:rPr>
        <w:t>V</w:t>
      </w:r>
      <w:r w:rsidR="008B1422" w:rsidRPr="000E616F">
        <w:rPr>
          <w:rFonts w:ascii="Times New Roman" w:hAnsi="Times New Roman" w:cs="Times New Roman"/>
          <w:lang w:val="en-GB"/>
        </w:rPr>
        <w:t xml:space="preserve">alidity of </w:t>
      </w:r>
      <w:r w:rsidR="00812A8D" w:rsidRPr="000E616F">
        <w:rPr>
          <w:rFonts w:ascii="Times New Roman" w:hAnsi="Times New Roman" w:cs="Times New Roman"/>
          <w:lang w:val="en-GB"/>
        </w:rPr>
        <w:t>E</w:t>
      </w:r>
      <w:r w:rsidR="008B1422" w:rsidRPr="000E616F">
        <w:rPr>
          <w:rFonts w:ascii="Times New Roman" w:hAnsi="Times New Roman" w:cs="Times New Roman"/>
          <w:lang w:val="en-GB"/>
        </w:rPr>
        <w:t xml:space="preserve">xisting </w:t>
      </w:r>
      <w:r w:rsidR="00EF570B" w:rsidRPr="000E616F">
        <w:rPr>
          <w:rFonts w:ascii="Times New Roman" w:hAnsi="Times New Roman" w:cs="Times New Roman"/>
          <w:lang w:val="en-GB"/>
        </w:rPr>
        <w:t>PREMs</w:t>
      </w:r>
      <w:r w:rsidR="008B1422" w:rsidRPr="000E616F">
        <w:rPr>
          <w:rFonts w:ascii="Times New Roman" w:hAnsi="Times New Roman" w:cs="Times New Roman"/>
          <w:lang w:val="en-GB"/>
        </w:rPr>
        <w:t xml:space="preserve"> for </w:t>
      </w:r>
      <w:r w:rsidR="00812A8D" w:rsidRPr="000E616F">
        <w:rPr>
          <w:rFonts w:ascii="Times New Roman" w:hAnsi="Times New Roman" w:cs="Times New Roman"/>
          <w:lang w:val="en-GB"/>
        </w:rPr>
        <w:t>A</w:t>
      </w:r>
      <w:r w:rsidR="008B1422" w:rsidRPr="000E616F">
        <w:rPr>
          <w:rFonts w:ascii="Times New Roman" w:hAnsi="Times New Roman" w:cs="Times New Roman"/>
          <w:lang w:val="en-GB"/>
        </w:rPr>
        <w:t xml:space="preserve">ssessment of </w:t>
      </w:r>
      <w:r w:rsidR="00812A8D" w:rsidRPr="000E616F">
        <w:rPr>
          <w:rFonts w:ascii="Times New Roman" w:hAnsi="Times New Roman" w:cs="Times New Roman"/>
          <w:lang w:val="en-GB"/>
        </w:rPr>
        <w:t>P</w:t>
      </w:r>
      <w:r w:rsidR="008B1422" w:rsidRPr="000E616F">
        <w:rPr>
          <w:rFonts w:ascii="Times New Roman" w:hAnsi="Times New Roman" w:cs="Times New Roman"/>
          <w:lang w:val="en-GB"/>
        </w:rPr>
        <w:t xml:space="preserve">atients’ </w:t>
      </w:r>
      <w:r w:rsidR="00812A8D" w:rsidRPr="000E616F">
        <w:rPr>
          <w:rFonts w:ascii="Times New Roman" w:hAnsi="Times New Roman" w:cs="Times New Roman"/>
          <w:lang w:val="en-GB"/>
        </w:rPr>
        <w:t>E</w:t>
      </w:r>
      <w:r w:rsidR="008B1422" w:rsidRPr="000E616F">
        <w:rPr>
          <w:rFonts w:ascii="Times New Roman" w:hAnsi="Times New Roman" w:cs="Times New Roman"/>
          <w:lang w:val="en-GB"/>
        </w:rPr>
        <w:t xml:space="preserve">xperiences of </w:t>
      </w:r>
      <w:r w:rsidR="008162DB" w:rsidRPr="000E616F">
        <w:rPr>
          <w:rFonts w:ascii="Times New Roman" w:hAnsi="Times New Roman" w:cs="Times New Roman"/>
          <w:lang w:val="en-GB"/>
        </w:rPr>
        <w:t xml:space="preserve">the </w:t>
      </w:r>
      <w:r w:rsidR="00812A8D" w:rsidRPr="000E616F">
        <w:rPr>
          <w:rFonts w:ascii="Times New Roman" w:hAnsi="Times New Roman" w:cs="Times New Roman"/>
          <w:lang w:val="en-GB"/>
        </w:rPr>
        <w:t>Q</w:t>
      </w:r>
      <w:r w:rsidR="008162DB" w:rsidRPr="000E616F">
        <w:rPr>
          <w:rFonts w:ascii="Times New Roman" w:hAnsi="Times New Roman" w:cs="Times New Roman"/>
          <w:lang w:val="en-GB"/>
        </w:rPr>
        <w:t xml:space="preserve">uality of </w:t>
      </w:r>
      <w:r w:rsidR="00812A8D" w:rsidRPr="000E616F">
        <w:rPr>
          <w:rFonts w:ascii="Times New Roman" w:hAnsi="Times New Roman" w:cs="Times New Roman"/>
          <w:lang w:val="en-GB"/>
        </w:rPr>
        <w:t>T</w:t>
      </w:r>
      <w:r w:rsidR="008B1422" w:rsidRPr="000E616F">
        <w:rPr>
          <w:rFonts w:ascii="Times New Roman" w:hAnsi="Times New Roman" w:cs="Times New Roman"/>
          <w:lang w:val="en-GB"/>
        </w:rPr>
        <w:t xml:space="preserve">ransitions in </w:t>
      </w:r>
      <w:r w:rsidR="00812A8D" w:rsidRPr="000E616F">
        <w:rPr>
          <w:rFonts w:ascii="Times New Roman" w:hAnsi="Times New Roman" w:cs="Times New Roman"/>
          <w:lang w:val="en-GB"/>
        </w:rPr>
        <w:t>H</w:t>
      </w:r>
      <w:r w:rsidR="008B1422" w:rsidRPr="000E616F">
        <w:rPr>
          <w:rFonts w:ascii="Times New Roman" w:hAnsi="Times New Roman" w:cs="Times New Roman"/>
          <w:lang w:val="en-GB"/>
        </w:rPr>
        <w:t xml:space="preserve">ealthcare </w:t>
      </w:r>
      <w:r w:rsidR="00812A8D" w:rsidRPr="000E616F">
        <w:rPr>
          <w:rFonts w:ascii="Times New Roman" w:hAnsi="Times New Roman" w:cs="Times New Roman"/>
          <w:lang w:val="en-GB"/>
        </w:rPr>
        <w:t>S</w:t>
      </w:r>
      <w:r w:rsidR="008B1422" w:rsidRPr="000E616F">
        <w:rPr>
          <w:rFonts w:ascii="Times New Roman" w:hAnsi="Times New Roman" w:cs="Times New Roman"/>
          <w:lang w:val="en-GB"/>
        </w:rPr>
        <w:t>ettings.</w:t>
      </w:r>
    </w:p>
    <w:p w14:paraId="341D52B9" w14:textId="77777777" w:rsidR="005D7AF1" w:rsidRPr="000E616F" w:rsidRDefault="005D7AF1" w:rsidP="00F477D6">
      <w:pPr>
        <w:spacing w:after="160" w:line="480" w:lineRule="auto"/>
        <w:contextualSpacing/>
        <w:rPr>
          <w:rFonts w:ascii="Times New Roman" w:hAnsi="Times New Roman" w:cs="Times New Roman"/>
          <w:lang w:val="en-GB"/>
        </w:rPr>
        <w:sectPr w:rsidR="005D7AF1" w:rsidRPr="000E616F" w:rsidSect="00E13915">
          <w:headerReference w:type="default" r:id="rId8"/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tbl>
      <w:tblPr>
        <w:tblStyle w:val="TableGrid"/>
        <w:tblW w:w="2236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7"/>
        <w:gridCol w:w="1774"/>
        <w:gridCol w:w="1418"/>
        <w:gridCol w:w="1445"/>
        <w:gridCol w:w="1182"/>
        <w:gridCol w:w="803"/>
        <w:gridCol w:w="1298"/>
        <w:gridCol w:w="1264"/>
        <w:gridCol w:w="1496"/>
        <w:gridCol w:w="1336"/>
        <w:gridCol w:w="1545"/>
        <w:gridCol w:w="1695"/>
        <w:gridCol w:w="1198"/>
        <w:gridCol w:w="2262"/>
        <w:gridCol w:w="1528"/>
      </w:tblGrid>
      <w:tr w:rsidR="005D7AF1" w:rsidRPr="002D2947" w14:paraId="5C71CFFB" w14:textId="77777777" w:rsidTr="002E5234">
        <w:tc>
          <w:tcPr>
            <w:tcW w:w="2119" w:type="dxa"/>
            <w:tcBorders>
              <w:top w:val="nil"/>
            </w:tcBorders>
          </w:tcPr>
          <w:p w14:paraId="64E03FA7" w14:textId="1230F40A" w:rsidR="005D7AF1" w:rsidRPr="004F1B9A" w:rsidRDefault="004F1B9A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4F1B9A">
              <w:rPr>
                <w:rFonts w:ascii="Times New Roman" w:hAnsi="Times New Roman" w:cs="Times New Roman"/>
                <w:lang w:val="en-GB"/>
              </w:rPr>
              <w:lastRenderedPageBreak/>
              <w:t>Table 2</w:t>
            </w:r>
          </w:p>
        </w:tc>
        <w:tc>
          <w:tcPr>
            <w:tcW w:w="20242" w:type="dxa"/>
            <w:gridSpan w:val="14"/>
            <w:tcBorders>
              <w:top w:val="nil"/>
            </w:tcBorders>
          </w:tcPr>
          <w:p w14:paraId="09F6CF0D" w14:textId="77777777" w:rsidR="005D7AF1" w:rsidRPr="000E616F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0E616F">
              <w:rPr>
                <w:rFonts w:ascii="Times New Roman" w:hAnsi="Times New Roman" w:cs="Times New Roman"/>
                <w:lang w:val="en-GB"/>
              </w:rPr>
              <w:t>Themes relevant for measuring patient-experienced quality in healthcare transitions as identified in qualitative literature (objective 1) – n=number of items of PREM for the named theme</w:t>
            </w:r>
          </w:p>
        </w:tc>
      </w:tr>
      <w:tr w:rsidR="005D7AF1" w:rsidRPr="000E616F" w14:paraId="78F826D5" w14:textId="77777777" w:rsidTr="002E5234">
        <w:tc>
          <w:tcPr>
            <w:tcW w:w="2119" w:type="dxa"/>
            <w:tcBorders>
              <w:bottom w:val="single" w:sz="4" w:space="0" w:color="auto"/>
            </w:tcBorders>
          </w:tcPr>
          <w:p w14:paraId="1544BB1C" w14:textId="3D53CDB0" w:rsidR="005D7AF1" w:rsidRPr="002E5234" w:rsidRDefault="00966708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PREM</w:t>
            </w:r>
          </w:p>
        </w:tc>
        <w:tc>
          <w:tcPr>
            <w:tcW w:w="1774" w:type="dxa"/>
            <w:tcBorders>
              <w:bottom w:val="single" w:sz="4" w:space="0" w:color="auto"/>
            </w:tcBorders>
          </w:tcPr>
          <w:p w14:paraId="08CADC5E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Patient-centeredness and individualized care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974C8A7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Effectiveness</w:t>
            </w:r>
          </w:p>
        </w:tc>
        <w:tc>
          <w:tcPr>
            <w:tcW w:w="1445" w:type="dxa"/>
            <w:tcBorders>
              <w:bottom w:val="single" w:sz="4" w:space="0" w:color="auto"/>
            </w:tcBorders>
          </w:tcPr>
          <w:p w14:paraId="4042ABF3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Efficiency, coordination, and management</w:t>
            </w:r>
          </w:p>
        </w:tc>
        <w:tc>
          <w:tcPr>
            <w:tcW w:w="1182" w:type="dxa"/>
            <w:tcBorders>
              <w:bottom w:val="single" w:sz="4" w:space="0" w:color="auto"/>
            </w:tcBorders>
          </w:tcPr>
          <w:p w14:paraId="58CB57BA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Timeliness</w:t>
            </w:r>
          </w:p>
        </w:tc>
        <w:tc>
          <w:tcPr>
            <w:tcW w:w="801" w:type="dxa"/>
            <w:tcBorders>
              <w:bottom w:val="single" w:sz="4" w:space="0" w:color="auto"/>
            </w:tcBorders>
          </w:tcPr>
          <w:p w14:paraId="0BF15B3B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Equity</w:t>
            </w:r>
          </w:p>
        </w:tc>
        <w:tc>
          <w:tcPr>
            <w:tcW w:w="1298" w:type="dxa"/>
            <w:tcBorders>
              <w:bottom w:val="single" w:sz="4" w:space="0" w:color="auto"/>
            </w:tcBorders>
          </w:tcPr>
          <w:p w14:paraId="4545A60C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Caring attitude and compassion</w:t>
            </w:r>
          </w:p>
        </w:tc>
        <w:tc>
          <w:tcPr>
            <w:tcW w:w="1264" w:type="dxa"/>
            <w:tcBorders>
              <w:bottom w:val="single" w:sz="4" w:space="0" w:color="auto"/>
            </w:tcBorders>
          </w:tcPr>
          <w:p w14:paraId="1BFFFC5E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Navigation, access, and availability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14:paraId="46816C1A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Responsibility</w:t>
            </w: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14:paraId="6E1D05FF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Relational Continuity and relationship</w:t>
            </w:r>
          </w:p>
        </w:tc>
        <w:tc>
          <w:tcPr>
            <w:tcW w:w="1545" w:type="dxa"/>
            <w:tcBorders>
              <w:bottom w:val="single" w:sz="4" w:space="0" w:color="auto"/>
            </w:tcBorders>
          </w:tcPr>
          <w:p w14:paraId="6A7BFEB2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Informational continuity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31E6E4A2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Communication and education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14:paraId="01DDD8E5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Caretakers and relatives</w:t>
            </w:r>
          </w:p>
        </w:tc>
        <w:tc>
          <w:tcPr>
            <w:tcW w:w="2262" w:type="dxa"/>
            <w:tcBorders>
              <w:bottom w:val="single" w:sz="4" w:space="0" w:color="auto"/>
            </w:tcBorders>
          </w:tcPr>
          <w:p w14:paraId="36D68BF4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Articles referencing this PREM</w:t>
            </w:r>
          </w:p>
        </w:tc>
        <w:tc>
          <w:tcPr>
            <w:tcW w:w="1528" w:type="dxa"/>
            <w:tcBorders>
              <w:bottom w:val="single" w:sz="4" w:space="0" w:color="auto"/>
            </w:tcBorders>
          </w:tcPr>
          <w:p w14:paraId="5FC3E369" w14:textId="77777777" w:rsidR="005D7AF1" w:rsidRPr="002E5234" w:rsidRDefault="005D7AF1" w:rsidP="005D7AF1">
            <w:pPr>
              <w:rPr>
                <w:rFonts w:ascii="Times New Roman" w:hAnsi="Times New Roman" w:cs="Times New Roman"/>
                <w:lang w:val="en-GB"/>
              </w:rPr>
            </w:pPr>
            <w:r w:rsidRPr="002E5234">
              <w:rPr>
                <w:rFonts w:ascii="Times New Roman" w:hAnsi="Times New Roman" w:cs="Times New Roman"/>
                <w:lang w:val="en-GB"/>
              </w:rPr>
              <w:t>Content Validity</w:t>
            </w:r>
          </w:p>
        </w:tc>
      </w:tr>
      <w:tr w:rsidR="005D7AF1" w:rsidRPr="000E616F" w14:paraId="4CEBD341" w14:textId="77777777" w:rsidTr="002E5234">
        <w:tc>
          <w:tcPr>
            <w:tcW w:w="2119" w:type="dxa"/>
            <w:tcBorders>
              <w:bottom w:val="nil"/>
            </w:tcBorders>
            <w:vAlign w:val="bottom"/>
          </w:tcPr>
          <w:p w14:paraId="62F6A499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ACSS-MH Alberta Continuity of Services Scale - Mental Health</w:t>
            </w:r>
          </w:p>
        </w:tc>
        <w:tc>
          <w:tcPr>
            <w:tcW w:w="1774" w:type="dxa"/>
            <w:tcBorders>
              <w:bottom w:val="nil"/>
            </w:tcBorders>
            <w:vAlign w:val="bottom"/>
          </w:tcPr>
          <w:p w14:paraId="2B157F1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418" w:type="dxa"/>
            <w:tcBorders>
              <w:bottom w:val="nil"/>
            </w:tcBorders>
            <w:vAlign w:val="bottom"/>
          </w:tcPr>
          <w:p w14:paraId="72B9525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445" w:type="dxa"/>
            <w:tcBorders>
              <w:bottom w:val="nil"/>
            </w:tcBorders>
            <w:vAlign w:val="bottom"/>
          </w:tcPr>
          <w:p w14:paraId="4A98F4A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9</w:t>
            </w:r>
          </w:p>
        </w:tc>
        <w:tc>
          <w:tcPr>
            <w:tcW w:w="1182" w:type="dxa"/>
            <w:tcBorders>
              <w:bottom w:val="nil"/>
            </w:tcBorders>
            <w:vAlign w:val="bottom"/>
          </w:tcPr>
          <w:p w14:paraId="68ED854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801" w:type="dxa"/>
            <w:tcBorders>
              <w:bottom w:val="nil"/>
            </w:tcBorders>
            <w:vAlign w:val="bottom"/>
          </w:tcPr>
          <w:p w14:paraId="7B1FB96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8" w:type="dxa"/>
            <w:tcBorders>
              <w:bottom w:val="nil"/>
            </w:tcBorders>
            <w:vAlign w:val="bottom"/>
          </w:tcPr>
          <w:p w14:paraId="0B17B95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bottom w:val="nil"/>
            </w:tcBorders>
            <w:vAlign w:val="bottom"/>
          </w:tcPr>
          <w:p w14:paraId="282E4F9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8</w:t>
            </w:r>
          </w:p>
        </w:tc>
        <w:tc>
          <w:tcPr>
            <w:tcW w:w="1496" w:type="dxa"/>
            <w:tcBorders>
              <w:bottom w:val="nil"/>
            </w:tcBorders>
            <w:vAlign w:val="bottom"/>
          </w:tcPr>
          <w:p w14:paraId="13B03FE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336" w:type="dxa"/>
            <w:tcBorders>
              <w:bottom w:val="nil"/>
            </w:tcBorders>
            <w:vAlign w:val="bottom"/>
          </w:tcPr>
          <w:p w14:paraId="6B9057E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545" w:type="dxa"/>
            <w:tcBorders>
              <w:bottom w:val="nil"/>
            </w:tcBorders>
            <w:vAlign w:val="bottom"/>
          </w:tcPr>
          <w:p w14:paraId="1B895B1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695" w:type="dxa"/>
            <w:tcBorders>
              <w:bottom w:val="nil"/>
            </w:tcBorders>
            <w:vAlign w:val="bottom"/>
          </w:tcPr>
          <w:p w14:paraId="7F77515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98" w:type="dxa"/>
            <w:tcBorders>
              <w:bottom w:val="nil"/>
            </w:tcBorders>
            <w:vAlign w:val="bottom"/>
          </w:tcPr>
          <w:p w14:paraId="1F78A9B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2262" w:type="dxa"/>
            <w:tcBorders>
              <w:bottom w:val="nil"/>
            </w:tcBorders>
            <w:vAlign w:val="bottom"/>
          </w:tcPr>
          <w:p w14:paraId="73127D3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Joyce 2010, Fernandes 2020, Weaver 2017</w:t>
            </w:r>
          </w:p>
        </w:tc>
        <w:tc>
          <w:tcPr>
            <w:tcW w:w="1528" w:type="dxa"/>
            <w:tcBorders>
              <w:bottom w:val="nil"/>
            </w:tcBorders>
            <w:vAlign w:val="bottom"/>
          </w:tcPr>
          <w:p w14:paraId="275A43E8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Adequate</w:t>
            </w:r>
          </w:p>
        </w:tc>
      </w:tr>
      <w:tr w:rsidR="005D7AF1" w:rsidRPr="000E616F" w14:paraId="404B1AAE" w14:textId="77777777" w:rsidTr="002E5234">
        <w:tc>
          <w:tcPr>
            <w:tcW w:w="211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E143264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CCAENA Questionnaire of Continuity between Care Levels</w:t>
            </w:r>
          </w:p>
        </w:tc>
        <w:tc>
          <w:tcPr>
            <w:tcW w:w="177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7DDEEA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818A18E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3FAA33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15484F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27EE27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8C288B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A0363C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9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F18A23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F12E8C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5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379C06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69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0D66D8E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D35C76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226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32F02E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Aller 2013, Vargas 2013, Karam 2019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D8EF49E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Inadequate</w:t>
            </w:r>
          </w:p>
        </w:tc>
      </w:tr>
      <w:tr w:rsidR="005D7AF1" w:rsidRPr="000E616F" w14:paraId="1EF6AF7B" w14:textId="77777777" w:rsidTr="002E5234">
        <w:tc>
          <w:tcPr>
            <w:tcW w:w="2119" w:type="dxa"/>
            <w:tcBorders>
              <w:top w:val="nil"/>
              <w:bottom w:val="nil"/>
            </w:tcBorders>
            <w:vAlign w:val="bottom"/>
          </w:tcPr>
          <w:p w14:paraId="1C4B516A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CCRQ Client-Centered Rehabilitation Questionnaire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bottom"/>
          </w:tcPr>
          <w:p w14:paraId="107F1EE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bottom"/>
          </w:tcPr>
          <w:p w14:paraId="77D27EF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445" w:type="dxa"/>
            <w:tcBorders>
              <w:top w:val="nil"/>
              <w:bottom w:val="nil"/>
            </w:tcBorders>
            <w:vAlign w:val="bottom"/>
          </w:tcPr>
          <w:p w14:paraId="615E39F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182" w:type="dxa"/>
            <w:tcBorders>
              <w:top w:val="nil"/>
              <w:bottom w:val="nil"/>
            </w:tcBorders>
            <w:vAlign w:val="bottom"/>
          </w:tcPr>
          <w:p w14:paraId="76E2064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  <w:vAlign w:val="bottom"/>
          </w:tcPr>
          <w:p w14:paraId="5818AEC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vAlign w:val="bottom"/>
          </w:tcPr>
          <w:p w14:paraId="45F7185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264" w:type="dxa"/>
            <w:tcBorders>
              <w:top w:val="nil"/>
              <w:bottom w:val="nil"/>
            </w:tcBorders>
            <w:vAlign w:val="bottom"/>
          </w:tcPr>
          <w:p w14:paraId="336D6C9E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496" w:type="dxa"/>
            <w:tcBorders>
              <w:top w:val="nil"/>
              <w:bottom w:val="nil"/>
            </w:tcBorders>
            <w:vAlign w:val="bottom"/>
          </w:tcPr>
          <w:p w14:paraId="07ECA6E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36" w:type="dxa"/>
            <w:tcBorders>
              <w:top w:val="nil"/>
              <w:bottom w:val="nil"/>
            </w:tcBorders>
            <w:vAlign w:val="bottom"/>
          </w:tcPr>
          <w:p w14:paraId="1CCC3DB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545" w:type="dxa"/>
            <w:tcBorders>
              <w:top w:val="nil"/>
              <w:bottom w:val="nil"/>
            </w:tcBorders>
            <w:vAlign w:val="bottom"/>
          </w:tcPr>
          <w:p w14:paraId="6268861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  <w:vAlign w:val="bottom"/>
          </w:tcPr>
          <w:p w14:paraId="5EED472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198" w:type="dxa"/>
            <w:tcBorders>
              <w:top w:val="nil"/>
              <w:bottom w:val="nil"/>
            </w:tcBorders>
            <w:vAlign w:val="bottom"/>
          </w:tcPr>
          <w:p w14:paraId="4FCF3D0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2262" w:type="dxa"/>
            <w:tcBorders>
              <w:top w:val="nil"/>
              <w:bottom w:val="nil"/>
            </w:tcBorders>
            <w:vAlign w:val="bottom"/>
          </w:tcPr>
          <w:p w14:paraId="5C64B5D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McMurray 2016</w:t>
            </w:r>
          </w:p>
        </w:tc>
        <w:tc>
          <w:tcPr>
            <w:tcW w:w="1528" w:type="dxa"/>
            <w:tcBorders>
              <w:top w:val="nil"/>
              <w:bottom w:val="nil"/>
            </w:tcBorders>
            <w:vAlign w:val="bottom"/>
          </w:tcPr>
          <w:p w14:paraId="1EA0EED2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Doubtful</w:t>
            </w:r>
          </w:p>
        </w:tc>
      </w:tr>
      <w:tr w:rsidR="005D7AF1" w:rsidRPr="000E616F" w14:paraId="233FF1F6" w14:textId="77777777" w:rsidTr="003840C7">
        <w:tc>
          <w:tcPr>
            <w:tcW w:w="211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8B6B635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CONTINU-UM Continuity of care – User Measure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478F5C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F78D98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A3E303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ECD7B7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C07306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AD85F3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9C8C61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49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6648B1E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A39D62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5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7D9E20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CC1C99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15E860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248D04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Rose 2009, Fernandes 2020, Weaver 2017, Sweeney 2012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E69FDF1" w14:textId="1FC76690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966397">
              <w:rPr>
                <w:rFonts w:ascii="Times New Roman" w:hAnsi="Times New Roman" w:cs="Times New Roman"/>
                <w:color w:val="000000"/>
                <w:lang w:val="en-GB"/>
              </w:rPr>
              <w:t>Doubtful</w:t>
            </w:r>
          </w:p>
        </w:tc>
      </w:tr>
      <w:tr w:rsidR="005D7AF1" w:rsidRPr="000E616F" w14:paraId="72E3BA02" w14:textId="77777777" w:rsidTr="002E5234">
        <w:tc>
          <w:tcPr>
            <w:tcW w:w="2119" w:type="dxa"/>
            <w:tcBorders>
              <w:top w:val="nil"/>
              <w:bottom w:val="nil"/>
            </w:tcBorders>
            <w:vAlign w:val="bottom"/>
          </w:tcPr>
          <w:p w14:paraId="67323FA2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CPCI Components of Primary Care Index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bottom"/>
          </w:tcPr>
          <w:p w14:paraId="0DC01ED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bottom"/>
          </w:tcPr>
          <w:p w14:paraId="1E6B002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445" w:type="dxa"/>
            <w:tcBorders>
              <w:top w:val="nil"/>
              <w:bottom w:val="nil"/>
            </w:tcBorders>
            <w:vAlign w:val="bottom"/>
          </w:tcPr>
          <w:p w14:paraId="09F1DC4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vAlign w:val="bottom"/>
          </w:tcPr>
          <w:p w14:paraId="1E9BFF7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  <w:vAlign w:val="bottom"/>
          </w:tcPr>
          <w:p w14:paraId="61A414C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vAlign w:val="bottom"/>
          </w:tcPr>
          <w:p w14:paraId="6EBDF7F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vAlign w:val="bottom"/>
          </w:tcPr>
          <w:p w14:paraId="08DFEC7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  <w:vAlign w:val="bottom"/>
          </w:tcPr>
          <w:p w14:paraId="117EA02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336" w:type="dxa"/>
            <w:tcBorders>
              <w:top w:val="nil"/>
              <w:bottom w:val="nil"/>
            </w:tcBorders>
            <w:vAlign w:val="bottom"/>
          </w:tcPr>
          <w:p w14:paraId="41D3416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545" w:type="dxa"/>
            <w:tcBorders>
              <w:top w:val="nil"/>
              <w:bottom w:val="nil"/>
            </w:tcBorders>
            <w:vAlign w:val="bottom"/>
          </w:tcPr>
          <w:p w14:paraId="6081C81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bottom"/>
          </w:tcPr>
          <w:p w14:paraId="6DE5FDD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198" w:type="dxa"/>
            <w:tcBorders>
              <w:top w:val="nil"/>
              <w:bottom w:val="nil"/>
            </w:tcBorders>
            <w:vAlign w:val="bottom"/>
          </w:tcPr>
          <w:p w14:paraId="2B48C32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vAlign w:val="bottom"/>
          </w:tcPr>
          <w:p w14:paraId="21738E1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Quinn 2017</w:t>
            </w:r>
          </w:p>
        </w:tc>
        <w:tc>
          <w:tcPr>
            <w:tcW w:w="1528" w:type="dxa"/>
            <w:tcBorders>
              <w:top w:val="nil"/>
              <w:bottom w:val="nil"/>
            </w:tcBorders>
            <w:vAlign w:val="bottom"/>
          </w:tcPr>
          <w:p w14:paraId="691F5A9A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Inadequate</w:t>
            </w:r>
          </w:p>
        </w:tc>
      </w:tr>
      <w:tr w:rsidR="005D7AF1" w:rsidRPr="000E616F" w14:paraId="7D9D733B" w14:textId="77777777" w:rsidTr="003840C7">
        <w:tc>
          <w:tcPr>
            <w:tcW w:w="211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563C66E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CPCQ Client Perception of Continuity Questionnaire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FC02C6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A75097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6FA141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2E1B71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8397CB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0725B6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E28CCD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49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E463E5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7D1CC3E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5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6955B7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69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AE392A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77D7B5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226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3F08ED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McGuiness 2003, Quinn 2017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EA3D133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Inadequate</w:t>
            </w:r>
          </w:p>
        </w:tc>
      </w:tr>
      <w:tr w:rsidR="005D7AF1" w:rsidRPr="000E616F" w14:paraId="4D218721" w14:textId="77777777" w:rsidTr="002E5234">
        <w:tc>
          <w:tcPr>
            <w:tcW w:w="2119" w:type="dxa"/>
            <w:tcBorders>
              <w:top w:val="nil"/>
              <w:bottom w:val="nil"/>
            </w:tcBorders>
            <w:vAlign w:val="bottom"/>
          </w:tcPr>
          <w:p w14:paraId="1C5A993E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highlight w:val="yellow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CQI Consumer Quality Index (Continuum of Care)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bottom"/>
          </w:tcPr>
          <w:p w14:paraId="5AB5AE4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bottom"/>
          </w:tcPr>
          <w:p w14:paraId="06EB899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445" w:type="dxa"/>
            <w:tcBorders>
              <w:top w:val="nil"/>
              <w:bottom w:val="nil"/>
            </w:tcBorders>
            <w:vAlign w:val="bottom"/>
          </w:tcPr>
          <w:p w14:paraId="150A881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182" w:type="dxa"/>
            <w:tcBorders>
              <w:top w:val="nil"/>
              <w:bottom w:val="nil"/>
            </w:tcBorders>
            <w:vAlign w:val="bottom"/>
          </w:tcPr>
          <w:p w14:paraId="5013246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801" w:type="dxa"/>
            <w:tcBorders>
              <w:top w:val="nil"/>
              <w:bottom w:val="nil"/>
            </w:tcBorders>
            <w:vAlign w:val="bottom"/>
          </w:tcPr>
          <w:p w14:paraId="09688C0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vAlign w:val="bottom"/>
          </w:tcPr>
          <w:p w14:paraId="0AD02DF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vAlign w:val="bottom"/>
          </w:tcPr>
          <w:p w14:paraId="6F7F9B7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496" w:type="dxa"/>
            <w:tcBorders>
              <w:top w:val="nil"/>
              <w:bottom w:val="nil"/>
            </w:tcBorders>
            <w:vAlign w:val="bottom"/>
          </w:tcPr>
          <w:p w14:paraId="0D7C1C6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36" w:type="dxa"/>
            <w:tcBorders>
              <w:top w:val="nil"/>
              <w:bottom w:val="nil"/>
            </w:tcBorders>
            <w:vAlign w:val="bottom"/>
          </w:tcPr>
          <w:p w14:paraId="6D5AF5D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545" w:type="dxa"/>
            <w:tcBorders>
              <w:top w:val="nil"/>
              <w:bottom w:val="nil"/>
            </w:tcBorders>
            <w:vAlign w:val="bottom"/>
          </w:tcPr>
          <w:p w14:paraId="5595D8B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bottom"/>
          </w:tcPr>
          <w:p w14:paraId="70A8243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98" w:type="dxa"/>
            <w:tcBorders>
              <w:top w:val="nil"/>
              <w:bottom w:val="nil"/>
            </w:tcBorders>
            <w:vAlign w:val="bottom"/>
          </w:tcPr>
          <w:p w14:paraId="7D82719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vAlign w:val="bottom"/>
          </w:tcPr>
          <w:p w14:paraId="104C10B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Berendsen 2009, Willems 20013, Kollen 2011</w:t>
            </w:r>
          </w:p>
        </w:tc>
        <w:tc>
          <w:tcPr>
            <w:tcW w:w="1528" w:type="dxa"/>
            <w:tcBorders>
              <w:top w:val="nil"/>
              <w:bottom w:val="nil"/>
            </w:tcBorders>
            <w:vAlign w:val="bottom"/>
          </w:tcPr>
          <w:p w14:paraId="5129D6C8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Doubtful</w:t>
            </w:r>
          </w:p>
        </w:tc>
      </w:tr>
      <w:tr w:rsidR="005D7AF1" w:rsidRPr="000E616F" w14:paraId="779F8A4A" w14:textId="77777777" w:rsidTr="003840C7">
        <w:tc>
          <w:tcPr>
            <w:tcW w:w="211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A49D9FA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CTM Care Transition Measure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E3C0F4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1221CB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4B5364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6EF534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65A8CD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ADA059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91515C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8F18A6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558393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498912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C04932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10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68D214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F431EF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Acosta 2017, Bakshi 2012, Coleman 2005, Shadmi 2009, Mosallam 2014, Hod 2020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D072EE9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Inadequate</w:t>
            </w:r>
          </w:p>
        </w:tc>
      </w:tr>
      <w:tr w:rsidR="005D7AF1" w:rsidRPr="000E616F" w14:paraId="774001F1" w14:textId="77777777" w:rsidTr="002E5234">
        <w:tc>
          <w:tcPr>
            <w:tcW w:w="2119" w:type="dxa"/>
            <w:tcBorders>
              <w:top w:val="nil"/>
              <w:bottom w:val="nil"/>
            </w:tcBorders>
            <w:vAlign w:val="bottom"/>
          </w:tcPr>
          <w:p w14:paraId="3E893D6E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highlight w:val="yellow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DCCS Diabetes Continuity of Care Scale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bottom"/>
          </w:tcPr>
          <w:p w14:paraId="32068B3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bottom"/>
          </w:tcPr>
          <w:p w14:paraId="40187AA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445" w:type="dxa"/>
            <w:tcBorders>
              <w:top w:val="nil"/>
              <w:bottom w:val="nil"/>
            </w:tcBorders>
            <w:vAlign w:val="bottom"/>
          </w:tcPr>
          <w:p w14:paraId="06271EA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182" w:type="dxa"/>
            <w:tcBorders>
              <w:top w:val="nil"/>
              <w:bottom w:val="nil"/>
            </w:tcBorders>
            <w:vAlign w:val="bottom"/>
          </w:tcPr>
          <w:p w14:paraId="25D0DF4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801" w:type="dxa"/>
            <w:tcBorders>
              <w:top w:val="nil"/>
              <w:bottom w:val="nil"/>
            </w:tcBorders>
            <w:vAlign w:val="bottom"/>
          </w:tcPr>
          <w:p w14:paraId="5911F65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298" w:type="dxa"/>
            <w:tcBorders>
              <w:top w:val="nil"/>
              <w:bottom w:val="nil"/>
            </w:tcBorders>
            <w:vAlign w:val="bottom"/>
          </w:tcPr>
          <w:p w14:paraId="2123474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vAlign w:val="bottom"/>
          </w:tcPr>
          <w:p w14:paraId="617193E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8</w:t>
            </w:r>
          </w:p>
        </w:tc>
        <w:tc>
          <w:tcPr>
            <w:tcW w:w="1496" w:type="dxa"/>
            <w:tcBorders>
              <w:top w:val="nil"/>
              <w:bottom w:val="nil"/>
            </w:tcBorders>
            <w:vAlign w:val="bottom"/>
          </w:tcPr>
          <w:p w14:paraId="5D43F87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36" w:type="dxa"/>
            <w:tcBorders>
              <w:top w:val="nil"/>
              <w:bottom w:val="nil"/>
            </w:tcBorders>
            <w:vAlign w:val="bottom"/>
          </w:tcPr>
          <w:p w14:paraId="139F7DC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545" w:type="dxa"/>
            <w:tcBorders>
              <w:top w:val="nil"/>
              <w:bottom w:val="nil"/>
            </w:tcBorders>
            <w:vAlign w:val="bottom"/>
          </w:tcPr>
          <w:p w14:paraId="68A98DB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bottom"/>
          </w:tcPr>
          <w:p w14:paraId="4BAD9AF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198" w:type="dxa"/>
            <w:tcBorders>
              <w:top w:val="nil"/>
              <w:bottom w:val="nil"/>
            </w:tcBorders>
            <w:vAlign w:val="bottom"/>
          </w:tcPr>
          <w:p w14:paraId="5E1DC8A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2262" w:type="dxa"/>
            <w:tcBorders>
              <w:top w:val="nil"/>
              <w:bottom w:val="nil"/>
            </w:tcBorders>
            <w:vAlign w:val="bottom"/>
          </w:tcPr>
          <w:p w14:paraId="37A74B8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Dolovich 2004</w:t>
            </w:r>
          </w:p>
        </w:tc>
        <w:tc>
          <w:tcPr>
            <w:tcW w:w="1528" w:type="dxa"/>
            <w:tcBorders>
              <w:top w:val="nil"/>
              <w:bottom w:val="nil"/>
            </w:tcBorders>
            <w:vAlign w:val="bottom"/>
          </w:tcPr>
          <w:p w14:paraId="2808DE2C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Doubtful</w:t>
            </w:r>
          </w:p>
        </w:tc>
      </w:tr>
      <w:tr w:rsidR="005D7AF1" w:rsidRPr="000E616F" w14:paraId="7B6C0535" w14:textId="77777777" w:rsidTr="003840C7">
        <w:tc>
          <w:tcPr>
            <w:tcW w:w="211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D977116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ECC Experienced Continuity of Care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5DA409E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0EDCF5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E37B2DE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9D5B0F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5F2A92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9502AA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26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380978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74176C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57753C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5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DD5500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69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B6B335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A9D8FE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9A6A86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Gulliford 2006, Fillion 2012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9981BB7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Inadequate</w:t>
            </w:r>
          </w:p>
        </w:tc>
      </w:tr>
      <w:tr w:rsidR="005D7AF1" w:rsidRPr="000E616F" w14:paraId="32AE3AF4" w14:textId="77777777" w:rsidTr="002E5234">
        <w:tc>
          <w:tcPr>
            <w:tcW w:w="2119" w:type="dxa"/>
            <w:tcBorders>
              <w:top w:val="nil"/>
              <w:bottom w:val="nil"/>
            </w:tcBorders>
            <w:vAlign w:val="bottom"/>
          </w:tcPr>
          <w:p w14:paraId="7A10B843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HCCQ Heart Continuity of Care Questionnaire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bottom"/>
          </w:tcPr>
          <w:p w14:paraId="6E79E5D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bottom"/>
          </w:tcPr>
          <w:p w14:paraId="55733A8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45" w:type="dxa"/>
            <w:tcBorders>
              <w:top w:val="nil"/>
              <w:bottom w:val="nil"/>
            </w:tcBorders>
            <w:vAlign w:val="bottom"/>
          </w:tcPr>
          <w:p w14:paraId="409A1E2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182" w:type="dxa"/>
            <w:tcBorders>
              <w:top w:val="nil"/>
              <w:bottom w:val="nil"/>
            </w:tcBorders>
            <w:vAlign w:val="bottom"/>
          </w:tcPr>
          <w:p w14:paraId="738352F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  <w:vAlign w:val="bottom"/>
          </w:tcPr>
          <w:p w14:paraId="1013ED8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vAlign w:val="bottom"/>
          </w:tcPr>
          <w:p w14:paraId="678B6B3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vAlign w:val="bottom"/>
          </w:tcPr>
          <w:p w14:paraId="6A9D18C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96" w:type="dxa"/>
            <w:tcBorders>
              <w:top w:val="nil"/>
              <w:bottom w:val="nil"/>
            </w:tcBorders>
            <w:vAlign w:val="bottom"/>
          </w:tcPr>
          <w:p w14:paraId="27CBCD6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336" w:type="dxa"/>
            <w:tcBorders>
              <w:top w:val="nil"/>
              <w:bottom w:val="nil"/>
            </w:tcBorders>
            <w:vAlign w:val="bottom"/>
          </w:tcPr>
          <w:p w14:paraId="5092C23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545" w:type="dxa"/>
            <w:tcBorders>
              <w:top w:val="nil"/>
              <w:bottom w:val="nil"/>
            </w:tcBorders>
            <w:vAlign w:val="bottom"/>
          </w:tcPr>
          <w:p w14:paraId="2932098E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bottom"/>
          </w:tcPr>
          <w:p w14:paraId="7FA5684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13</w:t>
            </w:r>
          </w:p>
        </w:tc>
        <w:tc>
          <w:tcPr>
            <w:tcW w:w="1198" w:type="dxa"/>
            <w:tcBorders>
              <w:top w:val="nil"/>
              <w:bottom w:val="nil"/>
            </w:tcBorders>
            <w:vAlign w:val="bottom"/>
          </w:tcPr>
          <w:p w14:paraId="079F120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vAlign w:val="bottom"/>
          </w:tcPr>
          <w:p w14:paraId="7C83C8C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Hadjistavropoulos 2004, Hadjistavropoulos 2008, Kowalyk 2004, Valaker 2019, Riley 2007</w:t>
            </w:r>
          </w:p>
        </w:tc>
        <w:tc>
          <w:tcPr>
            <w:tcW w:w="1528" w:type="dxa"/>
            <w:tcBorders>
              <w:top w:val="nil"/>
              <w:bottom w:val="nil"/>
            </w:tcBorders>
            <w:vAlign w:val="bottom"/>
          </w:tcPr>
          <w:p w14:paraId="66BB18AB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Inadequate</w:t>
            </w:r>
          </w:p>
        </w:tc>
      </w:tr>
      <w:tr w:rsidR="005D7AF1" w:rsidRPr="000E616F" w14:paraId="483B5F01" w14:textId="77777777" w:rsidTr="003840C7">
        <w:tc>
          <w:tcPr>
            <w:tcW w:w="211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1186C85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NCQ Nijmegen continuity of care questionnaire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10807E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C23FDB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BCA06D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074460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7AF17F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3382D8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D36C3F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907EE2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0486D2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5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590CF0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69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F63398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CA2BEC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A7E47E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616F">
              <w:rPr>
                <w:rFonts w:ascii="Times New Roman" w:hAnsi="Times New Roman" w:cs="Times New Roman"/>
                <w:color w:val="000000"/>
              </w:rPr>
              <w:t>Cohen Castel 2018, Hetlevik 2017, Uijen 2012, Fernandes 2020, Weaver 2017, Hopstaken 2021, den Herder-van der Eerden 2018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999B180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Doubtful</w:t>
            </w:r>
          </w:p>
        </w:tc>
      </w:tr>
      <w:tr w:rsidR="005D7AF1" w:rsidRPr="000E616F" w14:paraId="6F6835BD" w14:textId="77777777" w:rsidTr="002E5234">
        <w:tc>
          <w:tcPr>
            <w:tcW w:w="2119" w:type="dxa"/>
            <w:tcBorders>
              <w:top w:val="nil"/>
              <w:bottom w:val="nil"/>
            </w:tcBorders>
            <w:vAlign w:val="bottom"/>
          </w:tcPr>
          <w:p w14:paraId="28B88B99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P3CEQ Person centred coordinated experience questionnaire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bottom"/>
          </w:tcPr>
          <w:p w14:paraId="4AD0251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bottom"/>
          </w:tcPr>
          <w:p w14:paraId="2E2B487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45" w:type="dxa"/>
            <w:tcBorders>
              <w:top w:val="nil"/>
              <w:bottom w:val="nil"/>
            </w:tcBorders>
            <w:vAlign w:val="bottom"/>
          </w:tcPr>
          <w:p w14:paraId="4D87825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182" w:type="dxa"/>
            <w:tcBorders>
              <w:top w:val="nil"/>
              <w:bottom w:val="nil"/>
            </w:tcBorders>
            <w:vAlign w:val="bottom"/>
          </w:tcPr>
          <w:p w14:paraId="629F917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  <w:vAlign w:val="bottom"/>
          </w:tcPr>
          <w:p w14:paraId="1E9CE1A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vAlign w:val="bottom"/>
          </w:tcPr>
          <w:p w14:paraId="038A29A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264" w:type="dxa"/>
            <w:tcBorders>
              <w:top w:val="nil"/>
              <w:bottom w:val="nil"/>
            </w:tcBorders>
            <w:vAlign w:val="bottom"/>
          </w:tcPr>
          <w:p w14:paraId="666BA40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  <w:vAlign w:val="bottom"/>
          </w:tcPr>
          <w:p w14:paraId="4A81B17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336" w:type="dxa"/>
            <w:tcBorders>
              <w:top w:val="nil"/>
              <w:bottom w:val="nil"/>
            </w:tcBorders>
            <w:vAlign w:val="bottom"/>
          </w:tcPr>
          <w:p w14:paraId="6C82BA4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545" w:type="dxa"/>
            <w:tcBorders>
              <w:top w:val="nil"/>
              <w:bottom w:val="nil"/>
            </w:tcBorders>
            <w:vAlign w:val="bottom"/>
          </w:tcPr>
          <w:p w14:paraId="6E3267D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bottom"/>
          </w:tcPr>
          <w:p w14:paraId="1EC6F97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198" w:type="dxa"/>
            <w:tcBorders>
              <w:top w:val="nil"/>
              <w:bottom w:val="nil"/>
            </w:tcBorders>
            <w:vAlign w:val="bottom"/>
          </w:tcPr>
          <w:p w14:paraId="525D8AB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vAlign w:val="bottom"/>
          </w:tcPr>
          <w:p w14:paraId="699FA70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Lloyd 2019, Sugavanam 2018</w:t>
            </w:r>
          </w:p>
        </w:tc>
        <w:tc>
          <w:tcPr>
            <w:tcW w:w="1528" w:type="dxa"/>
            <w:tcBorders>
              <w:top w:val="nil"/>
              <w:bottom w:val="nil"/>
            </w:tcBorders>
            <w:vAlign w:val="bottom"/>
          </w:tcPr>
          <w:p w14:paraId="2CD7D737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Adequate</w:t>
            </w:r>
          </w:p>
        </w:tc>
      </w:tr>
      <w:tr w:rsidR="005D7AF1" w:rsidRPr="000E616F" w14:paraId="5F258449" w14:textId="77777777" w:rsidTr="003840C7">
        <w:tc>
          <w:tcPr>
            <w:tcW w:w="211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BE28EEC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lastRenderedPageBreak/>
              <w:t>PACIC Patient Assessment of Chronic Illness Care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D919F9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6A3617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4DF836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DC1BAF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C2EBC2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7F4C19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26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3B48CA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084129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5C93E3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46468E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69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B19EE4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CD679F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B11318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Drewes 2012, Glasgow 2005, Berbee 2009, Fernandes 2020, Quinn 2017, Cramm 2013, Carryer 2014, Bower 2018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DA6B2C8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Inadequate</w:t>
            </w:r>
          </w:p>
        </w:tc>
      </w:tr>
      <w:tr w:rsidR="005D7AF1" w:rsidRPr="000E616F" w14:paraId="52BF056C" w14:textId="77777777" w:rsidTr="002E5234">
        <w:tc>
          <w:tcPr>
            <w:tcW w:w="2119" w:type="dxa"/>
            <w:tcBorders>
              <w:top w:val="nil"/>
              <w:bottom w:val="nil"/>
            </w:tcBorders>
            <w:vAlign w:val="bottom"/>
          </w:tcPr>
          <w:p w14:paraId="3D50D85C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PCAS The Primary Care Assessment Survey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bottom"/>
          </w:tcPr>
          <w:p w14:paraId="6189143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bottom"/>
          </w:tcPr>
          <w:p w14:paraId="62D9772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45" w:type="dxa"/>
            <w:tcBorders>
              <w:top w:val="nil"/>
              <w:bottom w:val="nil"/>
            </w:tcBorders>
            <w:vAlign w:val="bottom"/>
          </w:tcPr>
          <w:p w14:paraId="4BBD89C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182" w:type="dxa"/>
            <w:tcBorders>
              <w:top w:val="nil"/>
              <w:bottom w:val="nil"/>
            </w:tcBorders>
            <w:vAlign w:val="bottom"/>
          </w:tcPr>
          <w:p w14:paraId="415AA8D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  <w:vAlign w:val="bottom"/>
          </w:tcPr>
          <w:p w14:paraId="4E0C70B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vAlign w:val="bottom"/>
          </w:tcPr>
          <w:p w14:paraId="4E4CD4D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264" w:type="dxa"/>
            <w:tcBorders>
              <w:top w:val="nil"/>
              <w:bottom w:val="nil"/>
            </w:tcBorders>
            <w:vAlign w:val="bottom"/>
          </w:tcPr>
          <w:p w14:paraId="748D934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  <w:vAlign w:val="bottom"/>
          </w:tcPr>
          <w:p w14:paraId="7657982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336" w:type="dxa"/>
            <w:tcBorders>
              <w:top w:val="nil"/>
              <w:bottom w:val="nil"/>
            </w:tcBorders>
            <w:vAlign w:val="bottom"/>
          </w:tcPr>
          <w:p w14:paraId="197410B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545" w:type="dxa"/>
            <w:tcBorders>
              <w:top w:val="nil"/>
              <w:bottom w:val="nil"/>
            </w:tcBorders>
            <w:vAlign w:val="bottom"/>
          </w:tcPr>
          <w:p w14:paraId="14B2178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bottom"/>
          </w:tcPr>
          <w:p w14:paraId="0F3D176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11</w:t>
            </w:r>
          </w:p>
        </w:tc>
        <w:tc>
          <w:tcPr>
            <w:tcW w:w="1198" w:type="dxa"/>
            <w:tcBorders>
              <w:top w:val="nil"/>
              <w:bottom w:val="nil"/>
            </w:tcBorders>
            <w:vAlign w:val="bottom"/>
          </w:tcPr>
          <w:p w14:paraId="35B73B8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vAlign w:val="bottom"/>
          </w:tcPr>
          <w:p w14:paraId="5172BE7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Quinn 2017, O'Malley 2009</w:t>
            </w:r>
          </w:p>
        </w:tc>
        <w:tc>
          <w:tcPr>
            <w:tcW w:w="1528" w:type="dxa"/>
            <w:tcBorders>
              <w:top w:val="nil"/>
              <w:bottom w:val="nil"/>
            </w:tcBorders>
            <w:vAlign w:val="bottom"/>
          </w:tcPr>
          <w:p w14:paraId="3A00FB8C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Inadequate</w:t>
            </w:r>
          </w:p>
        </w:tc>
      </w:tr>
      <w:tr w:rsidR="005D7AF1" w:rsidRPr="000E616F" w14:paraId="24CB1263" w14:textId="77777777" w:rsidTr="003840C7">
        <w:tc>
          <w:tcPr>
            <w:tcW w:w="211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53FD8BB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PCCQ Patient Continuity of Care Questionnaire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D6A1EE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B305AC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916B26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6C6B88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0A1620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A3AFB6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3CBECE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49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14CEFC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F9686A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5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CB939D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69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8EDDB2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7FC66E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226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90413DE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Fillion 2012, Quinn 2017, Sisler 2012, Carreiro 2016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C7AF9B9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Inadequate</w:t>
            </w:r>
          </w:p>
        </w:tc>
      </w:tr>
      <w:tr w:rsidR="005D7AF1" w:rsidRPr="000E616F" w14:paraId="32869562" w14:textId="77777777" w:rsidTr="002E5234">
        <w:tc>
          <w:tcPr>
            <w:tcW w:w="2119" w:type="dxa"/>
            <w:tcBorders>
              <w:top w:val="nil"/>
              <w:bottom w:val="nil"/>
            </w:tcBorders>
            <w:vAlign w:val="bottom"/>
          </w:tcPr>
          <w:p w14:paraId="1D8D3430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PEICS Patient Experience of Integrated Care Scale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bottom"/>
          </w:tcPr>
          <w:p w14:paraId="4D17CF3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bottom"/>
          </w:tcPr>
          <w:p w14:paraId="2574FFD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45" w:type="dxa"/>
            <w:tcBorders>
              <w:top w:val="nil"/>
              <w:bottom w:val="nil"/>
            </w:tcBorders>
            <w:vAlign w:val="bottom"/>
          </w:tcPr>
          <w:p w14:paraId="1486CD6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182" w:type="dxa"/>
            <w:tcBorders>
              <w:top w:val="nil"/>
              <w:bottom w:val="nil"/>
            </w:tcBorders>
            <w:vAlign w:val="bottom"/>
          </w:tcPr>
          <w:p w14:paraId="1283493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  <w:vAlign w:val="bottom"/>
          </w:tcPr>
          <w:p w14:paraId="519C26B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vAlign w:val="bottom"/>
          </w:tcPr>
          <w:p w14:paraId="6E86C1C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vAlign w:val="bottom"/>
          </w:tcPr>
          <w:p w14:paraId="42C4D412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496" w:type="dxa"/>
            <w:tcBorders>
              <w:top w:val="nil"/>
              <w:bottom w:val="nil"/>
            </w:tcBorders>
            <w:vAlign w:val="bottom"/>
          </w:tcPr>
          <w:p w14:paraId="14089C3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36" w:type="dxa"/>
            <w:tcBorders>
              <w:top w:val="nil"/>
              <w:bottom w:val="nil"/>
            </w:tcBorders>
            <w:vAlign w:val="bottom"/>
          </w:tcPr>
          <w:p w14:paraId="295DD67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45" w:type="dxa"/>
            <w:tcBorders>
              <w:top w:val="nil"/>
              <w:bottom w:val="nil"/>
            </w:tcBorders>
            <w:vAlign w:val="bottom"/>
          </w:tcPr>
          <w:p w14:paraId="0FF9E0C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  <w:vAlign w:val="bottom"/>
          </w:tcPr>
          <w:p w14:paraId="0030558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198" w:type="dxa"/>
            <w:tcBorders>
              <w:top w:val="nil"/>
              <w:bottom w:val="nil"/>
            </w:tcBorders>
            <w:vAlign w:val="bottom"/>
          </w:tcPr>
          <w:p w14:paraId="594E213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2262" w:type="dxa"/>
            <w:tcBorders>
              <w:top w:val="nil"/>
              <w:bottom w:val="nil"/>
            </w:tcBorders>
            <w:vAlign w:val="bottom"/>
          </w:tcPr>
          <w:p w14:paraId="255C260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Joober 2018</w:t>
            </w:r>
          </w:p>
        </w:tc>
        <w:tc>
          <w:tcPr>
            <w:tcW w:w="1528" w:type="dxa"/>
            <w:tcBorders>
              <w:top w:val="nil"/>
              <w:bottom w:val="nil"/>
            </w:tcBorders>
            <w:vAlign w:val="bottom"/>
          </w:tcPr>
          <w:p w14:paraId="5B2B9882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Adequate</w:t>
            </w:r>
          </w:p>
        </w:tc>
      </w:tr>
      <w:tr w:rsidR="005D7AF1" w:rsidRPr="000E616F" w14:paraId="1DE587EA" w14:textId="77777777" w:rsidTr="003840C7">
        <w:tc>
          <w:tcPr>
            <w:tcW w:w="211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01DA87D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PPCMC Patient Percieved Continuity from Multiple Clinicians</w:t>
            </w:r>
          </w:p>
        </w:tc>
        <w:tc>
          <w:tcPr>
            <w:tcW w:w="177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CD5C61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01D0B7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54CB28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A6A0C8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16EAFC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E5ACD0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C79181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C9DA57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6E2676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5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6A4CC4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69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B3DAA0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7B1315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3BF1CD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Haggerty 2012, Quinn 2017, Tremblay 2017, Breton 2012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35C33C1A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Doubtful</w:t>
            </w:r>
          </w:p>
        </w:tc>
      </w:tr>
      <w:tr w:rsidR="005D7AF1" w:rsidRPr="000E616F" w14:paraId="2EE18B89" w14:textId="77777777" w:rsidTr="002E5234">
        <w:tc>
          <w:tcPr>
            <w:tcW w:w="2119" w:type="dxa"/>
            <w:tcBorders>
              <w:top w:val="nil"/>
              <w:bottom w:val="nil"/>
            </w:tcBorders>
            <w:vAlign w:val="bottom"/>
          </w:tcPr>
          <w:p w14:paraId="099BE704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PPIC Patient Perceptions of Integrated Care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bottom"/>
          </w:tcPr>
          <w:p w14:paraId="3CFA311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bottom"/>
          </w:tcPr>
          <w:p w14:paraId="653AE2E6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  <w:vAlign w:val="bottom"/>
          </w:tcPr>
          <w:p w14:paraId="1F1F88B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182" w:type="dxa"/>
            <w:tcBorders>
              <w:top w:val="nil"/>
              <w:bottom w:val="nil"/>
            </w:tcBorders>
            <w:vAlign w:val="bottom"/>
          </w:tcPr>
          <w:p w14:paraId="17CBC0C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801" w:type="dxa"/>
            <w:tcBorders>
              <w:top w:val="nil"/>
              <w:bottom w:val="nil"/>
            </w:tcBorders>
            <w:vAlign w:val="bottom"/>
          </w:tcPr>
          <w:p w14:paraId="7EB02B6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vAlign w:val="bottom"/>
          </w:tcPr>
          <w:p w14:paraId="477EBBD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vAlign w:val="bottom"/>
          </w:tcPr>
          <w:p w14:paraId="63F9908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496" w:type="dxa"/>
            <w:tcBorders>
              <w:top w:val="nil"/>
              <w:bottom w:val="nil"/>
            </w:tcBorders>
            <w:vAlign w:val="bottom"/>
          </w:tcPr>
          <w:p w14:paraId="78299DC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336" w:type="dxa"/>
            <w:tcBorders>
              <w:top w:val="nil"/>
              <w:bottom w:val="nil"/>
            </w:tcBorders>
            <w:vAlign w:val="bottom"/>
          </w:tcPr>
          <w:p w14:paraId="6F977B6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545" w:type="dxa"/>
            <w:tcBorders>
              <w:top w:val="nil"/>
              <w:bottom w:val="nil"/>
            </w:tcBorders>
            <w:vAlign w:val="bottom"/>
          </w:tcPr>
          <w:p w14:paraId="216594E7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bottom"/>
          </w:tcPr>
          <w:p w14:paraId="510E393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198" w:type="dxa"/>
            <w:tcBorders>
              <w:top w:val="nil"/>
              <w:bottom w:val="nil"/>
            </w:tcBorders>
            <w:vAlign w:val="bottom"/>
          </w:tcPr>
          <w:p w14:paraId="29B5978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vAlign w:val="bottom"/>
          </w:tcPr>
          <w:p w14:paraId="3683A1E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Kiang 2013, Mohr 2019, Fryer 2016, Benzer 2019</w:t>
            </w:r>
          </w:p>
        </w:tc>
        <w:tc>
          <w:tcPr>
            <w:tcW w:w="1528" w:type="dxa"/>
            <w:tcBorders>
              <w:top w:val="nil"/>
              <w:bottom w:val="nil"/>
            </w:tcBorders>
            <w:vAlign w:val="bottom"/>
          </w:tcPr>
          <w:p w14:paraId="72E74F7E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Doubtful</w:t>
            </w:r>
          </w:p>
        </w:tc>
      </w:tr>
      <w:tr w:rsidR="005D7AF1" w:rsidRPr="000E616F" w14:paraId="58E0D956" w14:textId="77777777" w:rsidTr="003840C7">
        <w:tc>
          <w:tcPr>
            <w:tcW w:w="211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DB2DCDD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 xml:space="preserve">SHEP </w:t>
            </w:r>
            <w:r w:rsidRPr="004C6D99">
              <w:rPr>
                <w:rFonts w:ascii="Times New Roman" w:hAnsi="Times New Roman" w:cs="Times New Roman"/>
                <w:color w:val="212121"/>
                <w:shd w:val="clear" w:color="auto" w:fill="F2F2F2" w:themeFill="background1" w:themeFillShade="F2"/>
                <w:lang w:val="en-GB"/>
              </w:rPr>
              <w:t>Survey of Healthcare Experiences of Patients</w:t>
            </w:r>
          </w:p>
        </w:tc>
        <w:tc>
          <w:tcPr>
            <w:tcW w:w="177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1CFD8C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DBD64D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5D1D49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DD5417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93DCE2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31A3FB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26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10AA33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1023A7F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42EF1FF9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4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6AAA5AC0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24685E41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2F4A9A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F1DFEF5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Black 2021, Fernandes 2020, Quinn 2017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0CCABDD2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Inadequate</w:t>
            </w:r>
          </w:p>
        </w:tc>
      </w:tr>
      <w:tr w:rsidR="005D7AF1" w:rsidRPr="000E616F" w14:paraId="4EBA76A3" w14:textId="77777777" w:rsidTr="002E5234">
        <w:tc>
          <w:tcPr>
            <w:tcW w:w="2119" w:type="dxa"/>
            <w:tcBorders>
              <w:top w:val="nil"/>
            </w:tcBorders>
            <w:vAlign w:val="bottom"/>
          </w:tcPr>
          <w:p w14:paraId="44FE8CFC" w14:textId="77777777" w:rsidR="005D7AF1" w:rsidRPr="000E616F" w:rsidRDefault="005D7AF1" w:rsidP="005D7AF1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VANCOSS Veteran Affairs National Outpatient Customer Satisfaction</w:t>
            </w:r>
          </w:p>
        </w:tc>
        <w:tc>
          <w:tcPr>
            <w:tcW w:w="1774" w:type="dxa"/>
            <w:tcBorders>
              <w:top w:val="nil"/>
            </w:tcBorders>
            <w:vAlign w:val="bottom"/>
          </w:tcPr>
          <w:p w14:paraId="74738A18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1418" w:type="dxa"/>
            <w:tcBorders>
              <w:top w:val="nil"/>
            </w:tcBorders>
            <w:vAlign w:val="bottom"/>
          </w:tcPr>
          <w:p w14:paraId="0F859FC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45" w:type="dxa"/>
            <w:tcBorders>
              <w:top w:val="nil"/>
            </w:tcBorders>
            <w:vAlign w:val="bottom"/>
          </w:tcPr>
          <w:p w14:paraId="1450304D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182" w:type="dxa"/>
            <w:tcBorders>
              <w:top w:val="nil"/>
            </w:tcBorders>
            <w:vAlign w:val="bottom"/>
          </w:tcPr>
          <w:p w14:paraId="6359AF9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801" w:type="dxa"/>
            <w:tcBorders>
              <w:top w:val="nil"/>
            </w:tcBorders>
            <w:vAlign w:val="bottom"/>
          </w:tcPr>
          <w:p w14:paraId="02B342B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8" w:type="dxa"/>
            <w:tcBorders>
              <w:top w:val="nil"/>
            </w:tcBorders>
            <w:vAlign w:val="bottom"/>
          </w:tcPr>
          <w:p w14:paraId="3212A1F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264" w:type="dxa"/>
            <w:tcBorders>
              <w:top w:val="nil"/>
            </w:tcBorders>
            <w:vAlign w:val="bottom"/>
          </w:tcPr>
          <w:p w14:paraId="0FDD8CBB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1496" w:type="dxa"/>
            <w:tcBorders>
              <w:top w:val="nil"/>
            </w:tcBorders>
            <w:vAlign w:val="bottom"/>
          </w:tcPr>
          <w:p w14:paraId="416CAB4A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36" w:type="dxa"/>
            <w:tcBorders>
              <w:top w:val="nil"/>
            </w:tcBorders>
            <w:vAlign w:val="bottom"/>
          </w:tcPr>
          <w:p w14:paraId="00F4090F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45" w:type="dxa"/>
            <w:tcBorders>
              <w:top w:val="nil"/>
            </w:tcBorders>
            <w:vAlign w:val="bottom"/>
          </w:tcPr>
          <w:p w14:paraId="2D0C2964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695" w:type="dxa"/>
            <w:tcBorders>
              <w:top w:val="nil"/>
            </w:tcBorders>
            <w:vAlign w:val="bottom"/>
          </w:tcPr>
          <w:p w14:paraId="469CA9D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8</w:t>
            </w:r>
          </w:p>
        </w:tc>
        <w:tc>
          <w:tcPr>
            <w:tcW w:w="1198" w:type="dxa"/>
            <w:tcBorders>
              <w:top w:val="nil"/>
            </w:tcBorders>
            <w:vAlign w:val="bottom"/>
          </w:tcPr>
          <w:p w14:paraId="032D3BAC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2262" w:type="dxa"/>
            <w:tcBorders>
              <w:top w:val="nil"/>
            </w:tcBorders>
            <w:vAlign w:val="bottom"/>
          </w:tcPr>
          <w:p w14:paraId="7956F013" w14:textId="77777777" w:rsidR="005D7AF1" w:rsidRPr="000E616F" w:rsidRDefault="005D7AF1" w:rsidP="005D7AF1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Black 2021, Quinn 2017</w:t>
            </w:r>
          </w:p>
        </w:tc>
        <w:tc>
          <w:tcPr>
            <w:tcW w:w="1528" w:type="dxa"/>
            <w:tcBorders>
              <w:top w:val="nil"/>
            </w:tcBorders>
            <w:vAlign w:val="bottom"/>
          </w:tcPr>
          <w:p w14:paraId="17450AC2" w14:textId="77777777" w:rsidR="005D7AF1" w:rsidRPr="000E616F" w:rsidRDefault="005D7AF1" w:rsidP="002E5234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E616F">
              <w:rPr>
                <w:rFonts w:ascii="Times New Roman" w:hAnsi="Times New Roman" w:cs="Times New Roman"/>
                <w:color w:val="000000"/>
                <w:lang w:val="en-GB"/>
              </w:rPr>
              <w:t>Inadequate</w:t>
            </w:r>
          </w:p>
        </w:tc>
      </w:tr>
    </w:tbl>
    <w:p w14:paraId="206CF275" w14:textId="77777777" w:rsidR="005D7AF1" w:rsidRPr="000E616F" w:rsidRDefault="005D7AF1" w:rsidP="00F477D6">
      <w:pPr>
        <w:spacing w:after="160" w:line="480" w:lineRule="auto"/>
        <w:contextualSpacing/>
        <w:rPr>
          <w:rFonts w:ascii="Times New Roman" w:hAnsi="Times New Roman" w:cs="Times New Roman"/>
          <w:lang w:val="en-GB"/>
        </w:rPr>
        <w:sectPr w:rsidR="005D7AF1" w:rsidRPr="000E616F" w:rsidSect="00E13915">
          <w:pgSz w:w="23811" w:h="16838" w:orient="landscape" w:code="8"/>
          <w:pgMar w:top="720" w:right="720" w:bottom="720" w:left="720" w:header="708" w:footer="708" w:gutter="0"/>
          <w:cols w:space="708"/>
          <w:docGrid w:linePitch="360"/>
        </w:sectPr>
      </w:pPr>
    </w:p>
    <w:p w14:paraId="6390492E" w14:textId="1EC776DB" w:rsidR="0032028F" w:rsidRPr="000E616F" w:rsidRDefault="0032028F" w:rsidP="0032028F">
      <w:pPr>
        <w:spacing w:after="160" w:line="480" w:lineRule="auto"/>
        <w:contextualSpacing/>
        <w:rPr>
          <w:rFonts w:ascii="Times New Roman" w:hAnsi="Times New Roman" w:cs="Times New Roman"/>
          <w:lang w:val="en-GB"/>
        </w:rPr>
      </w:pPr>
    </w:p>
    <w:p w14:paraId="1BCE6F02" w14:textId="0D9A8BE0" w:rsidR="00A20BBF" w:rsidRPr="000E616F" w:rsidRDefault="00A20BBF" w:rsidP="00E53315">
      <w:pPr>
        <w:spacing w:after="160" w:line="252" w:lineRule="auto"/>
        <w:contextualSpacing/>
        <w:rPr>
          <w:rFonts w:ascii="Times New Roman" w:hAnsi="Times New Roman" w:cs="Times New Roman"/>
          <w:lang w:val="en-GB"/>
        </w:rPr>
      </w:pPr>
    </w:p>
    <w:sectPr w:rsidR="00A20BBF" w:rsidRPr="000E616F" w:rsidSect="00E1391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E5E87" w14:textId="77777777" w:rsidR="00E13915" w:rsidRDefault="00E13915" w:rsidP="007A1C24">
      <w:r>
        <w:separator/>
      </w:r>
    </w:p>
  </w:endnote>
  <w:endnote w:type="continuationSeparator" w:id="0">
    <w:p w14:paraId="63BE4B9A" w14:textId="77777777" w:rsidR="00E13915" w:rsidRDefault="00E13915" w:rsidP="007A1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2505D" w14:textId="77777777" w:rsidR="00E13915" w:rsidRDefault="00E13915" w:rsidP="007A1C24">
      <w:r>
        <w:separator/>
      </w:r>
    </w:p>
  </w:footnote>
  <w:footnote w:type="continuationSeparator" w:id="0">
    <w:p w14:paraId="4608B36B" w14:textId="77777777" w:rsidR="00E13915" w:rsidRDefault="00E13915" w:rsidP="007A1C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7464417"/>
      <w:docPartObj>
        <w:docPartGallery w:val="Page Numbers (Top of Page)"/>
        <w:docPartUnique/>
      </w:docPartObj>
    </w:sdtPr>
    <w:sdtContent>
      <w:p w14:paraId="0D2C7A79" w14:textId="65C5F646" w:rsidR="001A4FA3" w:rsidRDefault="001A4FA3">
        <w:pPr>
          <w:pStyle w:val="Head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2947">
          <w:rPr>
            <w:noProof/>
          </w:rPr>
          <w:t>2</w:t>
        </w:r>
        <w:r>
          <w:fldChar w:fldCharType="end"/>
        </w:r>
      </w:p>
    </w:sdtContent>
  </w:sdt>
  <w:p w14:paraId="0568D096" w14:textId="77777777" w:rsidR="001A4FA3" w:rsidRDefault="001A4F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051C3"/>
    <w:multiLevelType w:val="hybridMultilevel"/>
    <w:tmpl w:val="6C740706"/>
    <w:lvl w:ilvl="0" w:tplc="B30673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F2F0C"/>
    <w:multiLevelType w:val="hybridMultilevel"/>
    <w:tmpl w:val="33D6F520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229FF"/>
    <w:multiLevelType w:val="multilevel"/>
    <w:tmpl w:val="0B064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" w15:restartNumberingAfterBreak="0">
    <w:nsid w:val="12C82D73"/>
    <w:multiLevelType w:val="multilevel"/>
    <w:tmpl w:val="0B064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 w15:restartNumberingAfterBreak="0">
    <w:nsid w:val="1681780A"/>
    <w:multiLevelType w:val="hybridMultilevel"/>
    <w:tmpl w:val="6788661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54399"/>
    <w:multiLevelType w:val="hybridMultilevel"/>
    <w:tmpl w:val="203E62F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6A29D6"/>
    <w:multiLevelType w:val="hybridMultilevel"/>
    <w:tmpl w:val="7938F640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4C465E"/>
    <w:multiLevelType w:val="hybridMultilevel"/>
    <w:tmpl w:val="6BE2365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EA2F83"/>
    <w:multiLevelType w:val="hybridMultilevel"/>
    <w:tmpl w:val="FF9E0AB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BF7188"/>
    <w:multiLevelType w:val="hybridMultilevel"/>
    <w:tmpl w:val="592C519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96148E"/>
    <w:multiLevelType w:val="multilevel"/>
    <w:tmpl w:val="9F0E71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1" w15:restartNumberingAfterBreak="0">
    <w:nsid w:val="55196582"/>
    <w:multiLevelType w:val="multilevel"/>
    <w:tmpl w:val="EC0E8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CBC33E6"/>
    <w:multiLevelType w:val="hybridMultilevel"/>
    <w:tmpl w:val="7ED66568"/>
    <w:lvl w:ilvl="0" w:tplc="0406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74982985"/>
    <w:multiLevelType w:val="multilevel"/>
    <w:tmpl w:val="EC0E8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AC36333"/>
    <w:multiLevelType w:val="multilevel"/>
    <w:tmpl w:val="EC0E8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BC17E4D"/>
    <w:multiLevelType w:val="hybridMultilevel"/>
    <w:tmpl w:val="2800E33C"/>
    <w:lvl w:ilvl="0" w:tplc="1422D25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E25198"/>
    <w:multiLevelType w:val="hybridMultilevel"/>
    <w:tmpl w:val="CC3CBFDC"/>
    <w:lvl w:ilvl="0" w:tplc="0406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41486187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54270869">
    <w:abstractNumId w:val="6"/>
  </w:num>
  <w:num w:numId="3" w16cid:durableId="1440560967">
    <w:abstractNumId w:val="2"/>
  </w:num>
  <w:num w:numId="4" w16cid:durableId="340359355">
    <w:abstractNumId w:val="14"/>
  </w:num>
  <w:num w:numId="5" w16cid:durableId="2088842062">
    <w:abstractNumId w:val="13"/>
  </w:num>
  <w:num w:numId="6" w16cid:durableId="786583910">
    <w:abstractNumId w:val="10"/>
  </w:num>
  <w:num w:numId="7" w16cid:durableId="110520660">
    <w:abstractNumId w:val="5"/>
  </w:num>
  <w:num w:numId="8" w16cid:durableId="1383600302">
    <w:abstractNumId w:val="16"/>
  </w:num>
  <w:num w:numId="9" w16cid:durableId="940726302">
    <w:abstractNumId w:val="12"/>
  </w:num>
  <w:num w:numId="10" w16cid:durableId="365177707">
    <w:abstractNumId w:val="9"/>
  </w:num>
  <w:num w:numId="11" w16cid:durableId="994995743">
    <w:abstractNumId w:val="8"/>
  </w:num>
  <w:num w:numId="12" w16cid:durableId="1153333882">
    <w:abstractNumId w:val="4"/>
  </w:num>
  <w:num w:numId="13" w16cid:durableId="428282224">
    <w:abstractNumId w:val="7"/>
  </w:num>
  <w:num w:numId="14" w16cid:durableId="2123911447">
    <w:abstractNumId w:val="3"/>
  </w:num>
  <w:num w:numId="15" w16cid:durableId="365763763">
    <w:abstractNumId w:val="0"/>
  </w:num>
  <w:num w:numId="16" w16cid:durableId="116611579">
    <w:abstractNumId w:val="15"/>
  </w:num>
  <w:num w:numId="17" w16cid:durableId="13444350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a-DK" w:vendorID="64" w:dllVersion="0" w:nlCheck="1" w:checkStyle="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rWwMDYzMjC3tDCzMLZQ0lEKTi0uzszPAykwrAUAXlA5JywAAAA="/>
  </w:docVars>
  <w:rsids>
    <w:rsidRoot w:val="00947FE4"/>
    <w:rsid w:val="00011DBC"/>
    <w:rsid w:val="00016B9F"/>
    <w:rsid w:val="00017D78"/>
    <w:rsid w:val="00020D33"/>
    <w:rsid w:val="00025E9C"/>
    <w:rsid w:val="00025EFB"/>
    <w:rsid w:val="000274C1"/>
    <w:rsid w:val="00045E6B"/>
    <w:rsid w:val="000501DC"/>
    <w:rsid w:val="00050F71"/>
    <w:rsid w:val="00061505"/>
    <w:rsid w:val="000647E0"/>
    <w:rsid w:val="00071921"/>
    <w:rsid w:val="00072BB0"/>
    <w:rsid w:val="00074041"/>
    <w:rsid w:val="000916E0"/>
    <w:rsid w:val="0009450D"/>
    <w:rsid w:val="000A225F"/>
    <w:rsid w:val="000A3C8D"/>
    <w:rsid w:val="000A72BF"/>
    <w:rsid w:val="000B6551"/>
    <w:rsid w:val="000C1334"/>
    <w:rsid w:val="000D5916"/>
    <w:rsid w:val="000E2481"/>
    <w:rsid w:val="000E616F"/>
    <w:rsid w:val="000F0DE4"/>
    <w:rsid w:val="000F1804"/>
    <w:rsid w:val="000F1F5A"/>
    <w:rsid w:val="000F228C"/>
    <w:rsid w:val="000F6004"/>
    <w:rsid w:val="000F635A"/>
    <w:rsid w:val="00101782"/>
    <w:rsid w:val="001048A7"/>
    <w:rsid w:val="00107BE8"/>
    <w:rsid w:val="00112B53"/>
    <w:rsid w:val="00115223"/>
    <w:rsid w:val="001160EB"/>
    <w:rsid w:val="001267D4"/>
    <w:rsid w:val="00136E18"/>
    <w:rsid w:val="0014208E"/>
    <w:rsid w:val="001539A8"/>
    <w:rsid w:val="001628CE"/>
    <w:rsid w:val="00162AD7"/>
    <w:rsid w:val="00171F11"/>
    <w:rsid w:val="00176AA1"/>
    <w:rsid w:val="00185077"/>
    <w:rsid w:val="00186E30"/>
    <w:rsid w:val="001900ED"/>
    <w:rsid w:val="00190193"/>
    <w:rsid w:val="001954EB"/>
    <w:rsid w:val="00196006"/>
    <w:rsid w:val="00196486"/>
    <w:rsid w:val="00197808"/>
    <w:rsid w:val="001A295B"/>
    <w:rsid w:val="001A4FA3"/>
    <w:rsid w:val="001A73F6"/>
    <w:rsid w:val="001B21F8"/>
    <w:rsid w:val="001B2B3C"/>
    <w:rsid w:val="001B4B5B"/>
    <w:rsid w:val="001B59F4"/>
    <w:rsid w:val="001D194A"/>
    <w:rsid w:val="001D2581"/>
    <w:rsid w:val="001D3156"/>
    <w:rsid w:val="001E11B0"/>
    <w:rsid w:val="001E74FF"/>
    <w:rsid w:val="00205407"/>
    <w:rsid w:val="00211E45"/>
    <w:rsid w:val="00213AD9"/>
    <w:rsid w:val="00220F84"/>
    <w:rsid w:val="00223CFF"/>
    <w:rsid w:val="00225E8E"/>
    <w:rsid w:val="00230597"/>
    <w:rsid w:val="00232C7C"/>
    <w:rsid w:val="002335C3"/>
    <w:rsid w:val="00234588"/>
    <w:rsid w:val="00250960"/>
    <w:rsid w:val="00271528"/>
    <w:rsid w:val="00280573"/>
    <w:rsid w:val="00283F77"/>
    <w:rsid w:val="002A2711"/>
    <w:rsid w:val="002A5A3C"/>
    <w:rsid w:val="002A6891"/>
    <w:rsid w:val="002A7CDD"/>
    <w:rsid w:val="002B008D"/>
    <w:rsid w:val="002B1D5D"/>
    <w:rsid w:val="002B24F7"/>
    <w:rsid w:val="002B36CC"/>
    <w:rsid w:val="002B3C9D"/>
    <w:rsid w:val="002B4CDA"/>
    <w:rsid w:val="002C270E"/>
    <w:rsid w:val="002C4253"/>
    <w:rsid w:val="002C7FA2"/>
    <w:rsid w:val="002D039E"/>
    <w:rsid w:val="002D2947"/>
    <w:rsid w:val="002E289B"/>
    <w:rsid w:val="002E2B67"/>
    <w:rsid w:val="002E3000"/>
    <w:rsid w:val="002E3656"/>
    <w:rsid w:val="002E432A"/>
    <w:rsid w:val="002E5234"/>
    <w:rsid w:val="002F6A37"/>
    <w:rsid w:val="00301204"/>
    <w:rsid w:val="00304603"/>
    <w:rsid w:val="00304D50"/>
    <w:rsid w:val="00311DAF"/>
    <w:rsid w:val="00314A58"/>
    <w:rsid w:val="00315B0E"/>
    <w:rsid w:val="00315BF1"/>
    <w:rsid w:val="003168E1"/>
    <w:rsid w:val="00317951"/>
    <w:rsid w:val="0032028F"/>
    <w:rsid w:val="00324C19"/>
    <w:rsid w:val="0034091B"/>
    <w:rsid w:val="00341F87"/>
    <w:rsid w:val="003433C2"/>
    <w:rsid w:val="003527D8"/>
    <w:rsid w:val="003528E2"/>
    <w:rsid w:val="00353AFC"/>
    <w:rsid w:val="00353C61"/>
    <w:rsid w:val="00355FEB"/>
    <w:rsid w:val="00364FDB"/>
    <w:rsid w:val="0036515F"/>
    <w:rsid w:val="003654B8"/>
    <w:rsid w:val="00370661"/>
    <w:rsid w:val="003714CA"/>
    <w:rsid w:val="00373B18"/>
    <w:rsid w:val="00376B6D"/>
    <w:rsid w:val="0038179D"/>
    <w:rsid w:val="00383ADE"/>
    <w:rsid w:val="00383DA5"/>
    <w:rsid w:val="003840C7"/>
    <w:rsid w:val="00384162"/>
    <w:rsid w:val="00387045"/>
    <w:rsid w:val="003918D7"/>
    <w:rsid w:val="00396CD0"/>
    <w:rsid w:val="003A1C62"/>
    <w:rsid w:val="003A2D18"/>
    <w:rsid w:val="003A3BD2"/>
    <w:rsid w:val="003A5398"/>
    <w:rsid w:val="003A62A6"/>
    <w:rsid w:val="003B2413"/>
    <w:rsid w:val="003B2927"/>
    <w:rsid w:val="003B3ECA"/>
    <w:rsid w:val="003B4231"/>
    <w:rsid w:val="003C2171"/>
    <w:rsid w:val="003C3B19"/>
    <w:rsid w:val="003C4C26"/>
    <w:rsid w:val="003D09BD"/>
    <w:rsid w:val="003D1FA4"/>
    <w:rsid w:val="003D6B85"/>
    <w:rsid w:val="003E7E03"/>
    <w:rsid w:val="003F4CF3"/>
    <w:rsid w:val="00401724"/>
    <w:rsid w:val="004058EC"/>
    <w:rsid w:val="00410A57"/>
    <w:rsid w:val="0041217F"/>
    <w:rsid w:val="00417FB7"/>
    <w:rsid w:val="0042315A"/>
    <w:rsid w:val="004243F8"/>
    <w:rsid w:val="0042661A"/>
    <w:rsid w:val="00427D0C"/>
    <w:rsid w:val="00435DA8"/>
    <w:rsid w:val="004375F9"/>
    <w:rsid w:val="00441107"/>
    <w:rsid w:val="00441503"/>
    <w:rsid w:val="00442E5A"/>
    <w:rsid w:val="0044335B"/>
    <w:rsid w:val="00445D9B"/>
    <w:rsid w:val="004518D9"/>
    <w:rsid w:val="00456F33"/>
    <w:rsid w:val="0046335F"/>
    <w:rsid w:val="00473567"/>
    <w:rsid w:val="004755B6"/>
    <w:rsid w:val="00477260"/>
    <w:rsid w:val="0048572B"/>
    <w:rsid w:val="00490893"/>
    <w:rsid w:val="0049174A"/>
    <w:rsid w:val="00493974"/>
    <w:rsid w:val="00495638"/>
    <w:rsid w:val="004962EC"/>
    <w:rsid w:val="00497827"/>
    <w:rsid w:val="004A0794"/>
    <w:rsid w:val="004A12F2"/>
    <w:rsid w:val="004A24C2"/>
    <w:rsid w:val="004A4325"/>
    <w:rsid w:val="004A595F"/>
    <w:rsid w:val="004B68A0"/>
    <w:rsid w:val="004C04E7"/>
    <w:rsid w:val="004C0662"/>
    <w:rsid w:val="004C5D64"/>
    <w:rsid w:val="004C6D99"/>
    <w:rsid w:val="004D4EB5"/>
    <w:rsid w:val="004E3EA1"/>
    <w:rsid w:val="004E6489"/>
    <w:rsid w:val="004F1B9A"/>
    <w:rsid w:val="004F4DA5"/>
    <w:rsid w:val="004F588C"/>
    <w:rsid w:val="004F7A67"/>
    <w:rsid w:val="00501977"/>
    <w:rsid w:val="005023E5"/>
    <w:rsid w:val="005133CA"/>
    <w:rsid w:val="00514A39"/>
    <w:rsid w:val="00516969"/>
    <w:rsid w:val="00520766"/>
    <w:rsid w:val="00523584"/>
    <w:rsid w:val="00526575"/>
    <w:rsid w:val="005314D4"/>
    <w:rsid w:val="00532771"/>
    <w:rsid w:val="005343AA"/>
    <w:rsid w:val="0053674B"/>
    <w:rsid w:val="00537D4E"/>
    <w:rsid w:val="005407B5"/>
    <w:rsid w:val="005451A6"/>
    <w:rsid w:val="00545909"/>
    <w:rsid w:val="005501E0"/>
    <w:rsid w:val="00550755"/>
    <w:rsid w:val="00551D23"/>
    <w:rsid w:val="00552045"/>
    <w:rsid w:val="00554E23"/>
    <w:rsid w:val="00560962"/>
    <w:rsid w:val="00562FBD"/>
    <w:rsid w:val="00563776"/>
    <w:rsid w:val="005648C2"/>
    <w:rsid w:val="0057001F"/>
    <w:rsid w:val="00570540"/>
    <w:rsid w:val="00571516"/>
    <w:rsid w:val="005778D7"/>
    <w:rsid w:val="00583A34"/>
    <w:rsid w:val="00593654"/>
    <w:rsid w:val="00595473"/>
    <w:rsid w:val="005958B0"/>
    <w:rsid w:val="005A01D9"/>
    <w:rsid w:val="005A0CF1"/>
    <w:rsid w:val="005B0217"/>
    <w:rsid w:val="005B33FC"/>
    <w:rsid w:val="005B5664"/>
    <w:rsid w:val="005C136A"/>
    <w:rsid w:val="005C143F"/>
    <w:rsid w:val="005C5CC1"/>
    <w:rsid w:val="005C7704"/>
    <w:rsid w:val="005D4481"/>
    <w:rsid w:val="005D6EF0"/>
    <w:rsid w:val="005D7AF1"/>
    <w:rsid w:val="005D7E63"/>
    <w:rsid w:val="005E025F"/>
    <w:rsid w:val="005E21B5"/>
    <w:rsid w:val="005E2AC1"/>
    <w:rsid w:val="005E437B"/>
    <w:rsid w:val="005E5626"/>
    <w:rsid w:val="005F088F"/>
    <w:rsid w:val="005F70B7"/>
    <w:rsid w:val="005F7521"/>
    <w:rsid w:val="006005D5"/>
    <w:rsid w:val="00600C96"/>
    <w:rsid w:val="00602670"/>
    <w:rsid w:val="0060356B"/>
    <w:rsid w:val="00603FB9"/>
    <w:rsid w:val="00610AF2"/>
    <w:rsid w:val="0061364E"/>
    <w:rsid w:val="00613DA6"/>
    <w:rsid w:val="00615F8F"/>
    <w:rsid w:val="006202B5"/>
    <w:rsid w:val="00624D70"/>
    <w:rsid w:val="006274F4"/>
    <w:rsid w:val="00632F4F"/>
    <w:rsid w:val="0063367A"/>
    <w:rsid w:val="00643477"/>
    <w:rsid w:val="00644FC0"/>
    <w:rsid w:val="00646044"/>
    <w:rsid w:val="00655D11"/>
    <w:rsid w:val="006571FE"/>
    <w:rsid w:val="00657709"/>
    <w:rsid w:val="0066033C"/>
    <w:rsid w:val="0066382B"/>
    <w:rsid w:val="00674263"/>
    <w:rsid w:val="00675FED"/>
    <w:rsid w:val="00677E99"/>
    <w:rsid w:val="00681569"/>
    <w:rsid w:val="00683DD5"/>
    <w:rsid w:val="00685D37"/>
    <w:rsid w:val="00686515"/>
    <w:rsid w:val="006942B8"/>
    <w:rsid w:val="00695200"/>
    <w:rsid w:val="006A15B6"/>
    <w:rsid w:val="006A35F5"/>
    <w:rsid w:val="006A37A1"/>
    <w:rsid w:val="006A4CF1"/>
    <w:rsid w:val="006B0FBA"/>
    <w:rsid w:val="006B331D"/>
    <w:rsid w:val="006B4801"/>
    <w:rsid w:val="006B564B"/>
    <w:rsid w:val="006B5EDF"/>
    <w:rsid w:val="006B65EE"/>
    <w:rsid w:val="006C4A3C"/>
    <w:rsid w:val="006C57F3"/>
    <w:rsid w:val="006C6C66"/>
    <w:rsid w:val="006C7C2C"/>
    <w:rsid w:val="006D1D4F"/>
    <w:rsid w:val="006D5886"/>
    <w:rsid w:val="006E0539"/>
    <w:rsid w:val="006E1C85"/>
    <w:rsid w:val="006E25C2"/>
    <w:rsid w:val="006F2429"/>
    <w:rsid w:val="006F251B"/>
    <w:rsid w:val="006F5EFC"/>
    <w:rsid w:val="00702EBB"/>
    <w:rsid w:val="0070312F"/>
    <w:rsid w:val="0071599E"/>
    <w:rsid w:val="00723229"/>
    <w:rsid w:val="007256F8"/>
    <w:rsid w:val="007274E0"/>
    <w:rsid w:val="00730811"/>
    <w:rsid w:val="00736B97"/>
    <w:rsid w:val="00740BFC"/>
    <w:rsid w:val="007539A0"/>
    <w:rsid w:val="00753E00"/>
    <w:rsid w:val="007576C3"/>
    <w:rsid w:val="0077144F"/>
    <w:rsid w:val="007767B6"/>
    <w:rsid w:val="00777C2C"/>
    <w:rsid w:val="00780B9F"/>
    <w:rsid w:val="00783422"/>
    <w:rsid w:val="007838E8"/>
    <w:rsid w:val="007A1C24"/>
    <w:rsid w:val="007A2505"/>
    <w:rsid w:val="007B46E0"/>
    <w:rsid w:val="007C2E43"/>
    <w:rsid w:val="007C3199"/>
    <w:rsid w:val="007C64F7"/>
    <w:rsid w:val="007C7182"/>
    <w:rsid w:val="007C7A79"/>
    <w:rsid w:val="007D0C15"/>
    <w:rsid w:val="007D6813"/>
    <w:rsid w:val="007E1516"/>
    <w:rsid w:val="007E18D2"/>
    <w:rsid w:val="007F38D5"/>
    <w:rsid w:val="007F482F"/>
    <w:rsid w:val="007F697B"/>
    <w:rsid w:val="008017A0"/>
    <w:rsid w:val="00803145"/>
    <w:rsid w:val="00804A00"/>
    <w:rsid w:val="00805D8D"/>
    <w:rsid w:val="00812016"/>
    <w:rsid w:val="00812A8D"/>
    <w:rsid w:val="008162DB"/>
    <w:rsid w:val="0082640C"/>
    <w:rsid w:val="00827945"/>
    <w:rsid w:val="00827986"/>
    <w:rsid w:val="008309E8"/>
    <w:rsid w:val="00831162"/>
    <w:rsid w:val="00834D7E"/>
    <w:rsid w:val="00840A64"/>
    <w:rsid w:val="0084462E"/>
    <w:rsid w:val="00845CB3"/>
    <w:rsid w:val="00850FED"/>
    <w:rsid w:val="008517A4"/>
    <w:rsid w:val="008519B2"/>
    <w:rsid w:val="0086489B"/>
    <w:rsid w:val="00866B78"/>
    <w:rsid w:val="00870E19"/>
    <w:rsid w:val="008715C0"/>
    <w:rsid w:val="0087334B"/>
    <w:rsid w:val="008735C4"/>
    <w:rsid w:val="00873B21"/>
    <w:rsid w:val="00882F23"/>
    <w:rsid w:val="008836BA"/>
    <w:rsid w:val="00883BAE"/>
    <w:rsid w:val="008910E0"/>
    <w:rsid w:val="00892231"/>
    <w:rsid w:val="0089427E"/>
    <w:rsid w:val="008974B6"/>
    <w:rsid w:val="00897D35"/>
    <w:rsid w:val="008A2040"/>
    <w:rsid w:val="008A432D"/>
    <w:rsid w:val="008A7C6D"/>
    <w:rsid w:val="008B1422"/>
    <w:rsid w:val="008B613A"/>
    <w:rsid w:val="008C0D17"/>
    <w:rsid w:val="008C0E40"/>
    <w:rsid w:val="008C1FA6"/>
    <w:rsid w:val="008D6837"/>
    <w:rsid w:val="008D707E"/>
    <w:rsid w:val="008E1B66"/>
    <w:rsid w:val="008E1DF9"/>
    <w:rsid w:val="008E7133"/>
    <w:rsid w:val="00900177"/>
    <w:rsid w:val="00903DB3"/>
    <w:rsid w:val="009068FA"/>
    <w:rsid w:val="00911489"/>
    <w:rsid w:val="009118B8"/>
    <w:rsid w:val="009128E4"/>
    <w:rsid w:val="00913AB1"/>
    <w:rsid w:val="00921519"/>
    <w:rsid w:val="00922C7C"/>
    <w:rsid w:val="00922FF2"/>
    <w:rsid w:val="00923915"/>
    <w:rsid w:val="00923A4C"/>
    <w:rsid w:val="00925E3C"/>
    <w:rsid w:val="009273D4"/>
    <w:rsid w:val="00936465"/>
    <w:rsid w:val="0093753A"/>
    <w:rsid w:val="0093789B"/>
    <w:rsid w:val="0094095B"/>
    <w:rsid w:val="00940A2C"/>
    <w:rsid w:val="00941CB3"/>
    <w:rsid w:val="00943778"/>
    <w:rsid w:val="00944280"/>
    <w:rsid w:val="009462AE"/>
    <w:rsid w:val="00946F6E"/>
    <w:rsid w:val="00947FE4"/>
    <w:rsid w:val="0095358E"/>
    <w:rsid w:val="0095508C"/>
    <w:rsid w:val="00960C1C"/>
    <w:rsid w:val="00963695"/>
    <w:rsid w:val="0096395B"/>
    <w:rsid w:val="00966397"/>
    <w:rsid w:val="00966708"/>
    <w:rsid w:val="009677DF"/>
    <w:rsid w:val="009727CF"/>
    <w:rsid w:val="00974B07"/>
    <w:rsid w:val="009761ED"/>
    <w:rsid w:val="00976B7D"/>
    <w:rsid w:val="009808F2"/>
    <w:rsid w:val="00980DAC"/>
    <w:rsid w:val="00980DBD"/>
    <w:rsid w:val="00981D08"/>
    <w:rsid w:val="0098230A"/>
    <w:rsid w:val="009826ED"/>
    <w:rsid w:val="00987480"/>
    <w:rsid w:val="009934E6"/>
    <w:rsid w:val="00993B34"/>
    <w:rsid w:val="009A093A"/>
    <w:rsid w:val="009A2949"/>
    <w:rsid w:val="009A3C5A"/>
    <w:rsid w:val="009A4B31"/>
    <w:rsid w:val="009A76AF"/>
    <w:rsid w:val="009B1673"/>
    <w:rsid w:val="009C017C"/>
    <w:rsid w:val="009C2A20"/>
    <w:rsid w:val="009C6892"/>
    <w:rsid w:val="009D56E2"/>
    <w:rsid w:val="009E3D06"/>
    <w:rsid w:val="009F3F6F"/>
    <w:rsid w:val="009F4009"/>
    <w:rsid w:val="009F6641"/>
    <w:rsid w:val="00A00DE3"/>
    <w:rsid w:val="00A03725"/>
    <w:rsid w:val="00A040AD"/>
    <w:rsid w:val="00A062DD"/>
    <w:rsid w:val="00A07022"/>
    <w:rsid w:val="00A10185"/>
    <w:rsid w:val="00A12E04"/>
    <w:rsid w:val="00A135E6"/>
    <w:rsid w:val="00A17ABC"/>
    <w:rsid w:val="00A20BBF"/>
    <w:rsid w:val="00A40FC4"/>
    <w:rsid w:val="00A42428"/>
    <w:rsid w:val="00A43B3B"/>
    <w:rsid w:val="00A4430B"/>
    <w:rsid w:val="00A451B2"/>
    <w:rsid w:val="00A557BB"/>
    <w:rsid w:val="00A5646D"/>
    <w:rsid w:val="00A566D2"/>
    <w:rsid w:val="00A57175"/>
    <w:rsid w:val="00A672B1"/>
    <w:rsid w:val="00A679EA"/>
    <w:rsid w:val="00A71079"/>
    <w:rsid w:val="00A82172"/>
    <w:rsid w:val="00A837A7"/>
    <w:rsid w:val="00A8555B"/>
    <w:rsid w:val="00A869F6"/>
    <w:rsid w:val="00A87BC5"/>
    <w:rsid w:val="00A87CBD"/>
    <w:rsid w:val="00A93C5E"/>
    <w:rsid w:val="00A940D5"/>
    <w:rsid w:val="00A95DBA"/>
    <w:rsid w:val="00AA1686"/>
    <w:rsid w:val="00AA2769"/>
    <w:rsid w:val="00AA4862"/>
    <w:rsid w:val="00AA767D"/>
    <w:rsid w:val="00AB092F"/>
    <w:rsid w:val="00AB18F6"/>
    <w:rsid w:val="00AB67F8"/>
    <w:rsid w:val="00AB7DD1"/>
    <w:rsid w:val="00AC00E8"/>
    <w:rsid w:val="00AC00EE"/>
    <w:rsid w:val="00AD1998"/>
    <w:rsid w:val="00AD2627"/>
    <w:rsid w:val="00AD3A75"/>
    <w:rsid w:val="00AD7394"/>
    <w:rsid w:val="00AD79C0"/>
    <w:rsid w:val="00AD7BC2"/>
    <w:rsid w:val="00AD7FC6"/>
    <w:rsid w:val="00AE1275"/>
    <w:rsid w:val="00AE3057"/>
    <w:rsid w:val="00AF022C"/>
    <w:rsid w:val="00AF38FA"/>
    <w:rsid w:val="00AF5748"/>
    <w:rsid w:val="00B121F8"/>
    <w:rsid w:val="00B14755"/>
    <w:rsid w:val="00B15A44"/>
    <w:rsid w:val="00B24838"/>
    <w:rsid w:val="00B2588A"/>
    <w:rsid w:val="00B27AD7"/>
    <w:rsid w:val="00B31116"/>
    <w:rsid w:val="00B31F5B"/>
    <w:rsid w:val="00B32418"/>
    <w:rsid w:val="00B34B5E"/>
    <w:rsid w:val="00B35345"/>
    <w:rsid w:val="00B44C65"/>
    <w:rsid w:val="00B47910"/>
    <w:rsid w:val="00B50AEA"/>
    <w:rsid w:val="00B53315"/>
    <w:rsid w:val="00B60970"/>
    <w:rsid w:val="00B67752"/>
    <w:rsid w:val="00B80B70"/>
    <w:rsid w:val="00B81F65"/>
    <w:rsid w:val="00B82AD5"/>
    <w:rsid w:val="00B8623B"/>
    <w:rsid w:val="00B87D71"/>
    <w:rsid w:val="00B9300E"/>
    <w:rsid w:val="00B93C5C"/>
    <w:rsid w:val="00B94E04"/>
    <w:rsid w:val="00BA01ED"/>
    <w:rsid w:val="00BA484C"/>
    <w:rsid w:val="00BA6C05"/>
    <w:rsid w:val="00BA6F8D"/>
    <w:rsid w:val="00BB30AF"/>
    <w:rsid w:val="00BB64C0"/>
    <w:rsid w:val="00BC00BE"/>
    <w:rsid w:val="00BC24F1"/>
    <w:rsid w:val="00BD6FCB"/>
    <w:rsid w:val="00BE0281"/>
    <w:rsid w:val="00BE2A02"/>
    <w:rsid w:val="00BE4D14"/>
    <w:rsid w:val="00BE61FF"/>
    <w:rsid w:val="00BE6A46"/>
    <w:rsid w:val="00BF1EA1"/>
    <w:rsid w:val="00BF60FE"/>
    <w:rsid w:val="00BF705F"/>
    <w:rsid w:val="00BF77B0"/>
    <w:rsid w:val="00C02B4C"/>
    <w:rsid w:val="00C047D1"/>
    <w:rsid w:val="00C0777D"/>
    <w:rsid w:val="00C23AE9"/>
    <w:rsid w:val="00C23FE9"/>
    <w:rsid w:val="00C24C26"/>
    <w:rsid w:val="00C5142F"/>
    <w:rsid w:val="00C57996"/>
    <w:rsid w:val="00C65426"/>
    <w:rsid w:val="00C657F0"/>
    <w:rsid w:val="00C765AB"/>
    <w:rsid w:val="00C766F4"/>
    <w:rsid w:val="00C77CDB"/>
    <w:rsid w:val="00C86B4A"/>
    <w:rsid w:val="00C87199"/>
    <w:rsid w:val="00C8776F"/>
    <w:rsid w:val="00C93BFB"/>
    <w:rsid w:val="00C96190"/>
    <w:rsid w:val="00CA05BD"/>
    <w:rsid w:val="00CA4F99"/>
    <w:rsid w:val="00CB14C7"/>
    <w:rsid w:val="00CB1675"/>
    <w:rsid w:val="00CB57E0"/>
    <w:rsid w:val="00CC3051"/>
    <w:rsid w:val="00CC374F"/>
    <w:rsid w:val="00CD02EE"/>
    <w:rsid w:val="00CD1E61"/>
    <w:rsid w:val="00CE0C57"/>
    <w:rsid w:val="00CE167D"/>
    <w:rsid w:val="00CE3EA8"/>
    <w:rsid w:val="00CE649A"/>
    <w:rsid w:val="00D00ED1"/>
    <w:rsid w:val="00D05A23"/>
    <w:rsid w:val="00D065AE"/>
    <w:rsid w:val="00D20AC2"/>
    <w:rsid w:val="00D220B3"/>
    <w:rsid w:val="00D226DB"/>
    <w:rsid w:val="00D231CB"/>
    <w:rsid w:val="00D23336"/>
    <w:rsid w:val="00D27217"/>
    <w:rsid w:val="00D34A7B"/>
    <w:rsid w:val="00D34F2A"/>
    <w:rsid w:val="00D43412"/>
    <w:rsid w:val="00D44F7A"/>
    <w:rsid w:val="00D45A56"/>
    <w:rsid w:val="00D534B5"/>
    <w:rsid w:val="00D546B6"/>
    <w:rsid w:val="00D5711B"/>
    <w:rsid w:val="00D62E0B"/>
    <w:rsid w:val="00D641A1"/>
    <w:rsid w:val="00D67299"/>
    <w:rsid w:val="00D70FFF"/>
    <w:rsid w:val="00D72F82"/>
    <w:rsid w:val="00D7481E"/>
    <w:rsid w:val="00D75553"/>
    <w:rsid w:val="00D76C39"/>
    <w:rsid w:val="00D8419A"/>
    <w:rsid w:val="00D87FFE"/>
    <w:rsid w:val="00D93FDF"/>
    <w:rsid w:val="00D955D4"/>
    <w:rsid w:val="00D97DC9"/>
    <w:rsid w:val="00DA2AAC"/>
    <w:rsid w:val="00DA6675"/>
    <w:rsid w:val="00DB10EA"/>
    <w:rsid w:val="00DC32AB"/>
    <w:rsid w:val="00DC59B5"/>
    <w:rsid w:val="00DC62AF"/>
    <w:rsid w:val="00DD2D2D"/>
    <w:rsid w:val="00DD4A31"/>
    <w:rsid w:val="00DE02AB"/>
    <w:rsid w:val="00DE15E5"/>
    <w:rsid w:val="00DE3B08"/>
    <w:rsid w:val="00DE5485"/>
    <w:rsid w:val="00DE5B0C"/>
    <w:rsid w:val="00DE6A9C"/>
    <w:rsid w:val="00DE77C4"/>
    <w:rsid w:val="00DF35B4"/>
    <w:rsid w:val="00E02C91"/>
    <w:rsid w:val="00E02CAB"/>
    <w:rsid w:val="00E044DE"/>
    <w:rsid w:val="00E05B1F"/>
    <w:rsid w:val="00E06357"/>
    <w:rsid w:val="00E13915"/>
    <w:rsid w:val="00E1766B"/>
    <w:rsid w:val="00E355E0"/>
    <w:rsid w:val="00E43285"/>
    <w:rsid w:val="00E461E3"/>
    <w:rsid w:val="00E50EE1"/>
    <w:rsid w:val="00E53315"/>
    <w:rsid w:val="00E53748"/>
    <w:rsid w:val="00E55E44"/>
    <w:rsid w:val="00E572FB"/>
    <w:rsid w:val="00E60189"/>
    <w:rsid w:val="00E60307"/>
    <w:rsid w:val="00E60440"/>
    <w:rsid w:val="00E615E9"/>
    <w:rsid w:val="00E6169E"/>
    <w:rsid w:val="00E731CA"/>
    <w:rsid w:val="00E73311"/>
    <w:rsid w:val="00E75B44"/>
    <w:rsid w:val="00E8197A"/>
    <w:rsid w:val="00E930A2"/>
    <w:rsid w:val="00E96812"/>
    <w:rsid w:val="00EA4F7D"/>
    <w:rsid w:val="00EC6F55"/>
    <w:rsid w:val="00ED016F"/>
    <w:rsid w:val="00ED5FD2"/>
    <w:rsid w:val="00ED6D69"/>
    <w:rsid w:val="00EE2AA4"/>
    <w:rsid w:val="00EF032E"/>
    <w:rsid w:val="00EF54C6"/>
    <w:rsid w:val="00EF570B"/>
    <w:rsid w:val="00F020B6"/>
    <w:rsid w:val="00F0670E"/>
    <w:rsid w:val="00F06C24"/>
    <w:rsid w:val="00F07BD3"/>
    <w:rsid w:val="00F10052"/>
    <w:rsid w:val="00F10574"/>
    <w:rsid w:val="00F2069A"/>
    <w:rsid w:val="00F2326E"/>
    <w:rsid w:val="00F25800"/>
    <w:rsid w:val="00F30368"/>
    <w:rsid w:val="00F3068D"/>
    <w:rsid w:val="00F30D2A"/>
    <w:rsid w:val="00F4096F"/>
    <w:rsid w:val="00F42BC7"/>
    <w:rsid w:val="00F477D6"/>
    <w:rsid w:val="00F63C59"/>
    <w:rsid w:val="00F67A16"/>
    <w:rsid w:val="00F70853"/>
    <w:rsid w:val="00F774D6"/>
    <w:rsid w:val="00F8370B"/>
    <w:rsid w:val="00F83CBB"/>
    <w:rsid w:val="00F8628B"/>
    <w:rsid w:val="00F90F00"/>
    <w:rsid w:val="00F914F2"/>
    <w:rsid w:val="00FA66EE"/>
    <w:rsid w:val="00FB0017"/>
    <w:rsid w:val="00FB2D80"/>
    <w:rsid w:val="00FC01E4"/>
    <w:rsid w:val="00FC4C47"/>
    <w:rsid w:val="00FC76A9"/>
    <w:rsid w:val="00FE053B"/>
    <w:rsid w:val="00FE46A3"/>
    <w:rsid w:val="00FF13EB"/>
    <w:rsid w:val="00FF196E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7A69E"/>
  <w15:chartTrackingRefBased/>
  <w15:docId w15:val="{B2C3AD22-0C31-46DA-BDBD-33908CF1C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022C"/>
    <w:pPr>
      <w:spacing w:after="0" w:line="240" w:lineRule="auto"/>
    </w:pPr>
    <w:rPr>
      <w:rFonts w:ascii="Calibri" w:hAnsi="Calibri" w:cs="Calibri"/>
      <w:lang w:eastAsia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382B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382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382B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900177"/>
    <w:pPr>
      <w:tabs>
        <w:tab w:val="left" w:pos="624"/>
      </w:tabs>
      <w:spacing w:after="240"/>
      <w:ind w:left="624" w:hanging="624"/>
    </w:pPr>
  </w:style>
  <w:style w:type="paragraph" w:styleId="ListParagraph">
    <w:name w:val="List Paragraph"/>
    <w:basedOn w:val="Normal"/>
    <w:uiPriority w:val="34"/>
    <w:qFormat/>
    <w:rsid w:val="00803145"/>
    <w:pPr>
      <w:ind w:left="720"/>
      <w:contextualSpacing/>
    </w:pPr>
  </w:style>
  <w:style w:type="table" w:styleId="TableGrid">
    <w:name w:val="Table Grid"/>
    <w:basedOn w:val="TableNormal"/>
    <w:uiPriority w:val="39"/>
    <w:rsid w:val="00870E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70E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70E19"/>
    <w:pPr>
      <w:spacing w:after="160"/>
    </w:pPr>
    <w:rPr>
      <w:rFonts w:ascii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0E1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0E1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E19"/>
    <w:rPr>
      <w:rFonts w:ascii="Segoe UI" w:hAnsi="Segoe UI" w:cs="Segoe UI"/>
      <w:sz w:val="18"/>
      <w:szCs w:val="18"/>
      <w:lang w:eastAsia="da-D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7C2C"/>
    <w:pPr>
      <w:spacing w:after="0"/>
    </w:pPr>
    <w:rPr>
      <w:rFonts w:ascii="Calibri" w:hAnsi="Calibri" w:cs="Calibri"/>
      <w:b/>
      <w:bCs/>
      <w:lang w:eastAsia="da-DK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7C2C"/>
    <w:rPr>
      <w:rFonts w:ascii="Calibri" w:hAnsi="Calibri" w:cs="Calibri"/>
      <w:b/>
      <w:bCs/>
      <w:sz w:val="20"/>
      <w:szCs w:val="20"/>
      <w:lang w:eastAsia="da-DK"/>
    </w:rPr>
  </w:style>
  <w:style w:type="character" w:styleId="Hyperlink">
    <w:name w:val="Hyperlink"/>
    <w:basedOn w:val="DefaultParagraphFont"/>
    <w:uiPriority w:val="99"/>
    <w:unhideWhenUsed/>
    <w:rsid w:val="006D5886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6382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638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6382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A1C24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1C24"/>
    <w:rPr>
      <w:rFonts w:ascii="Calibri" w:hAnsi="Calibri" w:cs="Calibri"/>
      <w:lang w:eastAsia="da-DK"/>
    </w:rPr>
  </w:style>
  <w:style w:type="paragraph" w:styleId="Footer">
    <w:name w:val="footer"/>
    <w:basedOn w:val="Normal"/>
    <w:link w:val="FooterChar"/>
    <w:uiPriority w:val="99"/>
    <w:unhideWhenUsed/>
    <w:rsid w:val="007A1C24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1C24"/>
    <w:rPr>
      <w:rFonts w:ascii="Calibri" w:hAnsi="Calibri" w:cs="Calibri"/>
      <w:lang w:eastAsia="da-DK"/>
    </w:rPr>
  </w:style>
  <w:style w:type="character" w:styleId="FollowedHyperlink">
    <w:name w:val="FollowedHyperlink"/>
    <w:basedOn w:val="DefaultParagraphFont"/>
    <w:uiPriority w:val="99"/>
    <w:semiHidden/>
    <w:unhideWhenUsed/>
    <w:rsid w:val="002C7FA2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B47910"/>
  </w:style>
  <w:style w:type="paragraph" w:styleId="Revision">
    <w:name w:val="Revision"/>
    <w:hidden/>
    <w:uiPriority w:val="99"/>
    <w:semiHidden/>
    <w:rsid w:val="006E0539"/>
    <w:pPr>
      <w:spacing w:after="0" w:line="240" w:lineRule="auto"/>
    </w:pPr>
    <w:rPr>
      <w:rFonts w:ascii="Calibri" w:hAnsi="Calibri" w:cs="Calibri"/>
      <w:lang w:eastAsia="da-DK"/>
    </w:rPr>
  </w:style>
  <w:style w:type="character" w:customStyle="1" w:styleId="Ulstomtale1">
    <w:name w:val="Uløst omtale1"/>
    <w:basedOn w:val="DefaultParagraphFont"/>
    <w:uiPriority w:val="99"/>
    <w:semiHidden/>
    <w:unhideWhenUsed/>
    <w:rsid w:val="00BA6F8D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A95DB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39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67E33-3410-4EBF-90CA-8696B5688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Syddanmark</Company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Sisse Walløe</dc:creator>
  <cp:keywords/>
  <dc:description/>
  <cp:lastModifiedBy>Poonam Mutha</cp:lastModifiedBy>
  <cp:revision>7</cp:revision>
  <dcterms:created xsi:type="dcterms:W3CDTF">2024-04-03T09:10:00Z</dcterms:created>
  <dcterms:modified xsi:type="dcterms:W3CDTF">2024-04-12T07:45:00Z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id="TkSG3AEu"/&gt;&lt;style id="http://www.zotero.org/styles/sage-vancouver" hasBibliography="1" bibliographyStyleHasBeenSet="1"/&gt;&lt;prefs&gt;&lt;pref name="fieldType" value="Field"/&gt;&lt;pref name="automaticJournalAb</vt:lpwstr>
  </property>
  <property fmtid="{D5CDD505-2E9C-101B-9397-08002B2CF9AE}" pid="3" name="ZOTERO_PREF_2">
    <vt:lpwstr>breviations" value="true"/&gt;&lt;/prefs&gt;&lt;/data&gt;</vt:lpwstr>
  </property>
  <property fmtid="{D5CDD505-2E9C-101B-9397-08002B2CF9AE}" pid="4" name="OfficeInstanceGUID">
    <vt:lpwstr>{06745F18-CB58-4500-B064-3D7E83907125}</vt:lpwstr>
  </property>
  <property fmtid="{D5CDD505-2E9C-101B-9397-08002B2CF9AE}" pid="5" name="GrammarlyDocumentId">
    <vt:lpwstr>d9bfb5a1c2200a2c3304444daff752e852265704a9e8635f267499e355a1f715</vt:lpwstr>
  </property>
</Properties>
</file>