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67" w:rsidRDefault="00140F67" w:rsidP="00140F67">
      <w:pPr>
        <w:pStyle w:val="Overskrift3"/>
        <w:rPr>
          <w:lang w:val="en-US"/>
        </w:rPr>
      </w:pPr>
      <w:r>
        <w:rPr>
          <w:lang w:val="en-US"/>
        </w:rPr>
        <w:t>Inclusion</w:t>
      </w:r>
    </w:p>
    <w:p w:rsidR="00140F67" w:rsidRDefault="00140F67" w:rsidP="00140F67">
      <w:pPr>
        <w:pStyle w:val="Listeafsnit"/>
        <w:numPr>
          <w:ilvl w:val="0"/>
          <w:numId w:val="1"/>
        </w:numPr>
        <w:spacing w:after="160" w:line="259" w:lineRule="auto"/>
        <w:rPr>
          <w:lang w:val="en-US"/>
        </w:rPr>
      </w:pPr>
      <w:r w:rsidRPr="008E3D10">
        <w:rPr>
          <w:lang w:val="en-US"/>
        </w:rPr>
        <w:t xml:space="preserve">RCTs as </w:t>
      </w:r>
      <w:r>
        <w:rPr>
          <w:lang w:val="en-US"/>
        </w:rPr>
        <w:t xml:space="preserve">well as </w:t>
      </w:r>
      <w:proofErr w:type="gramStart"/>
      <w:r>
        <w:rPr>
          <w:lang w:val="en-US"/>
        </w:rPr>
        <w:t>qualitative,</w:t>
      </w:r>
      <w:proofErr w:type="gramEnd"/>
      <w:r>
        <w:rPr>
          <w:lang w:val="en-US"/>
        </w:rPr>
        <w:t xml:space="preserve"> and quantitative observational studies were included. Reviews were also included. </w:t>
      </w:r>
    </w:p>
    <w:p w:rsidR="00140F67" w:rsidRDefault="00140F67" w:rsidP="00140F67">
      <w:pPr>
        <w:pStyle w:val="Listeafsnit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The patient perspective of WHAT patient experienced quality or satisfaction in </w:t>
      </w:r>
      <w:proofErr w:type="gramStart"/>
      <w:r>
        <w:rPr>
          <w:lang w:val="en-US"/>
        </w:rPr>
        <w:t>cross sectoral</w:t>
      </w:r>
      <w:proofErr w:type="gramEnd"/>
      <w:r>
        <w:rPr>
          <w:lang w:val="en-US"/>
        </w:rPr>
        <w:t xml:space="preserve"> care covers was pivotal. If it </w:t>
      </w:r>
      <w:proofErr w:type="gramStart"/>
      <w:r>
        <w:rPr>
          <w:lang w:val="en-US"/>
        </w:rPr>
        <w:t>was merely reported</w:t>
      </w:r>
      <w:proofErr w:type="gramEnd"/>
      <w:r>
        <w:rPr>
          <w:lang w:val="en-US"/>
        </w:rPr>
        <w:t xml:space="preserve"> that “patients were more satisfied”, the concept was not enlightened thoroughly enough.</w:t>
      </w:r>
    </w:p>
    <w:p w:rsidR="00140F67" w:rsidRDefault="00140F67" w:rsidP="00140F67">
      <w:pPr>
        <w:pStyle w:val="Listeafsnit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All studies reporting the development, reliability testing, or validation of a measurement that could capture transitions in healthcare settings were included. Also translation studies.</w:t>
      </w:r>
    </w:p>
    <w:p w:rsidR="00140F67" w:rsidRDefault="00140F67" w:rsidP="00140F67">
      <w:pPr>
        <w:pStyle w:val="Overskrift3"/>
        <w:rPr>
          <w:lang w:val="en-US"/>
        </w:rPr>
      </w:pPr>
      <w:r>
        <w:rPr>
          <w:lang w:val="en-US"/>
        </w:rPr>
        <w:t>Exclusion</w:t>
      </w:r>
    </w:p>
    <w:p w:rsidR="00140F67" w:rsidRDefault="00140F67" w:rsidP="00140F67">
      <w:pPr>
        <w:pStyle w:val="Listeafsnit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For s</w:t>
      </w:r>
      <w:r w:rsidRPr="009E7E0F">
        <w:rPr>
          <w:lang w:val="en-US"/>
        </w:rPr>
        <w:t>tudies reporting on discharge follow-up</w:t>
      </w:r>
      <w:r>
        <w:rPr>
          <w:lang w:val="en-US"/>
        </w:rPr>
        <w:t>, it could be</w:t>
      </w:r>
      <w:r w:rsidRPr="009E7E0F">
        <w:rPr>
          <w:lang w:val="en-US"/>
        </w:rPr>
        <w:t xml:space="preserve"> difficult to </w:t>
      </w:r>
      <w:r>
        <w:rPr>
          <w:lang w:val="en-US"/>
        </w:rPr>
        <w:t xml:space="preserve">define whether they were </w:t>
      </w:r>
      <w:proofErr w:type="gramStart"/>
      <w:r>
        <w:rPr>
          <w:lang w:val="en-US"/>
        </w:rPr>
        <w:t>single-setting</w:t>
      </w:r>
      <w:proofErr w:type="gramEnd"/>
      <w:r>
        <w:rPr>
          <w:lang w:val="en-US"/>
        </w:rPr>
        <w:t xml:space="preserve"> or cross-sectoral. If the only actor was the hospital, and GP or municipality were not involved in the intervention or evaluation, and if patients only had contact with the hospital during follow-up care, the studies </w:t>
      </w:r>
      <w:proofErr w:type="gramStart"/>
      <w:r>
        <w:rPr>
          <w:lang w:val="en-US"/>
        </w:rPr>
        <w:t>were excluded</w:t>
      </w:r>
      <w:proofErr w:type="gramEnd"/>
      <w:r>
        <w:rPr>
          <w:lang w:val="en-US"/>
        </w:rPr>
        <w:t>.</w:t>
      </w:r>
    </w:p>
    <w:p w:rsidR="00140F67" w:rsidRDefault="00140F67" w:rsidP="00140F67">
      <w:pPr>
        <w:pStyle w:val="Listeafsnit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Several studies reported on integrated care clinics. This could be clinics that integrated GP-care and behavioral care, or clinics that integrated medical professionals, dieticians, physiotherapists, diabetes care and/or other setups. We chose to view these integrated clinics as single-settings (primary sector) rather than cross-sectoral collaborations, and studies reporting on these clinics </w:t>
      </w:r>
      <w:proofErr w:type="gramStart"/>
      <w:r>
        <w:rPr>
          <w:lang w:val="en-US"/>
        </w:rPr>
        <w:t>were excluded</w:t>
      </w:r>
      <w:proofErr w:type="gramEnd"/>
      <w:r>
        <w:rPr>
          <w:lang w:val="en-US"/>
        </w:rPr>
        <w:t>.</w:t>
      </w:r>
    </w:p>
    <w:p w:rsidR="003C3B19" w:rsidRPr="00140F67" w:rsidRDefault="003C3B19">
      <w:pPr>
        <w:rPr>
          <w:lang w:val="en-US"/>
        </w:rPr>
      </w:pPr>
      <w:bookmarkStart w:id="0" w:name="_GoBack"/>
      <w:bookmarkEnd w:id="0"/>
    </w:p>
    <w:sectPr w:rsidR="003C3B19" w:rsidRPr="00140F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A2F83"/>
    <w:multiLevelType w:val="hybridMultilevel"/>
    <w:tmpl w:val="FF9E0A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188"/>
    <w:multiLevelType w:val="hybridMultilevel"/>
    <w:tmpl w:val="592C51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67"/>
    <w:rsid w:val="00012B1D"/>
    <w:rsid w:val="000274C1"/>
    <w:rsid w:val="00061505"/>
    <w:rsid w:val="0009450D"/>
    <w:rsid w:val="000A72BF"/>
    <w:rsid w:val="000D5916"/>
    <w:rsid w:val="000F1F5A"/>
    <w:rsid w:val="000F228C"/>
    <w:rsid w:val="000F2C32"/>
    <w:rsid w:val="000F6004"/>
    <w:rsid w:val="00112B53"/>
    <w:rsid w:val="0013174E"/>
    <w:rsid w:val="00140F67"/>
    <w:rsid w:val="00153214"/>
    <w:rsid w:val="001539A8"/>
    <w:rsid w:val="00153A94"/>
    <w:rsid w:val="001628CE"/>
    <w:rsid w:val="00164862"/>
    <w:rsid w:val="001A26A7"/>
    <w:rsid w:val="001B59F4"/>
    <w:rsid w:val="001E7353"/>
    <w:rsid w:val="001F289A"/>
    <w:rsid w:val="002A2711"/>
    <w:rsid w:val="002B008D"/>
    <w:rsid w:val="002E2B67"/>
    <w:rsid w:val="002F6A37"/>
    <w:rsid w:val="00304603"/>
    <w:rsid w:val="00317951"/>
    <w:rsid w:val="00335CD2"/>
    <w:rsid w:val="00341F87"/>
    <w:rsid w:val="00353AFC"/>
    <w:rsid w:val="0037361B"/>
    <w:rsid w:val="00387045"/>
    <w:rsid w:val="00396B1B"/>
    <w:rsid w:val="00396CD0"/>
    <w:rsid w:val="003A5398"/>
    <w:rsid w:val="003C3B19"/>
    <w:rsid w:val="003C4C26"/>
    <w:rsid w:val="003D1FA4"/>
    <w:rsid w:val="003E2600"/>
    <w:rsid w:val="00401724"/>
    <w:rsid w:val="0042218B"/>
    <w:rsid w:val="004450FF"/>
    <w:rsid w:val="0048572B"/>
    <w:rsid w:val="00493974"/>
    <w:rsid w:val="004962EC"/>
    <w:rsid w:val="004A0794"/>
    <w:rsid w:val="004A24C2"/>
    <w:rsid w:val="004C04E7"/>
    <w:rsid w:val="004D4EB5"/>
    <w:rsid w:val="005001F1"/>
    <w:rsid w:val="00501977"/>
    <w:rsid w:val="005023E5"/>
    <w:rsid w:val="005133CA"/>
    <w:rsid w:val="005407B5"/>
    <w:rsid w:val="00551D23"/>
    <w:rsid w:val="0056517C"/>
    <w:rsid w:val="005A01D9"/>
    <w:rsid w:val="005A438E"/>
    <w:rsid w:val="005C7704"/>
    <w:rsid w:val="005D4481"/>
    <w:rsid w:val="005D6EF0"/>
    <w:rsid w:val="005D7E63"/>
    <w:rsid w:val="005E2370"/>
    <w:rsid w:val="00600C96"/>
    <w:rsid w:val="00657709"/>
    <w:rsid w:val="0066033C"/>
    <w:rsid w:val="00681569"/>
    <w:rsid w:val="00683DD5"/>
    <w:rsid w:val="006A37A1"/>
    <w:rsid w:val="006B331D"/>
    <w:rsid w:val="00702EBB"/>
    <w:rsid w:val="007274E0"/>
    <w:rsid w:val="00740BFC"/>
    <w:rsid w:val="007539A0"/>
    <w:rsid w:val="007822AB"/>
    <w:rsid w:val="007838E8"/>
    <w:rsid w:val="00795FCA"/>
    <w:rsid w:val="007A2505"/>
    <w:rsid w:val="007B46E0"/>
    <w:rsid w:val="007D75F8"/>
    <w:rsid w:val="007E18D2"/>
    <w:rsid w:val="007F52C4"/>
    <w:rsid w:val="00804A00"/>
    <w:rsid w:val="00812016"/>
    <w:rsid w:val="008209F6"/>
    <w:rsid w:val="008234E2"/>
    <w:rsid w:val="00834048"/>
    <w:rsid w:val="00834D7E"/>
    <w:rsid w:val="008519B2"/>
    <w:rsid w:val="008836BA"/>
    <w:rsid w:val="00883BAE"/>
    <w:rsid w:val="00892231"/>
    <w:rsid w:val="008A7C6D"/>
    <w:rsid w:val="008C0E40"/>
    <w:rsid w:val="008D1CBF"/>
    <w:rsid w:val="008D707E"/>
    <w:rsid w:val="008F7EC4"/>
    <w:rsid w:val="009068FA"/>
    <w:rsid w:val="00913AB1"/>
    <w:rsid w:val="00940A2C"/>
    <w:rsid w:val="0095070A"/>
    <w:rsid w:val="009761ED"/>
    <w:rsid w:val="009E37F3"/>
    <w:rsid w:val="009F4009"/>
    <w:rsid w:val="00A062DD"/>
    <w:rsid w:val="00A40847"/>
    <w:rsid w:val="00A42E8A"/>
    <w:rsid w:val="00A4430B"/>
    <w:rsid w:val="00A51C8E"/>
    <w:rsid w:val="00A57175"/>
    <w:rsid w:val="00A71079"/>
    <w:rsid w:val="00A84C67"/>
    <w:rsid w:val="00A93C5E"/>
    <w:rsid w:val="00A940D5"/>
    <w:rsid w:val="00AA0330"/>
    <w:rsid w:val="00AC00E8"/>
    <w:rsid w:val="00AD1998"/>
    <w:rsid w:val="00AE040D"/>
    <w:rsid w:val="00AE1275"/>
    <w:rsid w:val="00AF38FA"/>
    <w:rsid w:val="00B121F8"/>
    <w:rsid w:val="00B14755"/>
    <w:rsid w:val="00B31F5B"/>
    <w:rsid w:val="00B32418"/>
    <w:rsid w:val="00B41504"/>
    <w:rsid w:val="00B67752"/>
    <w:rsid w:val="00B80B70"/>
    <w:rsid w:val="00B81F65"/>
    <w:rsid w:val="00B93342"/>
    <w:rsid w:val="00B93452"/>
    <w:rsid w:val="00BA6C05"/>
    <w:rsid w:val="00BB30AF"/>
    <w:rsid w:val="00BC5065"/>
    <w:rsid w:val="00BD6FCB"/>
    <w:rsid w:val="00BE0281"/>
    <w:rsid w:val="00BE6A46"/>
    <w:rsid w:val="00C02B4C"/>
    <w:rsid w:val="00C05B16"/>
    <w:rsid w:val="00C0777D"/>
    <w:rsid w:val="00C23AE9"/>
    <w:rsid w:val="00C765AB"/>
    <w:rsid w:val="00C97000"/>
    <w:rsid w:val="00CC1B72"/>
    <w:rsid w:val="00CF7F04"/>
    <w:rsid w:val="00D05A23"/>
    <w:rsid w:val="00D065AE"/>
    <w:rsid w:val="00D231CB"/>
    <w:rsid w:val="00D40FE0"/>
    <w:rsid w:val="00D46686"/>
    <w:rsid w:val="00D5387B"/>
    <w:rsid w:val="00D641A1"/>
    <w:rsid w:val="00D67299"/>
    <w:rsid w:val="00D76C39"/>
    <w:rsid w:val="00DE02AB"/>
    <w:rsid w:val="00DE5B0C"/>
    <w:rsid w:val="00E06357"/>
    <w:rsid w:val="00E355E0"/>
    <w:rsid w:val="00E461E3"/>
    <w:rsid w:val="00E50EE1"/>
    <w:rsid w:val="00E572FB"/>
    <w:rsid w:val="00E60440"/>
    <w:rsid w:val="00EC34C9"/>
    <w:rsid w:val="00EC6F55"/>
    <w:rsid w:val="00ED7E42"/>
    <w:rsid w:val="00F020B6"/>
    <w:rsid w:val="00F0670E"/>
    <w:rsid w:val="00F06C24"/>
    <w:rsid w:val="00F23FC2"/>
    <w:rsid w:val="00F51C45"/>
    <w:rsid w:val="00F77155"/>
    <w:rsid w:val="00F8628B"/>
    <w:rsid w:val="00FC76A9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A2E21-E173-4DB6-9B1B-3FF97D15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F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140F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140F67"/>
    <w:pPr>
      <w:spacing w:after="0" w:line="240" w:lineRule="auto"/>
      <w:ind w:left="720"/>
      <w:contextualSpacing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1</cp:revision>
  <dcterms:created xsi:type="dcterms:W3CDTF">2023-01-12T11:44:00Z</dcterms:created>
  <dcterms:modified xsi:type="dcterms:W3CDTF">2023-01-12T11:44:00Z</dcterms:modified>
</cp:coreProperties>
</file>