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1. ROC curves for the </w:t>
      </w:r>
      <w:r>
        <w:rPr>
          <w:rFonts w:hint="default" w:ascii="Times New Roman" w:hAnsi="Times New Roman" w:cs="Times New Roman"/>
          <w:rtl w:val="0"/>
          <w:cs w:val="0"/>
          <w:lang w:val="en-GB" w:eastAsia="zh-CN"/>
        </w:rPr>
        <w:t>Random sampling and support vector machine methods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to validate molecular subtyping.</w:t>
      </w:r>
    </w:p>
    <w:p>
      <w:pPr>
        <w:rPr>
          <w:rFonts w:hint="eastAsia" w:eastAsiaTheme="minorEastAsia"/>
          <w:lang w:eastAsia="zh-CN"/>
        </w:rPr>
      </w:pPr>
      <w:bookmarkStart w:id="1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83835"/>
            <wp:effectExtent l="0" t="0" r="3810" b="12065"/>
            <wp:docPr id="17" name="图片 17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8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2.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Kaplan-Meier curves compared OS between patients with different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molecular subtypings in stage III.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517900"/>
            <wp:effectExtent l="0" t="0" r="8255" b="6350"/>
            <wp:docPr id="16" name="图片 16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3. HC analysis identified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two molecular clusters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 at the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transcriptome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 level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in GSE14520.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5255895"/>
            <wp:effectExtent l="0" t="0" r="5715" b="1905"/>
            <wp:docPr id="15" name="图片 15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5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default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4.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Kaplan-Meier curves compared OS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between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between different AJCC stages.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3331210"/>
            <wp:effectExtent l="0" t="0" r="9525" b="2540"/>
            <wp:docPr id="14" name="图片 14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5.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Kaplan-Meier curves compared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RF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S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between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between different AJCC stages.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3331210"/>
            <wp:effectExtent l="0" t="0" r="9525" b="2540"/>
            <wp:docPr id="13" name="图片 13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 Fig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6.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Kaplan-Meier curves compared OS between patients with different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molecular subtypings in stage III.</w:t>
      </w:r>
    </w:p>
    <w:p>
      <w:pPr>
        <w:rPr>
          <w:rFonts w:hint="default"/>
          <w:lang w:val="en-US" w:eastAsia="zh-CN"/>
        </w:rPr>
      </w:pP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3517900"/>
            <wp:effectExtent l="0" t="0" r="8255" b="6350"/>
            <wp:docPr id="12" name="图片 12" descr="Supplementary 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plementary Figure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GB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7.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Kaplan-Meier curves compared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DF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S between patients with different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molecular subtypings in stage III.</w:t>
      </w:r>
    </w:p>
    <w:p>
      <w:pPr>
        <w:rPr>
          <w:rFonts w:hint="default"/>
          <w:lang w:val="en-US" w:eastAsia="zh-CN"/>
        </w:rPr>
      </w:pP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3517900"/>
            <wp:effectExtent l="0" t="0" r="8255" b="6350"/>
            <wp:docPr id="11" name="图片 11" descr="Supplementary 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ure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8. G</w:t>
      </w:r>
      <w:r>
        <w:rPr>
          <w:rFonts w:hint="default" w:ascii="Times New Roman" w:hAnsi="Times New Roman" w:cs="Times New Roman"/>
          <w:rtl w:val="0"/>
          <w:cs w:val="0"/>
          <w:lang w:val="en-US" w:eastAsia="zh-CN"/>
        </w:rPr>
        <w:t>eneral landscape of SNV and CNV at the genomic level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5382260"/>
            <wp:effectExtent l="0" t="0" r="2540" b="8890"/>
            <wp:docPr id="10" name="图片 10" descr="Supplementary 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ure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9. Circle plot of g</w:t>
      </w:r>
      <w:r>
        <w:rPr>
          <w:rFonts w:hint="default" w:ascii="Times New Roman" w:hAnsi="Times New Roman" w:cs="Times New Roman"/>
          <w:rtl w:val="0"/>
          <w:cs w:val="0"/>
          <w:lang w:val="en-US" w:eastAsia="zh-CN"/>
        </w:rPr>
        <w:t>eneral landscape of SNV and CNV at the genomic level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5268595"/>
            <wp:effectExtent l="0" t="0" r="8255" b="8255"/>
            <wp:docPr id="9" name="图片 9" descr="Supplementary Fig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ure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2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10. </w:t>
      </w:r>
      <w:bookmarkStart w:id="0" w:name="OLE_LINK26"/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Stacked histogram represents the breakdown of single base mutational signa</w:t>
      </w:r>
      <w:r>
        <w:rPr>
          <w:rFonts w:hint="default" w:ascii="Times New Roman" w:hAnsi="Times New Roman" w:cs="Times New Roman"/>
          <w:rtl w:val="0"/>
          <w:cs w:val="0"/>
          <w:lang w:val="en-US" w:eastAsia="zh-CN"/>
        </w:rPr>
        <w:t>tures</w:t>
      </w:r>
      <w:bookmarkEnd w:id="0"/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 detected in each tumors.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4785" cy="3074670"/>
            <wp:effectExtent l="0" t="0" r="12065" b="11430"/>
            <wp:docPr id="8" name="图片 8" descr="Supplementary Fig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11. ChromPlot of CNV in Cluster A.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2437130"/>
            <wp:effectExtent l="0" t="0" r="3810" b="1270"/>
            <wp:docPr id="7" name="图片 7" descr="Supplementary Fig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12. BubblePlot of CNV in Cluster A.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690" cy="3072130"/>
            <wp:effectExtent l="0" t="0" r="10160" b="13970"/>
            <wp:docPr id="6" name="图片 6" descr="Supplementary Fig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13. ChromPlot of CNV in Cluster A.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2437130"/>
            <wp:effectExtent l="0" t="0" r="3810" b="1270"/>
            <wp:docPr id="5" name="图片 5" descr="Supplementary Fig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14. BubblePlot of CNV in Cluster A.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690" cy="3072130"/>
            <wp:effectExtent l="0" t="0" r="10160" b="13970"/>
            <wp:docPr id="4" name="图片 4" descr="Supplementary Fig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rtl w:val="0"/>
          <w:cs w:val="0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15. Heatmap of tumor immune infiltration predicted by CIBERSORT.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3515" cy="367030"/>
            <wp:effectExtent l="0" t="0" r="13335" b="13970"/>
            <wp:docPr id="3" name="图片 3" descr="Supplementary Fig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6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Supplementary Figure 16. Heatmap of tumor immune infiltration predicted by ssGSEA.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55260" cy="426085"/>
            <wp:effectExtent l="0" t="0" r="2540" b="12065"/>
            <wp:docPr id="2" name="图片 2" descr="Supplementary Fig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42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rPr>
          <w:rFonts w:hint="default" w:ascii="Times New Roman" w:hAnsi="Times New Roman" w:cs="Times New Roman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 xml:space="preserve">Supplementary Figure 17. 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Boxplot compar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ed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 the</w:t>
      </w:r>
      <w:r>
        <w:rPr>
          <w:rFonts w:hint="default" w:ascii="Times New Roman" w:hAnsi="Times New Roman" w:cs="Times New Roman"/>
          <w:rtl w:val="0"/>
          <w:cs w:val="0"/>
          <w:lang w:val="en-GB" w:eastAsia="zh-CN"/>
        </w:rPr>
        <w:t xml:space="preserve"> proportion of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tumor immune infiltration predicted by ssGSEA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 xml:space="preserve">between </w:t>
      </w:r>
      <w:r>
        <w:rPr>
          <w:rFonts w:hint="eastAsia" w:ascii="Times New Roman" w:hAnsi="Times New Roman" w:cs="Times New Roman"/>
          <w:rtl w:val="0"/>
          <w:cs w:val="0"/>
          <w:lang w:val="en-US" w:eastAsia="zh-CN"/>
        </w:rPr>
        <w:t>CA and CB</w:t>
      </w:r>
      <w:r>
        <w:rPr>
          <w:rFonts w:hint="eastAsia" w:ascii="Times New Roman" w:hAnsi="Times New Roman" w:cs="Times New Roman"/>
          <w:rtl w:val="0"/>
          <w:cs w:val="0"/>
          <w:lang w:val="en-GB" w:eastAsia="zh-CN"/>
        </w:rPr>
        <w:t>.</w:t>
      </w:r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0975" cy="2051685"/>
            <wp:effectExtent l="0" t="0" r="15875" b="5715"/>
            <wp:docPr id="1" name="图片 1" descr="Supplementary Fig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05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xNTc2M2YyOTE5ZGIwOWU0OWM0MGQ3MDU2ODY2ZTkifQ=="/>
  </w:docVars>
  <w:rsids>
    <w:rsidRoot w:val="3C50736D"/>
    <w:rsid w:val="3C50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2023-12-26T01:17:00Z</dcterms:created>
  <dc:creator>WPS_1622940802</dc:creator>
  <cp:lastModifiedBy>WPS_1622940802</cp:lastModifiedBy>
  <dcterms:modified xsi:type="dcterms:W3CDTF">2023-12-26T02:07:49Z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D6E8661EC3D341D28339C906B73C2092_11</vt:lpwstr>
  </property>
</Properties>
</file>