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AD8356" w14:textId="77777777" w:rsidR="00782BE1" w:rsidRDefault="00782BE1" w:rsidP="00782BE1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color w:val="FF0000"/>
          <w:sz w:val="24"/>
        </w:rPr>
      </w:pPr>
      <w:r>
        <w:rPr>
          <w:rFonts w:ascii="Times New Roman" w:hAnsi="Times New Roman" w:cs="Times New Roman"/>
          <w:b/>
          <w:bCs/>
          <w:color w:val="101214"/>
          <w:sz w:val="24"/>
          <w:shd w:val="clear" w:color="auto" w:fill="FFFFFF"/>
        </w:rPr>
        <w:t xml:space="preserve">Supplementary Figure </w:t>
      </w:r>
      <w:r>
        <w:rPr>
          <w:rFonts w:ascii="Times New Roman" w:hAnsi="Times New Roman" w:cs="Times New Roman" w:hint="eastAsia"/>
          <w:b/>
          <w:bCs/>
          <w:color w:val="101214"/>
          <w:sz w:val="24"/>
          <w:shd w:val="clear" w:color="auto" w:fill="FFFFFF"/>
        </w:rPr>
        <w:t>1</w:t>
      </w:r>
      <w:r>
        <w:t xml:space="preserve"> </w:t>
      </w:r>
      <w:r>
        <w:rPr>
          <w:rFonts w:ascii="Times New Roman" w:hAnsi="Times New Roman" w:cs="Times New Roman"/>
          <w:bCs/>
          <w:sz w:val="24"/>
        </w:rPr>
        <w:t>Prediction of potential therapeutic drugs</w:t>
      </w:r>
      <w:r>
        <w:rPr>
          <w:rFonts w:ascii="Times New Roman" w:hAnsi="Times New Roman" w:cs="Times New Roman"/>
          <w:bCs/>
          <w:color w:val="101214"/>
          <w:sz w:val="24"/>
          <w:shd w:val="clear" w:color="auto" w:fill="FFFFFF"/>
        </w:rPr>
        <w:t>.</w:t>
      </w:r>
    </w:p>
    <w:p w14:paraId="1E5E609F" w14:textId="77777777" w:rsidR="00782BE1" w:rsidRPr="00782BE1" w:rsidRDefault="00782BE1" w:rsidP="00782BE1">
      <w:pPr>
        <w:spacing w:line="360" w:lineRule="auto"/>
        <w:rPr>
          <w:rFonts w:ascii="Times New Roman" w:hAnsi="Times New Roman" w:cs="Times New Roman" w:hint="eastAsia"/>
          <w:b/>
          <w:sz w:val="24"/>
        </w:rPr>
      </w:pPr>
    </w:p>
    <w:p w14:paraId="4B7BC693" w14:textId="77777777" w:rsidR="00782BE1" w:rsidRDefault="00782BE1" w:rsidP="00782BE1">
      <w:pPr>
        <w:spacing w:line="360" w:lineRule="auto"/>
        <w:rPr>
          <w:rFonts w:ascii="Times New Roman" w:hAnsi="Times New Roman" w:cs="Times New Roman"/>
          <w:b/>
          <w:color w:val="FF0000"/>
          <w:sz w:val="24"/>
        </w:rPr>
      </w:pPr>
      <w:r>
        <w:rPr>
          <w:noProof/>
        </w:rPr>
        <w:drawing>
          <wp:inline distT="0" distB="0" distL="0" distR="0" wp14:anchorId="56F8BB0A" wp14:editId="468298D7">
            <wp:extent cx="5271770" cy="6321425"/>
            <wp:effectExtent l="0" t="0" r="5080" b="3175"/>
            <wp:docPr id="1015234587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5234587" name="图片 1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632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DD77C6" w14:textId="77777777" w:rsidR="00782BE1" w:rsidRDefault="00782BE1" w:rsidP="00782BE1">
      <w:pPr>
        <w:spacing w:line="360" w:lineRule="auto"/>
        <w:rPr>
          <w:rFonts w:ascii="Times New Roman" w:hAnsi="Times New Roman" w:cs="Times New Roman"/>
          <w:b/>
          <w:color w:val="FF0000"/>
          <w:sz w:val="24"/>
        </w:rPr>
      </w:pPr>
    </w:p>
    <w:p w14:paraId="25C9F834" w14:textId="77777777" w:rsidR="00782BE1" w:rsidRDefault="00782BE1" w:rsidP="00782BE1">
      <w:pPr>
        <w:spacing w:line="360" w:lineRule="auto"/>
        <w:rPr>
          <w:rFonts w:ascii="Times New Roman" w:hAnsi="Times New Roman" w:cs="Times New Roman"/>
          <w:b/>
          <w:color w:val="FF0000"/>
          <w:sz w:val="24"/>
        </w:rPr>
      </w:pPr>
    </w:p>
    <w:p w14:paraId="4D1D181C" w14:textId="77777777" w:rsidR="00782BE1" w:rsidRDefault="00782BE1" w:rsidP="00782BE1">
      <w:pPr>
        <w:spacing w:line="360" w:lineRule="auto"/>
        <w:rPr>
          <w:rFonts w:ascii="Times New Roman" w:hAnsi="Times New Roman" w:cs="Times New Roman"/>
          <w:b/>
          <w:color w:val="FF0000"/>
          <w:sz w:val="24"/>
        </w:rPr>
      </w:pPr>
    </w:p>
    <w:p w14:paraId="6A0BD0ED" w14:textId="77777777" w:rsidR="00782BE1" w:rsidRDefault="00782BE1" w:rsidP="00782BE1">
      <w:pPr>
        <w:spacing w:line="360" w:lineRule="auto"/>
        <w:rPr>
          <w:rFonts w:ascii="Times New Roman" w:hAnsi="Times New Roman" w:cs="Times New Roman"/>
          <w:b/>
          <w:color w:val="FF0000"/>
          <w:sz w:val="24"/>
        </w:rPr>
      </w:pPr>
    </w:p>
    <w:p w14:paraId="14BFC0C9" w14:textId="77777777" w:rsidR="00782BE1" w:rsidRDefault="00782BE1" w:rsidP="00782BE1">
      <w:pPr>
        <w:spacing w:line="360" w:lineRule="auto"/>
        <w:rPr>
          <w:rFonts w:ascii="Times New Roman" w:hAnsi="Times New Roman" w:cs="Times New Roman"/>
          <w:b/>
          <w:color w:val="FF0000"/>
          <w:sz w:val="24"/>
        </w:rPr>
      </w:pPr>
    </w:p>
    <w:p w14:paraId="6F3C2E69" w14:textId="77777777" w:rsidR="00782BE1" w:rsidRDefault="00782BE1" w:rsidP="00782BE1">
      <w:pPr>
        <w:spacing w:line="360" w:lineRule="auto"/>
        <w:rPr>
          <w:rFonts w:ascii="Times New Roman" w:hAnsi="Times New Roman" w:cs="Times New Roman" w:hint="eastAsia"/>
          <w:b/>
          <w:color w:val="FF0000"/>
          <w:sz w:val="24"/>
        </w:rPr>
      </w:pPr>
    </w:p>
    <w:p w14:paraId="1B2A9DE0" w14:textId="72CD6A8D" w:rsidR="00782BE1" w:rsidRDefault="00782BE1" w:rsidP="00782BE1">
      <w:pPr>
        <w:spacing w:line="360" w:lineRule="auto"/>
      </w:pPr>
      <w:r>
        <w:rPr>
          <w:rFonts w:ascii="Times New Roman" w:hAnsi="Times New Roman" w:cs="Times New Roman"/>
          <w:b/>
          <w:bCs/>
          <w:sz w:val="24"/>
          <w:shd w:val="clear" w:color="auto" w:fill="FFFFFF"/>
        </w:rPr>
        <w:lastRenderedPageBreak/>
        <w:t xml:space="preserve">Supplementary Figure </w:t>
      </w:r>
      <w:r>
        <w:rPr>
          <w:rFonts w:ascii="Times New Roman" w:hAnsi="Times New Roman" w:cs="Times New Roman" w:hint="eastAsia"/>
          <w:b/>
          <w:bCs/>
          <w:sz w:val="24"/>
          <w:shd w:val="clear" w:color="auto" w:fill="FFFFFF"/>
        </w:rPr>
        <w:t xml:space="preserve">2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HSPA1B promotes macrophage differentiation toward M2 </w:t>
      </w:r>
      <w:r>
        <w:rPr>
          <w:rFonts w:ascii="Times New Roman" w:hAnsi="Times New Roman" w:cs="Times New Roman"/>
          <w:bCs/>
          <w:i/>
          <w:sz w:val="24"/>
          <w:shd w:val="clear" w:color="auto" w:fill="FFFFFF"/>
        </w:rPr>
        <w:t>in vitro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. (A-B) The expression of CD68 and CD163 in THP-1 induced macrophages treated differently detected by immunofluorescence. (C-D) Statistical analysis of different groups (**</w:t>
      </w:r>
      <w:r>
        <w:rPr>
          <w:rFonts w:ascii="Times New Roman" w:hAnsi="Times New Roman" w:cs="Times New Roman"/>
          <w:bCs/>
          <w:i/>
          <w:sz w:val="24"/>
          <w:shd w:val="clear" w:color="auto" w:fill="FFFFFF"/>
        </w:rPr>
        <w:t>P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 &lt; 0.01, ***</w:t>
      </w:r>
      <w:r>
        <w:rPr>
          <w:rFonts w:ascii="Times New Roman" w:hAnsi="Times New Roman" w:cs="Times New Roman"/>
          <w:bCs/>
          <w:i/>
          <w:sz w:val="24"/>
          <w:shd w:val="clear" w:color="auto" w:fill="FFFFFF"/>
        </w:rPr>
        <w:t>P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 &lt; 0.005)</w:t>
      </w:r>
      <w:r>
        <w:rPr>
          <w:rFonts w:ascii="Times New Roman" w:hAnsi="Times New Roman" w:cs="Times New Roman"/>
          <w:b/>
          <w:bCs/>
          <w:sz w:val="24"/>
          <w:shd w:val="clear" w:color="auto" w:fill="FFFFFF"/>
        </w:rPr>
        <w:t>.</w:t>
      </w:r>
    </w:p>
    <w:p w14:paraId="14948F4A" w14:textId="534863D4" w:rsidR="00490287" w:rsidRDefault="00782BE1" w:rsidP="00782BE1">
      <w:pPr>
        <w:jc w:val="center"/>
      </w:pPr>
      <w:r>
        <w:rPr>
          <w:noProof/>
        </w:rPr>
        <w:drawing>
          <wp:inline distT="0" distB="0" distL="0" distR="0" wp14:anchorId="7FFDABEE" wp14:editId="197F5F95">
            <wp:extent cx="4018897" cy="6049645"/>
            <wp:effectExtent l="0" t="0" r="1270" b="8255"/>
            <wp:docPr id="165322658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5381" cy="605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902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CEE72E" w14:textId="77777777" w:rsidR="003F7F1D" w:rsidRDefault="003F7F1D" w:rsidP="00782BE1">
      <w:r>
        <w:separator/>
      </w:r>
    </w:p>
  </w:endnote>
  <w:endnote w:type="continuationSeparator" w:id="0">
    <w:p w14:paraId="49468376" w14:textId="77777777" w:rsidR="003F7F1D" w:rsidRDefault="003F7F1D" w:rsidP="00782B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8DB883" w14:textId="77777777" w:rsidR="003F7F1D" w:rsidRDefault="003F7F1D" w:rsidP="00782BE1">
      <w:r>
        <w:separator/>
      </w:r>
    </w:p>
  </w:footnote>
  <w:footnote w:type="continuationSeparator" w:id="0">
    <w:p w14:paraId="27388C6E" w14:textId="77777777" w:rsidR="003F7F1D" w:rsidRDefault="003F7F1D" w:rsidP="00782B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287"/>
    <w:rsid w:val="003F7F1D"/>
    <w:rsid w:val="00490287"/>
    <w:rsid w:val="00782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E5F372"/>
  <w15:chartTrackingRefBased/>
  <w15:docId w15:val="{228B83A6-6EA4-40F5-A629-D04176AD9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2BE1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90287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90287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90287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90287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90287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90287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90287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90287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90287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9028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902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902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9028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90287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49028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9028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9028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9028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9028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4902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90287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49028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90287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49028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90287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49028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902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49028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9028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782BE1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782BE1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782BE1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782B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qz5719</dc:creator>
  <cp:keywords/>
  <dc:description/>
  <cp:lastModifiedBy>qz5719</cp:lastModifiedBy>
  <cp:revision>2</cp:revision>
  <dcterms:created xsi:type="dcterms:W3CDTF">2024-04-03T02:20:00Z</dcterms:created>
  <dcterms:modified xsi:type="dcterms:W3CDTF">2024-04-03T02:23:00Z</dcterms:modified>
</cp:coreProperties>
</file>