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olors1.xml" ContentType="application/vnd.ms-office.chartcolorstyle+xml"/>
  <Override PartName="/word/charts/colors2.xml" ContentType="application/vnd.ms-office.chartcolorstyle+xml"/>
  <Override PartName="/word/charts/style1.xml" ContentType="application/vnd.ms-office.chartstyle+xml"/>
  <Override PartName="/word/charts/style2.xml" ContentType="application/vnd.ms-office.chartstyle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theme/themeOverride1.xml" ContentType="application/vnd.openxmlformats-officedocument.themeOverrid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Additional File 1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Additional Table 1. Summary of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the CSF biomarkers in SST person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1a. Summary of CSF biomarkers in person with sporadic human prion disease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954"/>
        <w:gridCol w:w="1451"/>
        <w:gridCol w:w="1573"/>
        <w:gridCol w:w="1573"/>
        <w:gridCol w:w="1574"/>
        <w:gridCol w:w="1574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125" w:hRule="atLeast"/>
        </w:trPr>
        <w:tc>
          <w:tcPr>
            <w:tcW w:w="5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Sex</w:t>
            </w:r>
          </w:p>
        </w:tc>
        <w:tc>
          <w:tcPr>
            <w:tcW w:w="83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14-3-3 protein by western blotting</w:t>
            </w:r>
          </w:p>
        </w:tc>
        <w:tc>
          <w:tcPr>
            <w:tcW w:w="9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generation QuIC assay</w:t>
            </w:r>
          </w:p>
        </w:tc>
        <w:tc>
          <w:tcPr>
            <w:tcW w:w="9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generation QuIC assay</w:t>
            </w:r>
          </w:p>
        </w:tc>
        <w:tc>
          <w:tcPr>
            <w:tcW w:w="9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fr-FR"/>
              </w:rPr>
              <w:t>T-tau protein by ELISA (pg/)</w:t>
            </w:r>
          </w:p>
        </w:tc>
        <w:tc>
          <w:tcPr>
            <w:tcW w:w="904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T-tau protein by CLEIA (pg/)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1,910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1586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1,967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1,727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2180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1,870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1585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2,163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1,866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1,966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1,307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2,101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2,117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548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83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positive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&gt;2,200</w:t>
            </w:r>
          </w:p>
        </w:tc>
        <w:tc>
          <w:tcPr>
            <w:tcW w:w="90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&gt;2,000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br w:type="page"/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1b. Summary of CSF biomarkers in without sporadic human prion disease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897"/>
        <w:gridCol w:w="898"/>
        <w:gridCol w:w="1069"/>
        <w:gridCol w:w="1069"/>
        <w:gridCol w:w="898"/>
        <w:gridCol w:w="898"/>
        <w:gridCol w:w="2970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1441" w:hRule="atLeast"/>
        </w:trPr>
        <w:tc>
          <w:tcPr>
            <w:tcW w:w="52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Sex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14-3-3 protein by western blotting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generation QuIC assay</w:t>
            </w:r>
          </w:p>
        </w:tc>
        <w:tc>
          <w:tcPr>
            <w:tcW w:w="625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generation QuIC assay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fr-FR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fr-FR"/>
              </w:rPr>
              <w:t>T-tau protein by ELISA (pg/ml)</w:t>
            </w:r>
          </w:p>
        </w:tc>
        <w:tc>
          <w:tcPr>
            <w:tcW w:w="52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T-tau protein by CLEIA (pg/ml)</w:t>
            </w: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Disease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1142.5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676</w:t>
            </w:r>
          </w:p>
        </w:tc>
        <w:tc>
          <w:tcPr>
            <w:tcW w:w="1640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primary malignant lymphoma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82.5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182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drug toxic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174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169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autoimmune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201.7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233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alcohol-dependent LCCA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142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hypoxic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693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hypoxic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342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370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208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DLB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169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173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356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450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127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hypoxic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215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MSA-C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276.5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209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alcohol-dependent LCCA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metabolic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184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243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DLB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228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151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autoimmune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578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605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alcohol-dependent LCCA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394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602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Alzheimer's disease</w:t>
            </w:r>
          </w:p>
        </w:tc>
      </w:tr>
      <w:tr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221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281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COVID-19 syndrome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210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SCA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423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370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313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402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430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852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737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186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213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194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109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104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189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196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820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585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624.5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391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132.1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207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320.2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264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1003.1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645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801.4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535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283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319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307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766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636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1205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907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198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325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132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181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epilepsy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469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490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1237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1011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507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479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2" w:hRule="atLeast"/>
        </w:trPr>
        <w:tc>
          <w:tcPr>
            <w:tcW w:w="52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female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625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negative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172</w:t>
            </w:r>
          </w:p>
        </w:tc>
        <w:tc>
          <w:tcPr>
            <w:tcW w:w="52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135</w:t>
            </w:r>
          </w:p>
        </w:tc>
        <w:tc>
          <w:tcPr>
            <w:tcW w:w="1640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steroid-responsive encephalopathy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RT-QuIC, real-time quaking-induced conversion; ELISA, enzyme-linked immunosorbent assay; CLEIA, chemiluminescent enzyme immunoassays; LCCA left common carotid artery; DLB Lewy Body Dementia; MSA-C multiple system atrophy c type; SCA Spinocerebellar ataxia; COVID-19</w:t>
      </w:r>
      <w:r>
        <w:rPr>
          <w:rStyle w:val="8"/>
          <w:rFonts w:ascii="Times New Roman" w:hAnsi="Times New Roman" w:cs="Times New Roman"/>
          <w:sz w:val="24"/>
          <w:szCs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highlight w:val="none"/>
          <w:lang w:val="en-GB"/>
        </w:rPr>
        <w:t>Coronavirus disease 2019；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Additional Table 2. Relationship between t-tau protein levels measured ELISA and CLEIA</w:t>
      </w:r>
    </w:p>
    <w:tbl>
      <w:tblPr>
        <w:tblStyle w:val="6"/>
        <w:tblpPr w:leftFromText="180" w:rightFromText="180" w:vertAnchor="text" w:horzAnchor="margin" w:tblpY="79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354"/>
        <w:gridCol w:w="621"/>
        <w:gridCol w:w="1432"/>
        <w:gridCol w:w="454"/>
        <w:gridCol w:w="1176"/>
        <w:gridCol w:w="648"/>
        <w:gridCol w:w="648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ANOVA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Sum of squares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Meansquare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Sig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96644.917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32214.972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0.855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1003824.000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125478.000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1100468.917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136660.667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45553.556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0.794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1058743.333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132342.917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1195404.000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94452.667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31484.222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0.859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1003686.000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125460.750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1098138.667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MSB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8214.000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8214.000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0.785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386602.000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96650.500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SST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394816.000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ELISA, enzyme-linked immunosorbent assay; CLEIA, chemiluminescent enzyme immunoassays; t-tau, total tau protein; ANOVA Analysis of Variance; MSD Mean Square Displacement; MSEmean-square error; SST Sum of squares for total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Additional Table 3a. Mauchly's sphericity test conditional validation</w:t>
      </w:r>
    </w:p>
    <w:tbl>
      <w:tblPr>
        <w:tblStyle w:val="6"/>
        <w:tblpPr w:leftFromText="142" w:rightFromText="142" w:vertAnchor="text" w:horzAnchor="margin" w:tblpY="2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350"/>
        <w:gridCol w:w="648"/>
        <w:gridCol w:w="1809"/>
        <w:gridCol w:w="454"/>
        <w:gridCol w:w="310"/>
        <w:gridCol w:w="1905"/>
        <w:gridCol w:w="943"/>
        <w:gridCol w:w="1283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Intrinsic effect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Approximate square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Epsilon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vertAlign w:val="superscript"/>
                <w:lang w:val="en-GB"/>
              </w:rPr>
              <w:t>b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8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Greenhouse- Geissler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0.992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0.200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3b. Levin equivalence test for error variance</w:t>
      </w: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354"/>
        <w:gridCol w:w="3930"/>
        <w:gridCol w:w="648"/>
        <w:gridCol w:w="604"/>
        <w:gridCol w:w="648"/>
        <w:gridCol w:w="648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 1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 2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sig P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0.676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0.457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0.723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3.201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0.728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0.474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0.566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0.494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0.691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3.386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0.695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0.506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0.414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0.648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3.158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0.428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0.353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0.642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2.980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1.016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0.371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0.463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0.686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3.352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0.690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0.477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0.465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0.688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3.374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0.692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0.480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0.672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0.458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3.282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0.470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0.457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0.536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0.754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3.425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0.757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0.551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0.870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0.404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0.643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3.103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0.650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0.418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0.433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0.621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median and adjustment for degrees of freedom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3.237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0.627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0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after shear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0.444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We tested the null hypothesis that the error covariance matrix of the dependent variable after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an orthogonal transformation would be proportional to the identity matrix.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 Design: [: cutoff:</w:t>
      </w:r>
    </w:p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Abbreviations: </w:t>
      </w:r>
      <w:bookmarkStart w:id="0" w:name="OLE_LINK1"/>
      <w:r>
        <w:rPr>
          <w:rFonts w:ascii="Times New Roman" w:hAnsi="Times New Roman" w:cs="Times New Roman"/>
          <w:sz w:val="24"/>
          <w:highlight w:val="none"/>
          <w:lang w:val="en-GB"/>
        </w:rPr>
        <w:t>DF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 xml:space="preserve">, </w:t>
      </w:r>
      <w:bookmarkEnd w:id="0"/>
      <w:bookmarkStart w:id="1" w:name="OLE_LINK2"/>
      <w:r>
        <w:rPr>
          <w:rFonts w:ascii="Times New Roman" w:hAnsi="Times New Roman" w:eastAsia="宋体" w:cs="Times New Roman"/>
          <w:sz w:val="24"/>
          <w:highlight w:val="none"/>
          <w:lang w:val="en-GB"/>
        </w:rPr>
        <w:t>degree of freedom</w:t>
      </w:r>
    </w:p>
    <w:bookmarkEnd w:id="1"/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br w:type="page"/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Additional Table 4. Within-subject effect test</w:t>
      </w:r>
    </w:p>
    <w:tbl>
      <w:tblPr>
        <w:tblStyle w:val="6"/>
        <w:tblW w:w="8736" w:type="dxa"/>
        <w:tblInd w:w="0" w:type="dxa"/>
        <w:tblLayout w:type="fixed"/>
        <w:tblCellMar>
          <w:top w:w="0" w:type="dxa"/>
          <w:left w:w="99" w:type="dxa"/>
          <w:bottom w:w="0" w:type="dxa"/>
          <w:right w:w="99" w:type="dxa"/>
        </w:tblCellMar>
      </w:tblPr>
      <w:tblGrid>
        <w:gridCol w:w="1493"/>
        <w:gridCol w:w="1472"/>
        <w:gridCol w:w="1933"/>
        <w:gridCol w:w="735"/>
        <w:gridCol w:w="958"/>
        <w:gridCol w:w="700"/>
        <w:gridCol w:w="670"/>
        <w:gridCol w:w="775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93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Sum of the squares III</w:t>
            </w:r>
          </w:p>
        </w:tc>
        <w:tc>
          <w:tcPr>
            <w:tcW w:w="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square</w:t>
            </w:r>
          </w:p>
        </w:tc>
        <w:tc>
          <w:tcPr>
            <w:tcW w:w="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</w:t>
            </w:r>
          </w:p>
        </w:tc>
        <w:tc>
          <w:tcPr>
            <w:tcW w:w="6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 xml:space="preserve"> Eta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 xml:space="preserve"> 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512.511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2.123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0.105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1.992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1286.191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2.123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0.182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4.958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516.838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2.123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0.105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2.123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0.219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 * group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291.444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1.208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1.992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731.405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1.208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0.348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4.958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293.905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1.208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0.342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1.208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0.334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0.232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Deviation (time)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4827.222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241.361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4827.222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7.969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605.717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4827.222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19.833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243.399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75" w:hRule="atLeast"/>
        </w:trPr>
        <w:tc>
          <w:tcPr>
            <w:tcW w:w="14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14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193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4827.222</w:t>
            </w:r>
          </w:p>
        </w:tc>
        <w:tc>
          <w:tcPr>
            <w:tcW w:w="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9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1206.806</w:t>
            </w:r>
          </w:p>
        </w:tc>
        <w:tc>
          <w:tcPr>
            <w:tcW w:w="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6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DF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, degree of freedom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Additional Table 5. Verification of the normal distribution of diurnal reproducibility (norm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al</w:t>
      </w:r>
      <w:r>
        <w:rPr>
          <w:rFonts w:ascii="Times New Roman" w:hAnsi="Times New Roman" w:cs="Times New Roman"/>
          <w:sz w:val="24"/>
          <w:highlight w:val="none"/>
          <w:lang w:val="en-GB"/>
        </w:rPr>
        <w:t>ity test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)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tbl>
      <w:tblPr>
        <w:tblStyle w:val="6"/>
        <w:tblW w:w="6180" w:type="dxa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660"/>
        <w:gridCol w:w="720"/>
        <w:gridCol w:w="800"/>
        <w:gridCol w:w="800"/>
        <w:gridCol w:w="800"/>
        <w:gridCol w:w="800"/>
        <w:gridCol w:w="800"/>
        <w:gridCol w:w="800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138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Kolmogorov–Smirnov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vertAlign w:val="superscript"/>
                <w:lang w:val="en-GB"/>
              </w:rPr>
              <w:t>a</w:t>
            </w:r>
          </w:p>
        </w:tc>
        <w:tc>
          <w:tcPr>
            <w:tcW w:w="240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Shapiro–Wilk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138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Value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Value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t0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0.990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0.810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0.286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0.930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0.490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t1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0.228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0.982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0.742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0.262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0.956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0.596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t2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0.989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0.797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0.269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0.949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0.565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t3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0.990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0.807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0.287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0.930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0.487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t4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0.241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0.973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0.687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0.272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0.947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0.556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t5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0.246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0.970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0.668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0.272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0.946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0.553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t6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0.988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0.794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0.961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0.620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t7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0.226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0.983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0.752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0.276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0.942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0.535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t8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0.201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0.995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0.858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0.270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0.949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0.565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t9</w:t>
            </w: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0.219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0.987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0.782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6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0.253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0.965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0.639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  <w:r>
        <w:rPr>
          <w:rFonts w:ascii="Times New Roman" w:hAnsi="Times New Roman" w:cs="Times New Roman"/>
          <w:sz w:val="24"/>
          <w:highlight w:val="none"/>
          <w:vertAlign w:val="superscript"/>
          <w:lang w:val="en-GB" w:bidi="ar"/>
        </w:rPr>
        <w:t>a</w:t>
      </w:r>
      <w:r>
        <w:rPr>
          <w:rFonts w:ascii="Times New Roman" w:hAnsi="Times New Roman" w:cs="Times New Roman"/>
          <w:sz w:val="24"/>
          <w:highlight w:val="none"/>
          <w:lang w:val="en-GB" w:bidi="ar"/>
        </w:rPr>
        <w:t xml:space="preserve"> Rilley's significance correction</w:t>
      </w:r>
    </w:p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Abbreviations: DF,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degree of freedom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Additional Table 6. Mauchly's sphericity test</w:t>
      </w: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366"/>
        <w:gridCol w:w="648"/>
        <w:gridCol w:w="1826"/>
        <w:gridCol w:w="454"/>
        <w:gridCol w:w="310"/>
        <w:gridCol w:w="1926"/>
        <w:gridCol w:w="943"/>
        <w:gridCol w:w="1216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Intrinsic effect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Approximate square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0" w:type="auto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Epsilon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vertAlign w:val="superscript"/>
                <w:lang w:val="en-GB"/>
              </w:rPr>
              <w:t>b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4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Greenhouse- Geissler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0.000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0.111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 xml:space="preserve">We test the null hypothesis that the error covariance matrix of the dependent variable after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an orthogonal transformation would be proportional to the identity matrix.</w:t>
      </w:r>
    </w:p>
    <w:p>
      <w:pPr>
        <w:pStyle w:val="9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Design: [: cutoff:</w:t>
      </w:r>
    </w:p>
    <w:p>
      <w:pPr>
        <w:pStyle w:val="9"/>
        <w:numPr>
          <w:ilvl w:val="0"/>
          <w:numId w:val="1"/>
        </w:numPr>
        <w:ind w:leftChars="0"/>
        <w:rPr>
          <w:rFonts w:ascii="Times New Roman" w:hAnsi="Times New Roman" w:cs="Times New Roman"/>
          <w:sz w:val="24"/>
          <w:highlight w:val="none"/>
          <w:lang w:val="en-GB" w:bidi="ar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Degree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 xml:space="preserve"> of freedom </w:t>
      </w:r>
      <w:r>
        <w:rPr>
          <w:rFonts w:ascii="Times New Roman" w:hAnsi="Times New Roman" w:cs="Times New Roman"/>
          <w:sz w:val="24"/>
          <w:highlight w:val="none"/>
          <w:lang w:val="en-GB" w:bidi="ar"/>
        </w:rPr>
        <w:t>that can be used to adjust the mean significance test. The correction test is displayed in the within-subject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 xml:space="preserve"> </w:t>
      </w:r>
      <w:r>
        <w:rPr>
          <w:rFonts w:ascii="Times New Roman" w:hAnsi="Times New Roman" w:cs="Times New Roman"/>
          <w:sz w:val="24"/>
          <w:highlight w:val="none"/>
          <w:lang w:val="en-GB" w:bidi="ar"/>
        </w:rPr>
        <w:t>effect test table.</w:t>
      </w:r>
    </w:p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DF</w:t>
      </w:r>
      <w:r>
        <w:rPr>
          <w:rFonts w:ascii="Times New Roman" w:hAnsi="Times New Roman" w:cs="Times New Roman"/>
          <w:sz w:val="24"/>
          <w:highlight w:val="none"/>
          <w:lang w:val="en-GB" w:bidi="ar"/>
        </w:rPr>
        <w:t xml:space="preserve">,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degree of freedom</w:t>
      </w: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Additional Table 7. Within-subject effect test</w:t>
      </w:r>
    </w:p>
    <w:tbl>
      <w:tblPr>
        <w:tblStyle w:val="6"/>
        <w:tblpPr w:leftFromText="180" w:rightFromText="180" w:vertAnchor="text" w:tblpY="59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1451"/>
        <w:gridCol w:w="1430"/>
        <w:gridCol w:w="1877"/>
        <w:gridCol w:w="623"/>
        <w:gridCol w:w="1169"/>
        <w:gridCol w:w="906"/>
        <w:gridCol w:w="623"/>
        <w:gridCol w:w="623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Sum of the squares III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Mean square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F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 xml:space="preserve"> Eta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vertAlign w:val="superscript"/>
                <w:lang w:val="en-GB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 xml:space="preserve"> 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11686.933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512.511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1298.548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5.627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11686.933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2.648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1286.191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4414.264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5.627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0.017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11686.933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516.838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1298.548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5.627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11686.933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2562.556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11686.93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5.627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0.077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 * group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3859.267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291.444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428.807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0.091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3859.267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2.648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731.405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1457.681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3859.267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293.905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428.807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0.091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3859.267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1457.222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3859.267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1.858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0.245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Deviation (time)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spherical degree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8307.6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241.361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230.767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Greenhouse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8307.6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10.59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605.717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784.465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Xin-ferdt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8307.6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243.399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230.767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lower-bound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8307.6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1206.806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2076.9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　</w:t>
            </w:r>
          </w:p>
        </w:tc>
      </w:tr>
    </w:tbl>
    <w:p>
      <w:pPr>
        <w:rPr>
          <w:rFonts w:ascii="Times New Roman" w:hAnsi="Times New Roman" w:eastAsia="宋体" w:cs="Times New Roman"/>
          <w:sz w:val="24"/>
          <w:highlight w:val="none"/>
          <w:lang w:val="en-GB"/>
        </w:rPr>
      </w:pPr>
      <w:r>
        <w:rPr>
          <w:rStyle w:val="8"/>
          <w:rFonts w:hint="eastAsia" w:ascii="Times New Roman" w:hAnsi="Times New Roman" w:eastAsia="宋体" w:cs="Times New Roman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none"/>
          <w:lang w:val="en-GB"/>
        </w:rPr>
        <w:t>degree of freedom</w:t>
      </w:r>
    </w:p>
    <w:p>
      <w:pPr>
        <w:rPr>
          <w:rStyle w:val="8"/>
          <w:rFonts w:ascii="Times New Roman" w:hAnsi="Times New Roman" w:cs="Times New Roman"/>
          <w:sz w:val="24"/>
          <w:szCs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pStyle w:val="5"/>
        <w:rPr>
          <w:sz w:val="24"/>
          <w:szCs w:val="24"/>
          <w:highlight w:val="none"/>
          <w:lang w:val="en-GB" w:bidi="ar"/>
        </w:rPr>
        <w:sectPr>
          <w:pgSz w:w="11906" w:h="16838"/>
          <w:pgMar w:top="1985" w:right="1701" w:bottom="1701" w:left="1701" w:header="851" w:footer="992" w:gutter="0"/>
          <w:cols w:space="425" w:num="1"/>
          <w:docGrid w:type="lines" w:linePitch="360" w:charSpace="0"/>
        </w:sect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Additional Table 8. Pair comparison</w:t>
      </w:r>
    </w:p>
    <w:p>
      <w:pPr>
        <w:pStyle w:val="5"/>
        <w:rPr>
          <w:sz w:val="24"/>
          <w:szCs w:val="24"/>
          <w:highlight w:val="none"/>
          <w:lang w:val="en-GB" w:bidi="ar"/>
        </w:rPr>
      </w:pPr>
    </w:p>
    <w:tbl>
      <w:tblPr>
        <w:tblStyle w:val="6"/>
        <w:tblW w:w="0" w:type="auto"/>
        <w:tblInd w:w="0" w:type="dxa"/>
        <w:tblLayout w:type="autofit"/>
        <w:tblCellMar>
          <w:top w:w="0" w:type="dxa"/>
          <w:left w:w="99" w:type="dxa"/>
          <w:bottom w:w="0" w:type="dxa"/>
          <w:right w:w="99" w:type="dxa"/>
        </w:tblCellMar>
      </w:tblPr>
      <w:tblGrid>
        <w:gridCol w:w="614"/>
        <w:gridCol w:w="959"/>
        <w:gridCol w:w="971"/>
        <w:gridCol w:w="915"/>
        <w:gridCol w:w="848"/>
        <w:gridCol w:w="648"/>
        <w:gridCol w:w="1015"/>
        <w:gridCol w:w="948"/>
      </w:tblGrid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Time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(I) Group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(J) Group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 xml:space="preserve"> (I-J)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SD</w:t>
            </w:r>
          </w:p>
        </w:tc>
        <w:tc>
          <w:tcPr>
            <w:tcW w:w="0" w:type="auto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P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95% CI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C1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C2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-218.667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261.978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-946.033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508.7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218.667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261.978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0.451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-508.7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946.033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275.068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-1030.713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496.713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275.068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0.387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-496.713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1030.713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-230.333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270.391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-981.06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520.393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230.333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270.391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-520.393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981.06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261.894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-963.133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491.133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261.894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-491.133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963.133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-221.667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257.495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-936.588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493.255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221.667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257.495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0.438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-493.255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936.588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262.79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-973.622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485.622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262.79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0.406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-485.622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973.622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-221.667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263.575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-953.468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510.135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221.667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263.575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-510.135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953.468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-209.333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266.905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-950.381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531.715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209.333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266.905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0.477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-531.715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950.381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-248.667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280.726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-1028.087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530.754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248.667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280.726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-530.754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1028.087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-236.667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276.041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-1003.081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529.747</w:t>
            </w:r>
          </w:p>
        </w:tc>
      </w:tr>
      <w:tr>
        <w:tblPrEx>
          <w:tblCellMar>
            <w:top w:w="0" w:type="dxa"/>
            <w:left w:w="99" w:type="dxa"/>
            <w:bottom w:w="0" w:type="dxa"/>
            <w:right w:w="99" w:type="dxa"/>
          </w:tblCellMar>
        </w:tblPrEx>
        <w:trPr>
          <w:trHeight w:val="36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236.667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276.041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0.44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-529.747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highlight w:val="none"/>
                <w:lang w:val="en-GB"/>
              </w:rPr>
              <w:t>1003.081</w:t>
            </w:r>
          </w:p>
        </w:tc>
      </w:tr>
    </w:tbl>
    <w:p>
      <w:pPr>
        <w:rPr>
          <w:rFonts w:ascii="Times New Roman" w:hAnsi="Times New Roman" w:cs="Times New Roman"/>
          <w:sz w:val="24"/>
          <w:highlight w:val="none"/>
          <w:lang w:val="en-GB" w:bidi="ar"/>
        </w:rPr>
      </w:pPr>
      <w:r>
        <w:rPr>
          <w:rFonts w:ascii="Times New Roman" w:hAnsi="Times New Roman" w:cs="Times New Roman"/>
          <w:sz w:val="24"/>
          <w:highlight w:val="none"/>
          <w:lang w:val="en-GB" w:bidi="ar"/>
        </w:rPr>
        <w:t>a) Multiple comparison regulation: Bonferroni method.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SD, standard deviation; CI, confidence interval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pStyle w:val="5"/>
        <w:rPr>
          <w:sz w:val="24"/>
          <w:szCs w:val="24"/>
          <w:highlight w:val="none"/>
          <w:lang w:val="en-GB"/>
        </w:rPr>
      </w:pPr>
      <w:r>
        <w:rPr>
          <w:rFonts w:eastAsia="微软雅黑"/>
          <w:color w:val="000000" w:themeColor="text1"/>
          <w:spacing w:val="12"/>
          <w:sz w:val="24"/>
          <w:szCs w:val="24"/>
          <w:highlight w:val="none"/>
          <w:lang w:val="en-GB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4655820" cy="4285615"/>
            <wp:effectExtent l="0" t="0" r="11430" b="635"/>
            <wp:docPr id="1" name="图片 1" descr="t0-t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0-t5"/>
                    <pic:cNvPicPr>
                      <a:picLocks noChangeAspect="1"/>
                    </pic:cNvPicPr>
                  </pic:nvPicPr>
                  <pic:blipFill>
                    <a:blip r:embed="rId6"/>
                    <a:srcRect r="13650" b="11778"/>
                    <a:stretch>
                      <a:fillRect/>
                    </a:stretch>
                  </pic:blipFill>
                  <pic:spPr>
                    <a:xfrm>
                      <a:off x="0" y="0"/>
                      <a:ext cx="4655820" cy="428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"/>
        <w:rPr>
          <w:sz w:val="24"/>
          <w:szCs w:val="24"/>
          <w:highlight w:val="none"/>
          <w:lang w:val="en-GB" w:eastAsia="ja-JP"/>
        </w:rPr>
      </w:pPr>
      <w:bookmarkStart w:id="2" w:name="OLE_LINK5"/>
      <w:r>
        <w:rPr>
          <w:sz w:val="24"/>
          <w:szCs w:val="24"/>
          <w:highlight w:val="none"/>
          <w:lang w:val="en-GB"/>
        </w:rPr>
        <w:t xml:space="preserve">Additional </w:t>
      </w:r>
      <w:r>
        <w:rPr>
          <w:sz w:val="24"/>
          <w:szCs w:val="24"/>
          <w:highlight w:val="none"/>
          <w:lang w:val="en-GB" w:eastAsia="ja-JP"/>
        </w:rPr>
        <w:t>Figure</w:t>
      </w:r>
      <w:r>
        <w:rPr>
          <w:sz w:val="24"/>
          <w:szCs w:val="24"/>
          <w:highlight w:val="none"/>
          <w:lang w:val="en-GB"/>
        </w:rPr>
        <w:t xml:space="preserve"> 1. Simultaneous reproducibility of t-tau protein CLEIA measurements same aliquots of the control and test samples</w:t>
      </w:r>
      <w:r>
        <w:rPr>
          <w:sz w:val="24"/>
          <w:szCs w:val="24"/>
          <w:highlight w:val="none"/>
          <w:lang w:val="en-GB" w:eastAsia="ja-JP"/>
        </w:rPr>
        <w:t xml:space="preserve"> (</w:t>
      </w:r>
      <w:r>
        <w:rPr>
          <w:rFonts w:eastAsia="宋体"/>
          <w:color w:val="000000"/>
          <w:sz w:val="24"/>
          <w:szCs w:val="24"/>
          <w:highlight w:val="none"/>
          <w:lang w:val="en-GB" w:eastAsia="ja-JP"/>
        </w:rPr>
        <w:t>% CV</w:t>
      </w:r>
      <w:r>
        <w:rPr>
          <w:sz w:val="24"/>
          <w:szCs w:val="24"/>
          <w:highlight w:val="none"/>
          <w:lang w:val="en-GB" w:eastAsia="ja-JP"/>
        </w:rPr>
        <w:t>)</w:t>
      </w:r>
    </w:p>
    <w:bookmarkEnd w:id="2"/>
    <w:p>
      <w:pPr>
        <w:pStyle w:val="5"/>
        <w:rPr>
          <w:sz w:val="24"/>
          <w:szCs w:val="24"/>
          <w:highlight w:val="none"/>
          <w:lang w:val="en-GB"/>
        </w:rPr>
      </w:pPr>
      <w:r>
        <w:rPr>
          <w:sz w:val="24"/>
          <w:szCs w:val="24"/>
          <w:highlight w:val="none"/>
          <w:lang w:val="en-GB"/>
        </w:rPr>
        <w:t>Abbreviations: CSF, cerebrospinal fluid; t-tau, total tau; CLEIA, chemiluminescent enzyme immunoassay; CV, coefficient of variation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pStyle w:val="5"/>
        <w:rPr>
          <w:sz w:val="24"/>
          <w:szCs w:val="24"/>
          <w:highlight w:val="none"/>
          <w:lang w:val="en-GB"/>
        </w:rPr>
      </w:pPr>
      <w:r>
        <w:rPr>
          <w:color w:val="000000" w:themeColor="text1"/>
          <w:sz w:val="24"/>
          <w:szCs w:val="24"/>
          <w:highlight w:val="none"/>
          <w:lang w:val="en-GB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86375" cy="2743200"/>
            <wp:effectExtent l="4445" t="4445" r="5080" b="14605"/>
            <wp:docPr id="2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5"/>
        <w:rPr>
          <w:rFonts w:eastAsia="宋体"/>
          <w:color w:val="000000"/>
          <w:sz w:val="24"/>
          <w:szCs w:val="24"/>
          <w:highlight w:val="none"/>
          <w:lang w:val="en-GB"/>
        </w:rPr>
      </w:pPr>
      <w:r>
        <w:rPr>
          <w:sz w:val="24"/>
          <w:szCs w:val="24"/>
          <w:highlight w:val="none"/>
          <w:lang w:val="en-GB"/>
        </w:rPr>
        <w:t xml:space="preserve"> Additional </w:t>
      </w:r>
      <w:r>
        <w:rPr>
          <w:sz w:val="24"/>
          <w:szCs w:val="24"/>
          <w:highlight w:val="none"/>
          <w:lang w:val="en-GB" w:eastAsia="ja-JP"/>
        </w:rPr>
        <w:t>Figure</w:t>
      </w:r>
      <w:r>
        <w:rPr>
          <w:sz w:val="24"/>
          <w:szCs w:val="24"/>
          <w:highlight w:val="none"/>
          <w:lang w:val="en-GB"/>
        </w:rPr>
        <w:t xml:space="preserve"> 2.</w:t>
      </w:r>
      <w:r>
        <w:rPr>
          <w:rFonts w:eastAsia="宋体"/>
          <w:color w:val="000000"/>
          <w:sz w:val="24"/>
          <w:szCs w:val="24"/>
          <w:highlight w:val="none"/>
          <w:lang w:val="en-GB"/>
        </w:rPr>
        <w:t xml:space="preserve"> </w:t>
      </w:r>
      <w:r>
        <w:rPr>
          <w:sz w:val="24"/>
          <w:szCs w:val="24"/>
          <w:highlight w:val="none"/>
          <w:lang w:val="en-GB"/>
        </w:rPr>
        <w:t xml:space="preserve">Estimation </w:t>
      </w:r>
      <w:r>
        <w:rPr>
          <w:rFonts w:eastAsia="宋体"/>
          <w:color w:val="000000"/>
          <w:sz w:val="24"/>
          <w:szCs w:val="24"/>
          <w:highlight w:val="none"/>
          <w:lang w:val="en-GB"/>
        </w:rPr>
        <w:t>of the marginal mean</w:t>
      </w:r>
    </w:p>
    <w:p>
      <w:pPr>
        <w:pStyle w:val="5"/>
        <w:rPr>
          <w:sz w:val="24"/>
          <w:szCs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color w:val="000000" w:themeColor="text1"/>
          <w:sz w:val="24"/>
          <w:highlight w:val="none"/>
          <w:lang w:val="en-GB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5272405" cy="7404100"/>
            <wp:effectExtent l="0" t="0" r="4445" b="6350"/>
            <wp:docPr id="4" name="图片 4" descr="日差再现性cv%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日差再现性cv%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Additional Figure 3. </w:t>
      </w:r>
      <w:bookmarkStart w:id="3" w:name="OLE_LINK7"/>
      <w:bookmarkStart w:id="4" w:name="OLE_LINK4"/>
      <w:r>
        <w:rPr>
          <w:rFonts w:ascii="Times New Roman" w:hAnsi="Times New Roman" w:cs="Times New Roman"/>
          <w:sz w:val="24"/>
          <w:highlight w:val="none"/>
          <w:lang w:val="en-GB"/>
        </w:rPr>
        <w:t>Diurnal reproducibility</w:t>
      </w:r>
      <w:bookmarkEnd w:id="3"/>
      <w:r>
        <w:rPr>
          <w:rFonts w:ascii="Times New Roman" w:hAnsi="Times New Roman" w:cs="Times New Roman"/>
          <w:sz w:val="24"/>
          <w:highlight w:val="none"/>
          <w:lang w:val="en-GB"/>
        </w:rPr>
        <w:t xml:space="preserve"> of t-tau protein CLEIA measurements in the same aliquots of the control and test samples</w:t>
      </w:r>
      <w:bookmarkEnd w:id="4"/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CSF, cerebrospinal fluid; t-tau, total tau; CLEIA, chemiluminescent enzyme immunoassay; CV, coefficient of variation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 xml:space="preserve"> 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r>
        <w:drawing>
          <wp:inline distT="0" distB="0" distL="114300" distR="114300">
            <wp:extent cx="4827905" cy="2743200"/>
            <wp:effectExtent l="4445" t="4445" r="6350" b="52705"/>
            <wp:docPr id="5" name="图表 1" descr="7b0a202020202263686172745265734964223a20223230343736303833220a7d0a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  <w:lang w:val="en-GB" w:eastAsia="zh-CN"/>
        </w:rPr>
        <w:t xml:space="preserve"> </w:t>
      </w:r>
      <w:r>
        <w:rPr>
          <w:rStyle w:val="8"/>
          <w:rFonts w:ascii="Times New Roman" w:hAnsi="Times New Roman" w:cs="Times New Roman"/>
          <w:sz w:val="24"/>
          <w:szCs w:val="24"/>
          <w:lang w:val="en-GB"/>
        </w:rPr>
        <w:commentReference w:id="0"/>
      </w:r>
      <w:r>
        <w:rPr>
          <w:rFonts w:ascii="Times New Roman" w:hAnsi="Times New Roman" w:cs="Times New Roman"/>
          <w:sz w:val="24"/>
          <w:szCs w:val="24"/>
          <w:lang w:val="en-GB" w:eastAsia="zh-CN"/>
        </w:rPr>
        <w:t xml:space="preserve">Additional Figure 4a.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Repeatability of t-tau dilution results in cerebrospinal fluid samples under different dilution conditions (3 samples were randomly selected without dilution, 1/2 PBS dilution,1/2 pure water dilution, </w:t>
      </w:r>
      <w:bookmarkStart w:id="5" w:name="OLE_LINK6"/>
      <w:r>
        <w:rPr>
          <w:rFonts w:hint="eastAsia" w:ascii="Times New Roman" w:hAnsi="Times New Roman" w:cs="Times New Roman"/>
          <w:sz w:val="24"/>
          <w:szCs w:val="24"/>
          <w:lang w:val="en-GB"/>
        </w:rPr>
        <w:t>1/2 total protein</w:t>
      </w:r>
      <w:bookmarkEnd w:id="5"/>
      <w:r>
        <w:rPr>
          <w:rFonts w:hint="eastAsia" w:ascii="Times New Roman" w:hAnsi="Times New Roman" w:cs="Times New Roman"/>
          <w:sz w:val="24"/>
          <w:szCs w:val="24"/>
          <w:lang w:val="en-GB"/>
        </w:rPr>
        <w:t xml:space="preserve"> solution dilution)</w:t>
      </w:r>
    </w:p>
    <w:p>
      <w:pPr>
        <w:rPr>
          <w:rFonts w:ascii="Times New Roman" w:hAnsi="Times New Roman" w:cs="Times New Roman"/>
          <w:color w:val="000000" w:themeColor="text1"/>
          <w:sz w:val="24"/>
          <w:highlight w:val="none"/>
          <w:lang w:val="en-GB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highlight w:val="none"/>
          <w:lang w:val="en-GB"/>
        </w:rPr>
        <w:t>Abbreviations: CSF, cerebrospinal fluid; t-tau, total tau</w:t>
      </w: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  <w:bookmarkStart w:id="7" w:name="_GoBack"/>
      <w:bookmarkEnd w:id="7"/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rFonts w:ascii="Times New Roman" w:hAnsi="Times New Roman" w:cs="Times New Roman"/>
          <w:sz w:val="24"/>
          <w:szCs w:val="24"/>
          <w:lang w:val="en-GB" w:eastAsia="zh-CN"/>
        </w:rPr>
      </w:pPr>
      <w:r>
        <w:rPr>
          <w:rFonts w:ascii="Times New Roman" w:hAnsi="Times New Roman" w:cs="Times New Roman"/>
          <w:sz w:val="24"/>
          <w:szCs w:val="24"/>
          <w:lang w:val="en-GB" w:eastAsia="zh-CN"/>
        </w:rPr>
        <w:drawing>
          <wp:inline distT="0" distB="0" distL="114300" distR="114300">
            <wp:extent cx="5393690" cy="2684145"/>
            <wp:effectExtent l="0" t="0" r="16510" b="0"/>
            <wp:docPr id="6" name="图片 6" descr="fi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3690" cy="268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GB" w:eastAsia="zh-CN"/>
        </w:rPr>
        <w:t xml:space="preserve">Additional 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Figure </w:t>
      </w:r>
      <w:r>
        <w:rPr>
          <w:rFonts w:ascii="Times New Roman" w:hAnsi="Times New Roman" w:cs="Times New Roman"/>
          <w:sz w:val="24"/>
          <w:szCs w:val="24"/>
          <w:lang w:val="en-GB" w:eastAsia="zh-CN"/>
        </w:rPr>
        <w:t>4b</w:t>
      </w:r>
      <w:r>
        <w:rPr>
          <w:rFonts w:ascii="Times New Roman" w:hAnsi="Times New Roman" w:eastAsia="宋体" w:cs="Times New Roman"/>
          <w:color w:val="000000"/>
          <w:sz w:val="24"/>
          <w:szCs w:val="24"/>
          <w:lang w:val="en-GB" w:eastAsia="zh-CN"/>
        </w:rPr>
        <w:t xml:space="preserve">. 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Reproducibility of t-tau pure water dilution results in cerebrospinal fluid samples (No pure water dilution, 1/2 times pure water dilution, 1/4 times pure water dilution, 1/8 times pure water dilution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from three random samples</w:t>
      </w:r>
      <w:r>
        <w:rPr>
          <w:rFonts w:hint="eastAsia" w:ascii="Times New Roman" w:hAnsi="Times New Roman" w:cs="Times New Roman"/>
          <w:sz w:val="24"/>
          <w:szCs w:val="24"/>
          <w:lang w:val="en-GB"/>
        </w:rPr>
        <w:t>)</w:t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  <w:lang w:val="en-GB" w:eastAsia="zh-CN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Abbreviations: CSF, cerebrospinal fluid; t-tau, total tau</w:t>
      </w:r>
    </w:p>
    <w:p>
      <w:pPr>
        <w:rPr>
          <w:rFonts w:ascii="Times New Roman" w:hAnsi="Times New Roman" w:cs="Times New Roman"/>
          <w:color w:val="000000" w:themeColor="text1"/>
          <w:sz w:val="24"/>
          <w:highlight w:val="none"/>
          <w:lang w:val="en-GB"/>
          <w14:textFill>
            <w14:solidFill>
              <w14:schemeClr w14:val="tx1"/>
            </w14:solidFill>
          </w14:textFill>
        </w:rPr>
      </w:pPr>
    </w:p>
    <w:p>
      <w:pPr>
        <w:rPr>
          <w:rFonts w:ascii="Times New Roman" w:hAnsi="Times New Roman" w:cs="Times New Roman"/>
          <w:sz w:val="24"/>
          <w:highlight w:val="none"/>
          <w:lang w:val="en-GB"/>
        </w:rPr>
      </w:pPr>
    </w:p>
    <w:p>
      <w:pPr>
        <w:rPr>
          <w:highlight w:val="none"/>
        </w:rPr>
      </w:pPr>
    </w:p>
    <w:sectPr>
      <w:pgSz w:w="11906" w:h="16838"/>
      <w:pgMar w:top="1985" w:right="1701" w:bottom="1701" w:left="1701" w:header="851" w:footer="992" w:gutter="0"/>
      <w:cols w:space="425" w:num="1"/>
      <w:docGrid w:type="lines" w:linePitch="360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Author" w:date="" w:initials="A">
    <w:p w14:paraId="3112505F">
      <w:bookmarkStart w:id="6" w:name="OLE_LINK3"/>
      <w:r>
        <w:rPr>
          <w:sz w:val="20"/>
          <w:szCs w:val="20"/>
        </w:rPr>
        <w:t>Please change the direction of the text in the y-axis title (rotate 180°).</w:t>
      </w:r>
      <w:r>
        <w:rPr>
          <w:sz w:val="20"/>
          <w:szCs w:val="20"/>
        </w:rPr>
        <w:cr/>
      </w:r>
      <w:r>
        <w:rPr>
          <w:sz w:val="20"/>
          <w:szCs w:val="20"/>
        </w:rPr>
        <w:t>Please ensure that the capitalization of the titles in the figure is consistent with that in SST other figures (Time).</w:t>
      </w:r>
      <w:bookmarkEnd w:id="6"/>
      <w:r>
        <w:rPr>
          <w:sz w:val="20"/>
          <w:szCs w:val="20"/>
        </w:rPr>
        <w:cr/>
      </w:r>
      <w:r>
        <w:rPr>
          <w:sz w:val="20"/>
          <w:szCs w:val="20"/>
        </w:rPr>
        <w:br w:type="textWrapping"/>
      </w:r>
      <w:r>
        <w:rPr>
          <w:sz w:val="20"/>
          <w:szCs w:val="20"/>
        </w:rPr>
        <w:t>AI translation:</w:t>
      </w:r>
      <w:r>
        <w:rPr>
          <w:sz w:val="20"/>
          <w:szCs w:val="20"/>
        </w:rPr>
        <w:br w:type="textWrapping"/>
      </w:r>
      <w:r>
        <w:rPr>
          <w:sz w:val="20"/>
          <w:szCs w:val="20"/>
        </w:rPr>
        <w:t>Y</w:t>
      </w:r>
      <w:r>
        <w:rPr>
          <w:rFonts w:hint="eastAsia"/>
          <w:sz w:val="20"/>
          <w:szCs w:val="20"/>
        </w:rPr>
        <w:t>軸のタイトルの向きを変更してください。図中のタイトルの大文字と小文字を統一してください。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3112505F" w15:done="1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9948A6"/>
    <w:multiLevelType w:val="multilevel"/>
    <w:tmpl w:val="5B9948A6"/>
    <w:lvl w:ilvl="0" w:tentative="0">
      <w:start w:val="1"/>
      <w:numFmt w:val="lowerLetter"/>
      <w:lvlText w:val="%1."/>
      <w:lvlJc w:val="left"/>
      <w:pPr>
        <w:ind w:left="360" w:hanging="360"/>
      </w:pPr>
      <w:rPr>
        <w:rFonts w:hint="default"/>
        <w:vertAlign w:val="superscript"/>
      </w:rPr>
    </w:lvl>
    <w:lvl w:ilvl="1" w:tentative="0">
      <w:start w:val="1"/>
      <w:numFmt w:val="aiueoFullWidth"/>
      <w:lvlText w:val="(%2)"/>
      <w:lvlJc w:val="left"/>
      <w:pPr>
        <w:ind w:left="880" w:hanging="440"/>
      </w:pPr>
    </w:lvl>
    <w:lvl w:ilvl="2" w:tentative="0">
      <w:start w:val="1"/>
      <w:numFmt w:val="decimalEnclosedCircle"/>
      <w:lvlText w:val="%3"/>
      <w:lvlJc w:val="lef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aiueoFullWidth"/>
      <w:lvlText w:val="(%5)"/>
      <w:lvlJc w:val="left"/>
      <w:pPr>
        <w:ind w:left="2200" w:hanging="440"/>
      </w:pPr>
    </w:lvl>
    <w:lvl w:ilvl="5" w:tentative="0">
      <w:start w:val="1"/>
      <w:numFmt w:val="decimalEnclosedCircle"/>
      <w:lvlText w:val="%6"/>
      <w:lvlJc w:val="lef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aiueoFullWidth"/>
      <w:lvlText w:val="(%8)"/>
      <w:lvlJc w:val="left"/>
      <w:pPr>
        <w:ind w:left="3520" w:hanging="440"/>
      </w:pPr>
    </w:lvl>
    <w:lvl w:ilvl="8" w:tentative="0">
      <w:start w:val="1"/>
      <w:numFmt w:val="decimalEnclosedCircle"/>
      <w:lvlText w:val="%9"/>
      <w:lvlJc w:val="left"/>
      <w:pPr>
        <w:ind w:left="3960" w:hanging="44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VjMWIzZDg0NzdkZDkxMWQ5MDJlMzdhZDg1ZGE4MjkifQ=="/>
  </w:docVars>
  <w:rsids>
    <w:rsidRoot w:val="15903667"/>
    <w:rsid w:val="00611F55"/>
    <w:rsid w:val="00AE487F"/>
    <w:rsid w:val="00C22A88"/>
    <w:rsid w:val="02FA082F"/>
    <w:rsid w:val="03950013"/>
    <w:rsid w:val="03B46A51"/>
    <w:rsid w:val="0E266744"/>
    <w:rsid w:val="15903667"/>
    <w:rsid w:val="1FE233F2"/>
    <w:rsid w:val="21862B83"/>
    <w:rsid w:val="27A874BF"/>
    <w:rsid w:val="377543F9"/>
    <w:rsid w:val="39A14F85"/>
    <w:rsid w:val="40BF1951"/>
    <w:rsid w:val="42E554E4"/>
    <w:rsid w:val="4B65256F"/>
    <w:rsid w:val="51346287"/>
    <w:rsid w:val="51AA02F7"/>
    <w:rsid w:val="6A366774"/>
    <w:rsid w:val="6D0843F7"/>
    <w:rsid w:val="6E13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rPr>
      <w:sz w:val="20"/>
      <w:szCs w:val="20"/>
    </w:rPr>
  </w:style>
  <w:style w:type="paragraph" w:styleId="3">
    <w:name w:val="footer"/>
    <w:basedOn w:val="1"/>
    <w:link w:val="11"/>
    <w:autoRedefine/>
    <w:qFormat/>
    <w:uiPriority w:val="0"/>
    <w:pPr>
      <w:tabs>
        <w:tab w:val="center" w:pos="4252"/>
        <w:tab w:val="right" w:pos="8504"/>
      </w:tabs>
      <w:snapToGrid w:val="0"/>
    </w:pPr>
  </w:style>
  <w:style w:type="paragraph" w:styleId="4">
    <w:name w:val="header"/>
    <w:basedOn w:val="1"/>
    <w:link w:val="10"/>
    <w:autoRedefine/>
    <w:qFormat/>
    <w:uiPriority w:val="0"/>
    <w:pPr>
      <w:tabs>
        <w:tab w:val="center" w:pos="4252"/>
        <w:tab w:val="right" w:pos="8504"/>
      </w:tabs>
      <w:snapToGrid w:val="0"/>
    </w:pPr>
  </w:style>
  <w:style w:type="paragraph" w:styleId="5">
    <w:name w:val="Normal (Web)"/>
    <w:basedOn w:val="1"/>
    <w:autoRedefine/>
    <w:qFormat/>
    <w:uiPriority w:val="0"/>
    <w:pPr>
      <w:spacing w:before="148" w:line="368" w:lineRule="atLeast"/>
    </w:pPr>
    <w:rPr>
      <w:rFonts w:ascii="Times New Roman" w:hAnsi="Times New Roman" w:cs="Times New Roman"/>
      <w:kern w:val="0"/>
      <w:sz w:val="20"/>
      <w:szCs w:val="21"/>
    </w:rPr>
  </w:style>
  <w:style w:type="character" w:styleId="8">
    <w:name w:val="annotation reference"/>
    <w:basedOn w:val="7"/>
    <w:autoRedefine/>
    <w:qFormat/>
    <w:uiPriority w:val="0"/>
    <w:rPr>
      <w:sz w:val="16"/>
      <w:szCs w:val="16"/>
    </w:rPr>
  </w:style>
  <w:style w:type="paragraph" w:styleId="9">
    <w:name w:val="List Paragraph"/>
    <w:basedOn w:val="1"/>
    <w:autoRedefine/>
    <w:qFormat/>
    <w:uiPriority w:val="34"/>
    <w:pPr>
      <w:ind w:left="840" w:leftChars="400"/>
    </w:pPr>
  </w:style>
  <w:style w:type="character" w:customStyle="1" w:styleId="10">
    <w:name w:val="ヘッダー (文字)"/>
    <w:basedOn w:val="7"/>
    <w:link w:val="4"/>
    <w:autoRedefine/>
    <w:qFormat/>
    <w:uiPriority w:val="0"/>
    <w:rPr>
      <w:kern w:val="2"/>
      <w:sz w:val="21"/>
      <w:szCs w:val="24"/>
      <w:lang w:eastAsia="zh-CN"/>
    </w:rPr>
  </w:style>
  <w:style w:type="character" w:customStyle="1" w:styleId="11">
    <w:name w:val="フッター (文字)"/>
    <w:basedOn w:val="7"/>
    <w:link w:val="3"/>
    <w:uiPriority w:val="0"/>
    <w:rPr>
      <w:kern w:val="2"/>
      <w:sz w:val="21"/>
      <w:szCs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hart" Target="charts/chart2.xml"/><Relationship Id="rId8" Type="http://schemas.openxmlformats.org/officeDocument/2006/relationships/image" Target="media/image2.png"/><Relationship Id="rId7" Type="http://schemas.openxmlformats.org/officeDocument/2006/relationships/chart" Target="charts/chart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3" Type="http://schemas.microsoft.com/office/2011/relationships/people" Target="people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chajun\Desktop\spssdaochu\&#21516;&#26102;&#20877;&#29616;&#24615;\&#21516;&#26102;&#20877;&#29616;&#24615;.xlsx" TargetMode="External"/></Relationships>
</file>

<file path=word/charts/_rels/chart2.xml.rels><?xml version="1.0" encoding="UTF-8" standalone="yes"?>
<Relationships xmlns="http://schemas.openxmlformats.org/package/2006/relationships"><Relationship Id="rId4" Type="http://schemas.microsoft.com/office/2011/relationships/chartColorStyle" Target="colors2.xml"/><Relationship Id="rId3" Type="http://schemas.microsoft.com/office/2011/relationships/chartStyle" Target="style2.xml"/><Relationship Id="rId2" Type="http://schemas.openxmlformats.org/officeDocument/2006/relationships/themeOverride" Target="../theme/themeOverride1.xml"/><Relationship Id="rId1" Type="http://schemas.openxmlformats.org/officeDocument/2006/relationships/oleObject" Target="file:///C:\Users\chajun\WPS%20Cloud%20Files\.506541012\cachedata\045B0A89A1FF4B638B2997E17C712DCF\&#24037;&#20316;&#31807;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1"/>
          <c:order val="0"/>
          <c:tx>
            <c:strRef>
              <c:f>"1"</c:f>
              <c:strCache>
                <c:ptCount val="1"/>
                <c:pt idx="0">
                  <c:v>1</c:v>
                </c:pt>
              </c:strCache>
            </c:strRef>
          </c:tx>
          <c:spPr>
            <a:ln w="12700" cap="rnd">
              <a:solidFill>
                <a:schemeClr val="accent1"/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delete val="1"/>
          </c:dLbls>
          <c:yVal>
            <c:numRef>
              <c:f>{548,570,572.3333333,572.3333333,575,578.3333333}</c:f>
              <c:numCache>
                <c:formatCode>General</c:formatCode>
                <c:ptCount val="6"/>
                <c:pt idx="0">
                  <c:v>548</c:v>
                </c:pt>
                <c:pt idx="1">
                  <c:v>570</c:v>
                </c:pt>
                <c:pt idx="2">
                  <c:v>572.333333333333</c:v>
                </c:pt>
                <c:pt idx="3">
                  <c:v>572.333333333333</c:v>
                </c:pt>
                <c:pt idx="4">
                  <c:v>575</c:v>
                </c:pt>
                <c:pt idx="5">
                  <c:v>578.333333333333</c:v>
                </c:pt>
              </c:numCache>
            </c:numRef>
          </c:yVal>
          <c:smooth val="0"/>
        </c:ser>
        <c:ser>
          <c:idx val="2"/>
          <c:order val="1"/>
          <c:tx>
            <c:strRef>
              <c:f>"2"</c:f>
              <c:strCache>
                <c:ptCount val="1"/>
                <c:pt idx="0">
                  <c:v>2</c:v>
                </c:pt>
              </c:strCache>
            </c:strRef>
          </c:tx>
          <c:spPr>
            <a:ln w="12700" cap="rnd">
              <a:solidFill>
                <a:schemeClr val="accent1"/>
              </a:solidFill>
              <a:prstDash val="sysDot"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delete val="1"/>
          </c:dLbls>
          <c:yVal>
            <c:numRef>
              <c:f>{786,794,786.3333333,818.6666667,795.3333333,789}</c:f>
              <c:numCache>
                <c:formatCode>General</c:formatCode>
                <c:ptCount val="6"/>
                <c:pt idx="0">
                  <c:v>786</c:v>
                </c:pt>
                <c:pt idx="1">
                  <c:v>794</c:v>
                </c:pt>
                <c:pt idx="2">
                  <c:v>786.333333333333</c:v>
                </c:pt>
                <c:pt idx="3">
                  <c:v>818.666666666667</c:v>
                </c:pt>
                <c:pt idx="4">
                  <c:v>795.333333333333</c:v>
                </c:pt>
                <c:pt idx="5">
                  <c:v>789</c:v>
                </c:pt>
              </c:numCache>
            </c:numRef>
          </c:y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602204872"/>
        <c:axId val="602184536"/>
      </c:scatterChart>
      <c:valAx>
        <c:axId val="602204872"/>
        <c:scaling>
          <c:orientation val="minMax"/>
        </c:scaling>
        <c:delete val="0"/>
        <c:axPos val="b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aseline="0"/>
                  <a:t>time</a:t>
                </a:r>
                <a:endParaRPr lang="en-US" baseline="0"/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0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02184536"/>
        <c:crosses val="autoZero"/>
        <c:crossBetween val="midCat"/>
      </c:valAx>
      <c:valAx>
        <c:axId val="602184536"/>
        <c:scaling>
          <c:orientation val="minMax"/>
        </c:scaling>
        <c:delete val="0"/>
        <c:axPos val="l"/>
        <c:majorGridlines>
          <c:spPr>
            <a:ln w="9525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 w="9525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02204872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77717717717718"/>
          <c:y val="0.429166666666667"/>
          <c:w val="0.107867867867868"/>
          <c:h val="0.2289351851851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0823575845283515"/>
          <c:y val="0.181712962962963"/>
          <c:w val="0.887383239047494"/>
          <c:h val="0.6105092592592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[工作簿1.xlsx]Sheet1!$A$2</c:f>
              <c:strCache>
                <c:ptCount val="1"/>
                <c:pt idx="0">
                  <c:v>1</c:v>
                </c:pt>
              </c:strCache>
            </c:strRef>
          </c:tx>
          <c:spPr>
            <a:solidFill>
              <a:sysClr val="window" lastClr="FFFFFF">
                <a:lumMod val="65000"/>
              </a:sys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0355731225296443"/>
                  <c:y val="0.02177400870960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[工作簿1.xlsx]Sheet1!$B$1:$G$1</c:f>
              <c:strCache>
                <c:ptCount val="6"/>
                <c:pt idx="0" c:formatCode="0%">
                  <c:v>CLEAELISA</c:v>
                </c:pt>
                <c:pt idx="1">
                  <c:v>CLEA</c:v>
                </c:pt>
                <c:pt idx="2">
                  <c:v>1/2 PBS</c:v>
                </c:pt>
                <c:pt idx="3" c:formatCode="m&quot;月&quot;d&quot;日&quot;">
                  <c:v>1/2 pure water</c:v>
                </c:pt>
                <c:pt idx="4">
                  <c:v>1/2 total protein</c:v>
                </c:pt>
              </c:strCache>
            </c:strRef>
          </c:cat>
          <c:val>
            <c:numRef>
              <c:f>[工作簿1.xlsx]Sheet1!$B$2:$G$2</c:f>
              <c:numCache>
                <c:formatCode>General</c:formatCode>
                <c:ptCount val="6"/>
                <c:pt idx="0">
                  <c:v>647</c:v>
                </c:pt>
                <c:pt idx="1">
                  <c:v>533</c:v>
                </c:pt>
                <c:pt idx="2">
                  <c:v>240</c:v>
                </c:pt>
                <c:pt idx="3">
                  <c:v>250</c:v>
                </c:pt>
                <c:pt idx="4">
                  <c:v>243</c:v>
                </c:pt>
              </c:numCache>
            </c:numRef>
          </c:val>
        </c:ser>
        <c:ser>
          <c:idx val="1"/>
          <c:order val="1"/>
          <c:tx>
            <c:strRef>
              <c:f>[工作簿1.xlsx]Sheet1!$A$3</c:f>
              <c:strCache>
                <c:ptCount val="1"/>
                <c:pt idx="0">
                  <c:v>2</c:v>
                </c:pt>
              </c:strCache>
            </c:strRef>
          </c:tx>
          <c:spPr>
            <a:solidFill>
              <a:sysClr val="windowText" lastClr="000000">
                <a:lumMod val="65000"/>
                <a:lumOff val="35000"/>
              </a:sys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0.000389536845838366"/>
                  <c:y val="0.0220032088012835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0.0013156163662676"/>
                  <c:y val="-0.027777777777777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394684909880279"/>
                  <c:y val="-0.0277777777777778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0394684909880279"/>
                  <c:y val="-0.0231481481481481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[工作簿1.xlsx]Sheet1!$B$1:$G$1</c:f>
              <c:strCache>
                <c:ptCount val="6"/>
                <c:pt idx="0" c:formatCode="0%">
                  <c:v>CLEAELISA</c:v>
                </c:pt>
                <c:pt idx="1">
                  <c:v>CLEA</c:v>
                </c:pt>
                <c:pt idx="2">
                  <c:v>1/2 PBS</c:v>
                </c:pt>
                <c:pt idx="3" c:formatCode="m&quot;月&quot;d&quot;日&quot;">
                  <c:v>1/2 pure water</c:v>
                </c:pt>
                <c:pt idx="4">
                  <c:v>1/2 total protein</c:v>
                </c:pt>
              </c:strCache>
            </c:strRef>
          </c:cat>
          <c:val>
            <c:numRef>
              <c:f>[工作簿1.xlsx]Sheet1!$B$3:$G$3</c:f>
              <c:numCache>
                <c:formatCode>General</c:formatCode>
                <c:ptCount val="6"/>
                <c:pt idx="0">
                  <c:v>771</c:v>
                </c:pt>
                <c:pt idx="1">
                  <c:v>628</c:v>
                </c:pt>
                <c:pt idx="2">
                  <c:v>295</c:v>
                </c:pt>
                <c:pt idx="3">
                  <c:v>301</c:v>
                </c:pt>
                <c:pt idx="4">
                  <c:v>308</c:v>
                </c:pt>
              </c:numCache>
            </c:numRef>
          </c:val>
        </c:ser>
        <c:ser>
          <c:idx val="2"/>
          <c:order val="2"/>
          <c:tx>
            <c:strRef>
              <c:f>[工作簿1.xlsx]Sheet1!$A$4</c:f>
              <c:strCache>
                <c:ptCount val="1"/>
                <c:pt idx="0">
                  <c:v>3</c:v>
                </c:pt>
              </c:strCache>
            </c:strRef>
          </c:tx>
          <c:spPr>
            <a:solidFill>
              <a:srgbClr val="44546A">
                <a:lumMod val="60000"/>
                <a:lumOff val="40000"/>
              </a:srgbClr>
            </a:solidFill>
            <a:ln>
              <a:noFill/>
            </a:ln>
            <a:effectLst/>
          </c:spPr>
          <c:invertIfNegative val="0"/>
          <c:dLbls>
            <c:dLbl>
              <c:idx val="1"/>
              <c:layout>
                <c:manualLayout>
                  <c:x val="0.0013156163662676"/>
                  <c:y val="-0.0555555555555556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0.00263123273253519"/>
                  <c:y val="0.013888888888888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0.013156163662676"/>
                  <c:y val="0.0138888888888889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numFmt formatCode="General" sourceLinked="1"/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[工作簿1.xlsx]Sheet1!$B$1:$G$1</c:f>
              <c:strCache>
                <c:ptCount val="6"/>
                <c:pt idx="0" c:formatCode="0%">
                  <c:v>CLEAELISA</c:v>
                </c:pt>
                <c:pt idx="1">
                  <c:v>CLEA</c:v>
                </c:pt>
                <c:pt idx="2">
                  <c:v>1/2 PBS</c:v>
                </c:pt>
                <c:pt idx="3" c:formatCode="m&quot;月&quot;d&quot;日&quot;">
                  <c:v>1/2 pure water</c:v>
                </c:pt>
                <c:pt idx="4">
                  <c:v>1/2 total protein</c:v>
                </c:pt>
              </c:strCache>
            </c:strRef>
          </c:cat>
          <c:val>
            <c:numRef>
              <c:f>[工作簿1.xlsx]Sheet1!$B$4:$G$4</c:f>
              <c:numCache>
                <c:formatCode>General</c:formatCode>
                <c:ptCount val="6"/>
                <c:pt idx="0">
                  <c:v>809</c:v>
                </c:pt>
                <c:pt idx="1">
                  <c:v>629</c:v>
                </c:pt>
                <c:pt idx="2">
                  <c:v>273</c:v>
                </c:pt>
                <c:pt idx="3">
                  <c:v>289</c:v>
                </c:pt>
                <c:pt idx="4">
                  <c:v>287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798794530"/>
        <c:axId val="661001300"/>
      </c:barChart>
      <c:catAx>
        <c:axId val="798794530"/>
        <c:scaling>
          <c:orientation val="minMax"/>
        </c:scaling>
        <c:delete val="0"/>
        <c:axPos val="b"/>
        <c:majorGridlines>
          <c:spPr>
            <a:ln w="6350" cap="flat" cmpd="sng" algn="ctr">
              <a:solidFill>
                <a:schemeClr val="tx1">
                  <a:lumMod val="50000"/>
                  <a:lumOff val="50000"/>
                  <a:alpha val="20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Times</a:t>
                </a:r>
              </a:p>
            </c:rich>
          </c:tx>
          <c:layout>
            <c:manualLayout>
              <c:xMode val="edge"/>
              <c:yMode val="edge"/>
              <c:x val="0.449934123847167"/>
              <c:y val="0.90671556268622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tx1">
                <a:lumMod val="15000"/>
                <a:lumOff val="85000"/>
                <a:alpha val="30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 forceAA="0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661001300"/>
        <c:crosses val="autoZero"/>
        <c:auto val="1"/>
        <c:lblAlgn val="ctr"/>
        <c:lblOffset val="100"/>
        <c:noMultiLvlLbl val="0"/>
      </c:catAx>
      <c:valAx>
        <c:axId val="661001300"/>
        <c:scaling>
          <c:orientation val="minMax"/>
        </c:scaling>
        <c:delete val="1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t>Percentage concentration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</a:p>
        </c:txPr>
        <c:crossAx val="798794530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6350" cap="flat" cmpd="sng" algn="ctr">
      <a:solidFill>
        <a:schemeClr val="tx1">
          <a:lumMod val="50000"/>
          <a:lumOff val="50000"/>
          <a:alpha val="25000"/>
        </a:schemeClr>
      </a:solidFill>
      <a:round/>
    </a:ln>
    <a:effectLst>
      <a:outerShdw blurRad="63500" dist="37357" dir="2700000" sx="0" sy="0" rotWithShape="0">
        <a:scrgbClr r="0" g="0" b="0"/>
      </a:outerShdw>
    </a:effectLst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word/theme/themeOverride1.xml><?xml version="1.0" encoding="utf-8"?>
<a:themeOverride xmlns:a="http://schemas.openxmlformats.org/drawingml/2006/main">
  <a:clrScheme name="多彩-04">
    <a:dk1>
      <a:srgbClr val="000000"/>
    </a:dk1>
    <a:lt1>
      <a:srgbClr val="FFFFFF"/>
    </a:lt1>
    <a:dk2>
      <a:srgbClr val="000000"/>
    </a:dk2>
    <a:lt2>
      <a:srgbClr val="FEFFFF"/>
    </a:lt2>
    <a:accent1>
      <a:srgbClr val="FFB143"/>
    </a:accent1>
    <a:accent2>
      <a:srgbClr val="FE7B48"/>
    </a:accent2>
    <a:accent3>
      <a:srgbClr val="5FB6FF"/>
    </a:accent3>
    <a:accent4>
      <a:srgbClr val="3787FF"/>
    </a:accent4>
    <a:accent5>
      <a:srgbClr val="06BB9A"/>
    </a:accent5>
    <a:accent6>
      <a:srgbClr val="8E7EF1"/>
    </a:accent6>
    <a:hlink>
      <a:srgbClr val="304FFE"/>
    </a:hlink>
    <a:folHlink>
      <a:srgbClr val="00A3F4"/>
    </a:folHlink>
  </a:clrScheme>
  <a:fontScheme name="微软雅黑">
    <a:majorFont>
      <a:latin typeface="Arial"/>
      <a:ea typeface="微软雅黑"/>
      <a:cs typeface=""/>
    </a:majorFont>
    <a:minorFont>
      <a:latin typeface="Arial"/>
      <a:ea typeface="微软雅黑"/>
      <a:cs typeface="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  <a:ln w="2540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18</Pages>
  <Words>2013</Words>
  <Characters>11479</Characters>
  <Lines>95</Lines>
  <Paragraphs>26</Paragraphs>
  <TotalTime>34</TotalTime>
  <ScaleCrop>false</ScaleCrop>
  <LinksUpToDate>false</LinksUpToDate>
  <CharactersWithSpaces>13466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2024-04-02T08:02:00Z</dcterms:created>
  <dc:creator>茶君</dc:creator>
  <cp:lastModifiedBy>茶君</cp:lastModifiedBy>
  <dcterms:modified xsi:type="dcterms:W3CDTF">2024-04-04T08:30:36Z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D3BEE3C730634D4FADBF1D7B66EF8108_11</vt:lpwstr>
  </property>
</Properties>
</file>